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19050</wp:posOffset>
            </wp:positionV>
            <wp:extent cx="6995160" cy="4828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28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Cotter Jennifer Cunningham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5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PELOTON INTERACTIVE, INC.</w:t>
            </w:r>
          </w:p>
        </w:tc>
      </w:tr>
      <w:tr>
        <w:trPr>
          <w:trHeight w:val="255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441 NINTH AVENUE, SIXTH FLOOR</w:t>
            </w:r>
          </w:p>
        </w:tc>
      </w:tr>
      <w:tr>
        <w:trPr>
          <w:trHeight w:val="423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10001</w:t>
            </w:r>
          </w:p>
        </w:tc>
      </w:tr>
      <w:tr>
        <w:trPr>
          <w:trHeight w:val="461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PELOTON INTERACTIVE,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PTON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Content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46,156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720,000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(RSU)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1,288 shares of Class A Common Stock acquired under the issuer's employee stock purchase plan on August 31, 2023.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the Issuer's Class A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/>
        <w:spacing w:after="0" w:line="244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vest as to 6.25% of the total shares quarterly, commencing November 15, 2023, with 100% of the total shares vested on August 15, 2027, subject to the reporting person's provision of service to the issuer on each vesting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Bart Goldstein as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in-fact for Jennifer Cotter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6761" TargetMode="External"/><Relationship Id="rId13" Type="http://schemas.openxmlformats.org/officeDocument/2006/relationships/hyperlink" Target="http://www.sec.gov/cgi-bin/browse-edgar?action=getcompany&amp;CIK=0001639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2023-09-06T15:26:36Z</dcterms:created>
  <dcterms:modified xsi:type="dcterms:W3CDTF">2023-09-06T15:26:36Z</dcterms:modified>
</cp:coreProperties>
</file>