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6"/>
          <w:szCs w:val="26"/>
          <w:b w:val="1"/>
          <w:bCs w:val="1"/>
          <w:color w:val="auto"/>
        </w:rPr>
        <w:t>UNITED STATES</w:t>
      </w:r>
    </w:p>
    <w:p>
      <w:pPr>
        <w:spacing w:after="0" w:line="57" w:lineRule="exact"/>
        <w:rPr>
          <w:sz w:val="24"/>
          <w:szCs w:val="24"/>
          <w:color w:val="auto"/>
        </w:rPr>
      </w:pPr>
    </w:p>
    <w:p>
      <w:pPr>
        <w:jc w:val="center"/>
        <w:ind w:right="-159"/>
        <w:spacing w:after="0"/>
        <w:rPr>
          <w:sz w:val="20"/>
          <w:szCs w:val="20"/>
          <w:color w:val="auto"/>
        </w:rPr>
      </w:pPr>
      <w:r>
        <w:rPr>
          <w:rFonts w:ascii="Arial" w:cs="Arial" w:eastAsia="Arial" w:hAnsi="Arial"/>
          <w:sz w:val="26"/>
          <w:szCs w:val="26"/>
          <w:b w:val="1"/>
          <w:bCs w:val="1"/>
          <w:color w:val="auto"/>
        </w:rPr>
        <w:t>SECURITIES AND EXCHANGE COMMISSION</w:t>
      </w:r>
    </w:p>
    <w:p>
      <w:pPr>
        <w:spacing w:after="0" w:line="48"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WASHINGTON, D.C. 20549</w:t>
      </w:r>
    </w:p>
    <w:p>
      <w:pPr>
        <w:spacing w:after="0" w:line="39"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74" w:lineRule="exact"/>
        <w:rPr>
          <w:sz w:val="24"/>
          <w:szCs w:val="24"/>
          <w:color w:val="auto"/>
        </w:rPr>
      </w:pPr>
    </w:p>
    <w:p>
      <w:pPr>
        <w:jc w:val="center"/>
        <w:ind w:right="-159"/>
        <w:spacing w:after="0"/>
        <w:rPr>
          <w:sz w:val="20"/>
          <w:szCs w:val="20"/>
          <w:color w:val="auto"/>
        </w:rPr>
      </w:pPr>
      <w:r>
        <w:rPr>
          <w:rFonts w:ascii="Arial" w:cs="Arial" w:eastAsia="Arial" w:hAnsi="Arial"/>
          <w:sz w:val="26"/>
          <w:szCs w:val="26"/>
          <w:b w:val="1"/>
          <w:bCs w:val="1"/>
          <w:color w:val="auto"/>
        </w:rPr>
        <w:t>FORM 8-K</w:t>
      </w:r>
    </w:p>
    <w:p>
      <w:pPr>
        <w:spacing w:after="0" w:line="45"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CURRENT REPORT</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Section 13 or 15(d) of the</w:t>
      </w:r>
    </w:p>
    <w:p>
      <w:pPr>
        <w:spacing w:after="0" w:line="42" w:lineRule="exact"/>
        <w:rPr>
          <w:sz w:val="24"/>
          <w:szCs w:val="24"/>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16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Date of Report (Date of earliest event reported): February 5, 2020</w:t>
      </w:r>
    </w:p>
    <w:p>
      <w:pPr>
        <w:spacing w:after="0" w:line="33"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Peloton Interactive, Inc.</w:t>
      </w: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8"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361" w:lineRule="exact"/>
        <w:rPr>
          <w:sz w:val="24"/>
          <w:szCs w:val="24"/>
          <w:color w:val="auto"/>
        </w:rPr>
      </w:pPr>
    </w:p>
    <w:tbl>
      <w:tblPr>
        <w:tblLayout w:type="fixed"/>
        <w:tblInd w:w="1420" w:type="dxa"/>
        <w:tblCellMar>
          <w:top w:w="0" w:type="dxa"/>
          <w:left w:w="0" w:type="dxa"/>
          <w:bottom w:w="0" w:type="dxa"/>
          <w:right w:w="0" w:type="dxa"/>
        </w:tblCellMar>
      </w:tblPr>
      <w:tr>
        <w:trPr>
          <w:trHeight w:val="190"/>
        </w:trPr>
        <w:tc>
          <w:tcPr>
            <w:tcW w:w="2900" w:type="dxa"/>
            <w:vAlign w:val="bottom"/>
          </w:tcPr>
          <w:p>
            <w:pPr>
              <w:jc w:val="center"/>
              <w:ind w:right="678"/>
              <w:spacing w:after="0"/>
              <w:rPr>
                <w:sz w:val="20"/>
                <w:szCs w:val="20"/>
                <w:color w:val="auto"/>
              </w:rPr>
            </w:pPr>
            <w:r>
              <w:rPr>
                <w:rFonts w:ascii="Arial" w:cs="Arial" w:eastAsia="Arial" w:hAnsi="Arial"/>
                <w:sz w:val="14"/>
                <w:szCs w:val="14"/>
                <w:b w:val="1"/>
                <w:bCs w:val="1"/>
                <w:color w:val="auto"/>
              </w:rPr>
              <w:t>Delaware</w:t>
            </w:r>
          </w:p>
        </w:tc>
        <w:tc>
          <w:tcPr>
            <w:tcW w:w="3180" w:type="dxa"/>
            <w:vAlign w:val="bottom"/>
          </w:tcPr>
          <w:p>
            <w:pPr>
              <w:jc w:val="right"/>
              <w:ind w:right="1337"/>
              <w:spacing w:after="0"/>
              <w:rPr>
                <w:sz w:val="20"/>
                <w:szCs w:val="20"/>
                <w:color w:val="auto"/>
              </w:rPr>
            </w:pPr>
            <w:r>
              <w:rPr>
                <w:rFonts w:ascii="Arial" w:cs="Arial" w:eastAsia="Arial" w:hAnsi="Arial"/>
                <w:sz w:val="14"/>
                <w:szCs w:val="14"/>
                <w:b w:val="1"/>
                <w:bCs w:val="1"/>
                <w:color w:val="auto"/>
              </w:rPr>
              <w:t>001-39058</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47-3533761</w:t>
            </w:r>
          </w:p>
        </w:tc>
        <w:tc>
          <w:tcPr>
            <w:tcW w:w="0" w:type="dxa"/>
            <w:vAlign w:val="bottom"/>
          </w:tcPr>
          <w:p>
            <w:pPr>
              <w:spacing w:after="0"/>
              <w:rPr>
                <w:sz w:val="1"/>
                <w:szCs w:val="1"/>
                <w:color w:val="auto"/>
              </w:rPr>
            </w:pPr>
          </w:p>
        </w:tc>
      </w:tr>
      <w:tr>
        <w:trPr>
          <w:trHeight w:val="157"/>
        </w:trPr>
        <w:tc>
          <w:tcPr>
            <w:tcW w:w="2900" w:type="dxa"/>
            <w:vAlign w:val="bottom"/>
          </w:tcPr>
          <w:p>
            <w:pPr>
              <w:jc w:val="center"/>
              <w:ind w:right="658"/>
              <w:spacing w:after="0"/>
              <w:rPr>
                <w:sz w:val="20"/>
                <w:szCs w:val="20"/>
                <w:color w:val="auto"/>
              </w:rPr>
            </w:pPr>
            <w:r>
              <w:rPr>
                <w:rFonts w:ascii="Arial" w:cs="Arial" w:eastAsia="Arial" w:hAnsi="Arial"/>
                <w:sz w:val="10"/>
                <w:szCs w:val="10"/>
                <w:b w:val="1"/>
                <w:bCs w:val="1"/>
                <w:color w:val="auto"/>
              </w:rPr>
              <w:t>(State or Other Jurisdiction</w:t>
            </w:r>
          </w:p>
        </w:tc>
        <w:tc>
          <w:tcPr>
            <w:tcW w:w="3180" w:type="dxa"/>
            <w:vAlign w:val="bottom"/>
          </w:tcPr>
          <w:p>
            <w:pPr>
              <w:spacing w:after="0"/>
              <w:rPr>
                <w:sz w:val="13"/>
                <w:szCs w:val="13"/>
                <w:color w:val="auto"/>
              </w:rPr>
            </w:pPr>
          </w:p>
        </w:tc>
        <w:tc>
          <w:tcPr>
            <w:tcW w:w="1900" w:type="dxa"/>
            <w:vAlign w:val="bottom"/>
          </w:tcPr>
          <w:p>
            <w:pPr>
              <w:jc w:val="center"/>
              <w:ind w:left="1000"/>
              <w:spacing w:after="0"/>
              <w:rPr>
                <w:sz w:val="20"/>
                <w:szCs w:val="20"/>
                <w:color w:val="auto"/>
              </w:rPr>
            </w:pPr>
            <w:r>
              <w:rPr>
                <w:rFonts w:ascii="Arial" w:cs="Arial" w:eastAsia="Arial" w:hAnsi="Arial"/>
                <w:sz w:val="10"/>
                <w:szCs w:val="10"/>
                <w:b w:val="1"/>
                <w:bCs w:val="1"/>
                <w:color w:val="auto"/>
                <w:w w:val="99"/>
              </w:rPr>
              <w:t>(IRS Employer</w:t>
            </w:r>
          </w:p>
        </w:tc>
        <w:tc>
          <w:tcPr>
            <w:tcW w:w="0" w:type="dxa"/>
            <w:vAlign w:val="bottom"/>
          </w:tcPr>
          <w:p>
            <w:pPr>
              <w:spacing w:after="0"/>
              <w:rPr>
                <w:sz w:val="1"/>
                <w:szCs w:val="1"/>
                <w:color w:val="auto"/>
              </w:rPr>
            </w:pPr>
          </w:p>
        </w:tc>
      </w:tr>
      <w:tr>
        <w:trPr>
          <w:trHeight w:val="133"/>
        </w:trPr>
        <w:tc>
          <w:tcPr>
            <w:tcW w:w="2900" w:type="dxa"/>
            <w:vAlign w:val="bottom"/>
          </w:tcPr>
          <w:p>
            <w:pPr>
              <w:jc w:val="center"/>
              <w:ind w:right="678"/>
              <w:spacing w:after="0"/>
              <w:rPr>
                <w:sz w:val="20"/>
                <w:szCs w:val="20"/>
                <w:color w:val="auto"/>
              </w:rPr>
            </w:pPr>
            <w:r>
              <w:rPr>
                <w:rFonts w:ascii="Arial" w:cs="Arial" w:eastAsia="Arial" w:hAnsi="Arial"/>
                <w:sz w:val="10"/>
                <w:szCs w:val="10"/>
                <w:b w:val="1"/>
                <w:bCs w:val="1"/>
                <w:color w:val="auto"/>
                <w:w w:val="99"/>
              </w:rPr>
              <w:t>of Incorporation)</w:t>
            </w:r>
          </w:p>
        </w:tc>
        <w:tc>
          <w:tcPr>
            <w:tcW w:w="3180" w:type="dxa"/>
            <w:vAlign w:val="bottom"/>
            <w:vMerge w:val="restart"/>
          </w:tcPr>
          <w:p>
            <w:pPr>
              <w:jc w:val="center"/>
              <w:ind w:right="257"/>
              <w:spacing w:after="0"/>
              <w:rPr>
                <w:sz w:val="20"/>
                <w:szCs w:val="20"/>
                <w:color w:val="auto"/>
              </w:rPr>
            </w:pPr>
            <w:r>
              <w:rPr>
                <w:rFonts w:ascii="Arial" w:cs="Arial" w:eastAsia="Arial" w:hAnsi="Arial"/>
                <w:sz w:val="11"/>
                <w:szCs w:val="11"/>
                <w:b w:val="1"/>
                <w:bCs w:val="1"/>
                <w:color w:val="auto"/>
                <w:w w:val="98"/>
              </w:rPr>
              <w:t>(Commission File Number)</w:t>
            </w:r>
          </w:p>
        </w:tc>
        <w:tc>
          <w:tcPr>
            <w:tcW w:w="1900" w:type="dxa"/>
            <w:vAlign w:val="bottom"/>
          </w:tcPr>
          <w:p>
            <w:pPr>
              <w:jc w:val="center"/>
              <w:ind w:left="1000"/>
              <w:spacing w:after="0"/>
              <w:rPr>
                <w:sz w:val="20"/>
                <w:szCs w:val="20"/>
                <w:color w:val="auto"/>
              </w:rPr>
            </w:pPr>
            <w:r>
              <w:rPr>
                <w:rFonts w:ascii="Arial" w:cs="Arial" w:eastAsia="Arial" w:hAnsi="Arial"/>
                <w:sz w:val="10"/>
                <w:szCs w:val="10"/>
                <w:b w:val="1"/>
                <w:bCs w:val="1"/>
                <w:color w:val="auto"/>
                <w:w w:val="99"/>
              </w:rPr>
              <w:t>Identification No.)</w:t>
            </w:r>
          </w:p>
        </w:tc>
        <w:tc>
          <w:tcPr>
            <w:tcW w:w="0" w:type="dxa"/>
            <w:vAlign w:val="bottom"/>
          </w:tcPr>
          <w:p>
            <w:pPr>
              <w:spacing w:after="0"/>
              <w:rPr>
                <w:sz w:val="1"/>
                <w:szCs w:val="1"/>
                <w:color w:val="auto"/>
              </w:rPr>
            </w:pPr>
          </w:p>
        </w:tc>
      </w:tr>
      <w:tr>
        <w:trPr>
          <w:trHeight w:val="45"/>
        </w:trPr>
        <w:tc>
          <w:tcPr>
            <w:tcW w:w="2900" w:type="dxa"/>
            <w:vAlign w:val="bottom"/>
          </w:tcPr>
          <w:p>
            <w:pPr>
              <w:spacing w:after="0"/>
              <w:rPr>
                <w:sz w:val="3"/>
                <w:szCs w:val="3"/>
                <w:color w:val="auto"/>
              </w:rPr>
            </w:pPr>
          </w:p>
        </w:tc>
        <w:tc>
          <w:tcPr>
            <w:tcW w:w="3180" w:type="dxa"/>
            <w:vAlign w:val="bottom"/>
            <w:vMerge w:val="continue"/>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6"/>
        </w:trPr>
        <w:tc>
          <w:tcPr>
            <w:tcW w:w="2900" w:type="dxa"/>
            <w:vAlign w:val="bottom"/>
          </w:tcPr>
          <w:p>
            <w:pPr>
              <w:jc w:val="center"/>
              <w:ind w:right="678"/>
              <w:spacing w:after="0"/>
              <w:rPr>
                <w:sz w:val="20"/>
                <w:szCs w:val="20"/>
                <w:color w:val="auto"/>
              </w:rPr>
            </w:pPr>
            <w:r>
              <w:rPr>
                <w:rFonts w:ascii="Arial" w:cs="Arial" w:eastAsia="Arial" w:hAnsi="Arial"/>
                <w:sz w:val="14"/>
                <w:szCs w:val="14"/>
                <w:b w:val="1"/>
                <w:bCs w:val="1"/>
                <w:color w:val="auto"/>
              </w:rPr>
              <w:t>125 West 25th Street, 11th Floor</w:t>
            </w:r>
          </w:p>
        </w:tc>
        <w:tc>
          <w:tcPr>
            <w:tcW w:w="3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00" w:type="dxa"/>
            <w:vAlign w:val="bottom"/>
          </w:tcPr>
          <w:p>
            <w:pPr>
              <w:jc w:val="center"/>
              <w:ind w:right="678"/>
              <w:spacing w:after="0"/>
              <w:rPr>
                <w:sz w:val="20"/>
                <w:szCs w:val="20"/>
                <w:color w:val="auto"/>
              </w:rPr>
            </w:pPr>
            <w:r>
              <w:rPr>
                <w:rFonts w:ascii="Arial" w:cs="Arial" w:eastAsia="Arial" w:hAnsi="Arial"/>
                <w:sz w:val="14"/>
                <w:szCs w:val="14"/>
                <w:b w:val="1"/>
                <w:bCs w:val="1"/>
                <w:color w:val="auto"/>
              </w:rPr>
              <w:t>New York, New York</w:t>
            </w:r>
          </w:p>
        </w:tc>
        <w:tc>
          <w:tcPr>
            <w:tcW w:w="3180" w:type="dxa"/>
            <w:vAlign w:val="bottom"/>
          </w:tcPr>
          <w:p>
            <w:pPr>
              <w:spacing w:after="0"/>
              <w:rPr>
                <w:sz w:val="17"/>
                <w:szCs w:val="17"/>
                <w:color w:val="auto"/>
              </w:rPr>
            </w:pPr>
          </w:p>
        </w:tc>
        <w:tc>
          <w:tcPr>
            <w:tcW w:w="1900" w:type="dxa"/>
            <w:vAlign w:val="bottom"/>
          </w:tcPr>
          <w:p>
            <w:pPr>
              <w:jc w:val="right"/>
              <w:ind w:right="160"/>
              <w:spacing w:after="0"/>
              <w:rPr>
                <w:sz w:val="20"/>
                <w:szCs w:val="20"/>
                <w:color w:val="auto"/>
              </w:rPr>
            </w:pPr>
            <w:r>
              <w:rPr>
                <w:rFonts w:ascii="Arial" w:cs="Arial" w:eastAsia="Arial" w:hAnsi="Arial"/>
                <w:sz w:val="14"/>
                <w:szCs w:val="14"/>
                <w:b w:val="1"/>
                <w:bCs w:val="1"/>
                <w:color w:val="auto"/>
              </w:rPr>
              <w:t>10001</w:t>
            </w:r>
          </w:p>
        </w:tc>
        <w:tc>
          <w:tcPr>
            <w:tcW w:w="0" w:type="dxa"/>
            <w:vAlign w:val="bottom"/>
          </w:tcPr>
          <w:p>
            <w:pPr>
              <w:spacing w:after="0"/>
              <w:rPr>
                <w:sz w:val="1"/>
                <w:szCs w:val="1"/>
                <w:color w:val="auto"/>
              </w:rPr>
            </w:pPr>
          </w:p>
        </w:tc>
      </w:tr>
      <w:tr>
        <w:trPr>
          <w:trHeight w:val="270"/>
        </w:trPr>
        <w:tc>
          <w:tcPr>
            <w:tcW w:w="2900" w:type="dxa"/>
            <w:vAlign w:val="bottom"/>
          </w:tcPr>
          <w:p>
            <w:pPr>
              <w:jc w:val="center"/>
              <w:ind w:right="678"/>
              <w:spacing w:after="0"/>
              <w:rPr>
                <w:sz w:val="20"/>
                <w:szCs w:val="20"/>
                <w:color w:val="auto"/>
              </w:rPr>
            </w:pPr>
            <w:r>
              <w:rPr>
                <w:rFonts w:ascii="Arial" w:cs="Arial" w:eastAsia="Arial" w:hAnsi="Arial"/>
                <w:sz w:val="11"/>
                <w:szCs w:val="11"/>
                <w:b w:val="1"/>
                <w:bCs w:val="1"/>
                <w:color w:val="auto"/>
                <w:w w:val="97"/>
              </w:rPr>
              <w:t>(Address of Principal Executive Offices)</w:t>
            </w:r>
          </w:p>
        </w:tc>
        <w:tc>
          <w:tcPr>
            <w:tcW w:w="3180" w:type="dxa"/>
            <w:vAlign w:val="bottom"/>
          </w:tcPr>
          <w:p>
            <w:pPr>
              <w:spacing w:after="0"/>
              <w:rPr>
                <w:sz w:val="23"/>
                <w:szCs w:val="23"/>
                <w:color w:val="auto"/>
              </w:rPr>
            </w:pPr>
          </w:p>
        </w:tc>
        <w:tc>
          <w:tcPr>
            <w:tcW w:w="1900" w:type="dxa"/>
            <w:vAlign w:val="bottom"/>
          </w:tcPr>
          <w:p>
            <w:pPr>
              <w:jc w:val="center"/>
              <w:ind w:left="1000"/>
              <w:spacing w:after="0"/>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bl>
    <w:p>
      <w:pPr>
        <w:spacing w:after="0" w:line="17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Registrant’s Telephone Number, Including Area Code: (866) 679-9129</w:t>
      </w:r>
    </w:p>
    <w:p>
      <w:pPr>
        <w:spacing w:after="0" w:line="22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Not Applicable</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18"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75" w:lineRule="exact"/>
        <w:rPr>
          <w:sz w:val="24"/>
          <w:szCs w:val="24"/>
          <w:color w:val="auto"/>
        </w:rPr>
      </w:pPr>
    </w:p>
    <w:p>
      <w:pPr>
        <w:ind w:right="40"/>
        <w:spacing w:after="0" w:line="305"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140"/>
        <w:spacing w:after="0"/>
        <w:rPr>
          <w:sz w:val="20"/>
          <w:szCs w:val="20"/>
          <w:color w:val="auto"/>
        </w:rPr>
      </w:pPr>
      <w:r>
        <w:rPr>
          <w:rFonts w:ascii="Arial" w:cs="Arial" w:eastAsia="Arial" w:hAnsi="Arial"/>
          <w:sz w:val="14"/>
          <w:szCs w:val="14"/>
          <w:color w:val="auto"/>
        </w:rPr>
        <w:t>Written communications pursuant to Rule 425 under the Securities Act (17 CFR 230.425)</w:t>
      </w:r>
    </w:p>
    <w:p>
      <w:pPr>
        <w:spacing w:after="0" w:line="16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Soliciting material pursuant to Rule 14a-12 under the Exchange Act (17 CFR 240.14a-12)</w:t>
      </w:r>
    </w:p>
    <w:p>
      <w:pPr>
        <w:spacing w:after="0" w:line="16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162" w:lineRule="exact"/>
        <w:rPr>
          <w:sz w:val="24"/>
          <w:szCs w:val="24"/>
          <w:color w:val="auto"/>
        </w:rPr>
      </w:pPr>
    </w:p>
    <w:p>
      <w:pPr>
        <w:ind w:left="140"/>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p>
      <w:pPr>
        <w:spacing w:after="0" w:line="108"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7" w:lineRule="exact"/>
        <w:rPr>
          <w:sz w:val="24"/>
          <w:szCs w:val="24"/>
          <w:color w:val="auto"/>
        </w:rPr>
      </w:pPr>
    </w:p>
    <w:tbl>
      <w:tblPr>
        <w:tblLayout w:type="fixed"/>
        <w:tblInd w:w="870" w:type="dxa"/>
        <w:tblCellMar>
          <w:top w:w="0" w:type="dxa"/>
          <w:left w:w="0" w:type="dxa"/>
          <w:bottom w:w="0" w:type="dxa"/>
          <w:right w:w="0" w:type="dxa"/>
        </w:tblCellMar>
      </w:tblPr>
      <w:tr>
        <w:trPr>
          <w:trHeight w:val="210"/>
        </w:trPr>
        <w:tc>
          <w:tcPr>
            <w:tcW w:w="4580" w:type="dxa"/>
            <w:vAlign w:val="bottom"/>
            <w:tcBorders>
              <w:top w:val="single" w:sz="8" w:color="auto"/>
              <w:left w:val="single" w:sz="8" w:color="auto"/>
              <w:bottom w:val="single" w:sz="8" w:color="auto"/>
              <w:right w:val="single" w:sz="8" w:color="auto"/>
            </w:tcBorders>
          </w:tcPr>
          <w:p>
            <w:pPr>
              <w:ind w:left="1680"/>
              <w:spacing w:after="0"/>
              <w:rPr>
                <w:sz w:val="20"/>
                <w:szCs w:val="20"/>
                <w:color w:val="auto"/>
              </w:rPr>
            </w:pPr>
            <w:r>
              <w:rPr>
                <w:rFonts w:ascii="Arial" w:cs="Arial" w:eastAsia="Arial" w:hAnsi="Arial"/>
                <w:sz w:val="14"/>
                <w:szCs w:val="14"/>
                <w:color w:val="auto"/>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Trading Symbol</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196"/>
        </w:trPr>
        <w:tc>
          <w:tcPr>
            <w:tcW w:w="4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Class A Common Stock, $0.000025 par value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PTON</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The Nasdaq Stock Market LLC</w:t>
            </w:r>
          </w:p>
        </w:tc>
      </w:tr>
    </w:tbl>
    <w:p>
      <w:pPr>
        <w:spacing w:after="0" w:line="139" w:lineRule="exact"/>
        <w:rPr>
          <w:sz w:val="24"/>
          <w:szCs w:val="24"/>
          <w:color w:val="auto"/>
        </w:rPr>
      </w:pPr>
    </w:p>
    <w:p>
      <w:pPr>
        <w:spacing w:after="0" w:line="305"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ectPr>
          <w:pgSz w:w="11900" w:h="16838" w:orient="portrait"/>
          <w:cols w:equalWidth="0" w:num="1">
            <w:col w:w="11300"/>
          </w:cols>
          <w:pgMar w:left="220" w:top="746" w:right="379" w:bottom="1440" w:gutter="0" w:footer="0" w:header="0"/>
        </w:sectPr>
      </w:pPr>
    </w:p>
    <w:bookmarkStart w:id="1" w:name="page2"/>
    <w:bookmarkEnd w:id="1"/>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0"/>
          <w:szCs w:val="20"/>
          <w:color w:val="auto"/>
        </w:rPr>
      </w:pPr>
    </w:p>
    <w:p>
      <w:pPr>
        <w:spacing w:after="0" w:line="191" w:lineRule="exact"/>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4"/>
          <w:szCs w:val="14"/>
          <w:color w:val="auto"/>
        </w:rPr>
        <w:t>☑</w:t>
      </w:r>
    </w:p>
    <w:p>
      <w:pPr>
        <w:sectPr>
          <w:pgSz w:w="11900" w:h="16838" w:orient="portrait"/>
          <w:cols w:equalWidth="0" w:num="1">
            <w:col w:w="10920"/>
          </w:cols>
          <w:pgMar w:left="220" w:top="716" w:right="75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23" w:lineRule="exact"/>
        <w:rPr>
          <w:sz w:val="20"/>
          <w:szCs w:val="20"/>
          <w:color w:val="auto"/>
        </w:rPr>
      </w:pPr>
    </w:p>
    <w:p>
      <w:pPr>
        <w:jc w:val="both"/>
        <w:ind w:firstLine="517"/>
        <w:spacing w:after="0" w:line="297" w:lineRule="auto"/>
        <w:rPr>
          <w:sz w:val="20"/>
          <w:szCs w:val="20"/>
          <w:color w:val="auto"/>
        </w:rPr>
      </w:pPr>
      <w:r>
        <w:rPr>
          <w:rFonts w:ascii="Arial" w:cs="Arial" w:eastAsia="Arial" w:hAnsi="Arial"/>
          <w:sz w:val="14"/>
          <w:szCs w:val="14"/>
          <w:color w:val="auto"/>
        </w:rPr>
        <w:t>On February 5, 2020, Peloton Interactive, Inc. (“Peloton” or the "Company") will hold a conference call regarding its financial results for the quarter ended December 31, 2019. Peloton also issued a letter to its stockholders announcing its financial results for the quarter ended December 31, 2019 (the “Shareholder Letter”). A copy of the Shareholder Letter is furnished as Exhibit 99.1 to this Current Report on Form 8-K.</w:t>
      </w:r>
    </w:p>
    <w:p>
      <w:pPr>
        <w:spacing w:after="0" w:line="157" w:lineRule="exact"/>
        <w:rPr>
          <w:sz w:val="20"/>
          <w:szCs w:val="20"/>
          <w:color w:val="auto"/>
        </w:rPr>
      </w:pPr>
    </w:p>
    <w:p>
      <w:pPr>
        <w:jc w:val="both"/>
        <w:ind w:firstLine="517"/>
        <w:spacing w:after="0" w:line="297" w:lineRule="auto"/>
        <w:rPr>
          <w:sz w:val="20"/>
          <w:szCs w:val="20"/>
          <w:color w:val="auto"/>
        </w:rPr>
      </w:pPr>
      <w:r>
        <w:rPr>
          <w:rFonts w:ascii="Arial" w:cs="Arial" w:eastAsia="Arial" w:hAnsi="Arial"/>
          <w:sz w:val="14"/>
          <w:szCs w:val="14"/>
          <w:color w:val="auto"/>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57" w:lineRule="exact"/>
        <w:rPr>
          <w:sz w:val="20"/>
          <w:szCs w:val="20"/>
          <w:color w:val="auto"/>
        </w:rPr>
      </w:pPr>
    </w:p>
    <w:p>
      <w:pPr>
        <w:jc w:val="both"/>
        <w:ind w:firstLine="517"/>
        <w:spacing w:after="0" w:line="305" w:lineRule="auto"/>
        <w:rPr>
          <w:sz w:val="20"/>
          <w:szCs w:val="20"/>
          <w:color w:val="auto"/>
        </w:rPr>
      </w:pPr>
      <w:r>
        <w:rPr>
          <w:rFonts w:ascii="Arial" w:cs="Arial" w:eastAsia="Arial" w:hAnsi="Arial"/>
          <w:sz w:val="14"/>
          <w:szCs w:val="14"/>
          <w:color w:val="auto"/>
        </w:rPr>
        <w:t>Peloton is making reference to non-GAAP financial information in both the Shareholder Letter and the conference call. A reconciliation of GAAP to non-GAAP results is provided in the Shareholder Letter, as attached to this Current Report on Form 8-K.</w:t>
      </w:r>
    </w:p>
    <w:p>
      <w:pPr>
        <w:spacing w:after="0" w:line="151" w:lineRule="exact"/>
        <w:rPr>
          <w:sz w:val="20"/>
          <w:szCs w:val="20"/>
          <w:color w:val="auto"/>
        </w:rPr>
      </w:pPr>
    </w:p>
    <w:p>
      <w:pPr>
        <w:jc w:val="both"/>
        <w:ind w:firstLine="517"/>
        <w:spacing w:after="0" w:line="305" w:lineRule="auto"/>
        <w:rPr>
          <w:sz w:val="20"/>
          <w:szCs w:val="20"/>
          <w:color w:val="auto"/>
        </w:rPr>
      </w:pPr>
      <w:r>
        <w:rPr>
          <w:rFonts w:ascii="Arial" w:cs="Arial" w:eastAsia="Arial" w:hAnsi="Arial"/>
          <w:sz w:val="14"/>
          <w:szCs w:val="14"/>
          <w:color w:val="auto"/>
        </w:rPr>
        <w:t>Peloton uses its Investor Relations website (https://investor.onepeloton.com/investor-relations) as a means of disclosing material non-public information and for complying with its disclosure obligations under Regulation FD.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8.01 Other Events.</w:t>
      </w:r>
    </w:p>
    <w:p>
      <w:pPr>
        <w:spacing w:after="0" w:line="223" w:lineRule="exact"/>
        <w:rPr>
          <w:sz w:val="20"/>
          <w:szCs w:val="20"/>
          <w:color w:val="auto"/>
        </w:rPr>
      </w:pPr>
    </w:p>
    <w:p>
      <w:pPr>
        <w:jc w:val="both"/>
        <w:ind w:firstLine="517"/>
        <w:spacing w:after="0" w:line="292" w:lineRule="auto"/>
        <w:rPr>
          <w:sz w:val="20"/>
          <w:szCs w:val="20"/>
          <w:color w:val="auto"/>
        </w:rPr>
      </w:pPr>
      <w:r>
        <w:rPr>
          <w:rFonts w:ascii="Arial" w:cs="Arial" w:eastAsia="Arial" w:hAnsi="Arial"/>
          <w:sz w:val="14"/>
          <w:szCs w:val="14"/>
          <w:color w:val="auto"/>
        </w:rPr>
        <w:t>In connection with the initial public offering of Class A common stock (the “IPO”) of Peloton, all of the Company’s executive officers, directors, and substantially all of the holders of the Company’s common stock, or securities exercisable for or convertible into the Company’s common stock outstanding immediately prior to the IPO, including shares of Class A common stock issued in a private placement to entities affiliated with TCV, an existing stockholder, concurrently with the IPO (the “Private Placement”), and shares of Class A common stock purchased by two directors of the Company in the IPO, were parties to market standoff agreements with the Company or entered into lock-up agreements with the underwriters that restrict their ability to sell or transfer their shares, or otherwise engage in certain transactions related to their shares, for a period of 180 days after September 25, 2019. Such period is referred to as the lock-up period.</w:t>
      </w:r>
    </w:p>
    <w:p>
      <w:pPr>
        <w:spacing w:after="0" w:line="161"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4"/>
          <w:szCs w:val="14"/>
          <w:color w:val="auto"/>
        </w:rPr>
        <w:t>Pursuant to the lock-up agreements with the underwriters, if (i) at least 120 days have elapsed since September 25, 2019, (ii) the Company has publicly released earnings results for the quarterly period during which the IPO occurred and (iii) such lock-up period is scheduled to end during or within five trading days prior to a broadly applicable period during which trading in the Company’s securities would not be permitted under its insider trading policy (the “blackout period”), such lock-up period will end ten trading days prior to the commencement of such blackout period.</w:t>
      </w:r>
    </w:p>
    <w:p>
      <w:pPr>
        <w:spacing w:after="0" w:line="159"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4"/>
          <w:szCs w:val="14"/>
          <w:color w:val="auto"/>
        </w:rPr>
        <w:t>The lock-up period is scheduled to end on March 23, 2020, which falls within the Company’s quarterly blackout period that commences at the end of the day on March 7, 2020. Therefore, in accordance with the lock-up agreements with the underwriters, the lock-up period will end on February 23, 2020 and shares subject to the lockup period will be eligible to begin trading on February 24, 2020, which is ten trading days prior to the commencement of the Company’s quarterly blackout period. The Company will also release the market standoff agreements when the lock-up period expires.</w:t>
      </w:r>
    </w:p>
    <w:p>
      <w:pPr>
        <w:jc w:val="both"/>
        <w:ind w:firstLine="517"/>
        <w:spacing w:after="0" w:line="293" w:lineRule="auto"/>
        <w:rPr>
          <w:sz w:val="20"/>
          <w:szCs w:val="20"/>
          <w:color w:val="auto"/>
        </w:rPr>
      </w:pPr>
      <w:r>
        <w:rPr>
          <w:rFonts w:ascii="Arial" w:cs="Arial" w:eastAsia="Arial" w:hAnsi="Arial"/>
          <w:sz w:val="14"/>
          <w:szCs w:val="14"/>
          <w:color w:val="auto"/>
        </w:rPr>
        <w:t>The Company estimates that, based on the number of shares of the Company's capital stock which as of January 31, 2020 are: (i) outstanding or (ii) subject to stock options that have or will be vested as of February 24, 2020, approximately 317.4 million shares of Class A common stock (including approximately 273.4 million shares of Class B common stock convertible into Class A common stock) may become eligible for sale in the public market at the open of trading on February 24, 2020, including (i) 3,448,275 shares of Class A common stock issued in the Private Placement and (ii) 86,206 shares of Class A common stock issued to the two directors of the Company in the IPO. This includes shares held by affiliates which are subject to volume and other restrictions of Rule 144 of the Securities Act of 1933, as amended.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ectPr>
          <w:pgSz w:w="11900" w:h="16838" w:orient="portrait"/>
          <w:cols w:equalWidth="0" w:num="1">
            <w:col w:w="11460"/>
          </w:cols>
          <w:pgMar w:left="220" w:top="649"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8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Title or Description</w:t>
            </w:r>
          </w:p>
        </w:tc>
        <w:tc>
          <w:tcPr>
            <w:tcW w:w="0" w:type="dxa"/>
            <w:vAlign w:val="bottom"/>
          </w:tcPr>
          <w:p>
            <w:pPr>
              <w:spacing w:after="0"/>
              <w:rPr>
                <w:sz w:val="1"/>
                <w:szCs w:val="1"/>
                <w:color w:val="auto"/>
              </w:rPr>
            </w:pPr>
          </w:p>
        </w:tc>
      </w:tr>
      <w:tr>
        <w:trPr>
          <w:trHeight w:val="206"/>
        </w:trPr>
        <w:tc>
          <w:tcPr>
            <w:tcW w:w="860" w:type="dxa"/>
            <w:vAlign w:val="bottom"/>
            <w:vMerge w:val="restart"/>
          </w:tcPr>
          <w:p>
            <w:pPr>
              <w:jc w:val="right"/>
              <w:ind w:right="388"/>
              <w:spacing w:after="0"/>
              <w:rPr>
                <w:sz w:val="20"/>
                <w:szCs w:val="20"/>
                <w:color w:val="auto"/>
              </w:rPr>
            </w:pPr>
            <w:r>
              <w:rPr>
                <w:rFonts w:ascii="Arial" w:cs="Arial" w:eastAsia="Arial" w:hAnsi="Arial"/>
                <w:sz w:val="14"/>
                <w:szCs w:val="14"/>
                <w:color w:val="auto"/>
              </w:rPr>
              <w:t>99.1</w:t>
            </w:r>
          </w:p>
        </w:tc>
        <w:tc>
          <w:tcPr>
            <w:tcW w:w="380" w:type="dxa"/>
            <w:vAlign w:val="bottom"/>
          </w:tcPr>
          <w:p>
            <w:pPr>
              <w:spacing w:after="0"/>
              <w:rPr>
                <w:sz w:val="17"/>
                <w:szCs w:val="17"/>
                <w:color w:val="auto"/>
              </w:rPr>
            </w:pPr>
          </w:p>
        </w:tc>
        <w:tc>
          <w:tcPr>
            <w:tcW w:w="3000" w:type="dxa"/>
            <w:vAlign w:val="bottom"/>
            <w:tcBorders>
              <w:bottom w:val="single" w:sz="8" w:color="0000FF"/>
            </w:tcBorders>
          </w:tcPr>
          <w:p>
            <w:pPr>
              <w:spacing w:after="0"/>
              <w:rPr>
                <w:rFonts w:ascii="Arial" w:cs="Arial" w:eastAsia="Arial" w:hAnsi="Arial"/>
                <w:sz w:val="14"/>
                <w:szCs w:val="14"/>
                <w:color w:val="0000FF"/>
              </w:rPr>
            </w:pPr>
            <w:hyperlink w:anchor="page6">
              <w:r>
                <w:rPr>
                  <w:rFonts w:ascii="Arial" w:cs="Arial" w:eastAsia="Arial" w:hAnsi="Arial"/>
                  <w:sz w:val="14"/>
                  <w:szCs w:val="14"/>
                  <w:color w:val="0000FF"/>
                </w:rPr>
                <w:t xml:space="preserve">Letter to Shareholders, dated February </w:t>
              </w:r>
            </w:hyperlink>
            <w:r>
              <w:rPr>
                <w:rFonts w:ascii="Arial" w:cs="Arial" w:eastAsia="Arial" w:hAnsi="Arial"/>
                <w:sz w:val="14"/>
                <w:szCs w:val="14"/>
                <w:color w:val="0000FF"/>
              </w:rPr>
              <w:t>5, 2020</w:t>
            </w:r>
          </w:p>
        </w:tc>
        <w:tc>
          <w:tcPr>
            <w:tcW w:w="0" w:type="dxa"/>
            <w:vAlign w:val="bottom"/>
          </w:tcPr>
          <w:p>
            <w:pPr>
              <w:spacing w:after="0"/>
              <w:rPr>
                <w:sz w:val="1"/>
                <w:szCs w:val="1"/>
                <w:color w:val="auto"/>
              </w:rPr>
            </w:pPr>
          </w:p>
        </w:tc>
      </w:tr>
      <w:tr>
        <w:trPr>
          <w:trHeight w:val="44"/>
        </w:trPr>
        <w:tc>
          <w:tcPr>
            <w:tcW w:w="86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9979"/>
          </w:cols>
          <w:pgMar w:left="480" w:top="714" w:right="1440" w:bottom="1440" w:gutter="0" w:footer="0" w:header="0"/>
        </w:sectPr>
      </w:pPr>
    </w:p>
    <w:bookmarkStart w:id="4" w:name="page5"/>
    <w:bookmarkEnd w:id="4"/>
    <w:p>
      <w:pPr>
        <w:jc w:val="center"/>
        <w:ind w:right="-179"/>
        <w:spacing w:after="0"/>
        <w:rPr>
          <w:sz w:val="20"/>
          <w:szCs w:val="20"/>
          <w:color w:val="auto"/>
        </w:rPr>
      </w:pPr>
      <w:r>
        <w:rPr>
          <w:rFonts w:ascii="Arial" w:cs="Arial" w:eastAsia="Arial" w:hAnsi="Arial"/>
          <w:sz w:val="14"/>
          <w:szCs w:val="14"/>
          <w:b w:val="1"/>
          <w:bCs w:val="1"/>
          <w:color w:val="auto"/>
        </w:rPr>
        <w:t>SIGNATURES</w:t>
      </w:r>
    </w:p>
    <w:p>
      <w:pPr>
        <w:spacing w:after="0" w:line="209"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PELOTON INTERACTIVE, INC.</w:t>
      </w:r>
    </w:p>
    <w:p>
      <w:pPr>
        <w:spacing w:after="0" w:line="328" w:lineRule="exact"/>
        <w:rPr>
          <w:sz w:val="20"/>
          <w:szCs w:val="20"/>
          <w:color w:val="auto"/>
        </w:rPr>
      </w:pPr>
    </w:p>
    <w:p>
      <w:pPr>
        <w:ind w:left="20"/>
        <w:spacing w:after="0"/>
        <w:tabs>
          <w:tab w:leader="none" w:pos="4420" w:val="left"/>
          <w:tab w:leader="none" w:pos="5220" w:val="left"/>
        </w:tabs>
        <w:rPr>
          <w:sz w:val="20"/>
          <w:szCs w:val="20"/>
          <w:color w:val="auto"/>
        </w:rPr>
      </w:pPr>
      <w:r>
        <w:rPr>
          <w:rFonts w:ascii="Arial" w:cs="Arial" w:eastAsia="Arial" w:hAnsi="Arial"/>
          <w:sz w:val="14"/>
          <w:szCs w:val="14"/>
          <w:color w:val="auto"/>
        </w:rPr>
        <w:t>Date: February 5, 2020</w:t>
      </w:r>
      <w:r>
        <w:rPr>
          <w:sz w:val="20"/>
          <w:szCs w:val="20"/>
          <w:color w:val="auto"/>
        </w:rPr>
        <w:tab/>
      </w: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3322955</wp:posOffset>
            </wp:positionH>
            <wp:positionV relativeFrom="paragraph">
              <wp:posOffset>27940</wp:posOffset>
            </wp:positionV>
            <wp:extent cx="286067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60675" cy="6985"/>
                    </a:xfrm>
                    <a:prstGeom prst="rect">
                      <a:avLst/>
                    </a:prstGeom>
                    <a:noFill/>
                  </pic:spPr>
                </pic:pic>
              </a:graphicData>
            </a:graphic>
          </wp:anchor>
        </w:drawing>
      </w:r>
    </w:p>
    <w:p>
      <w:pPr>
        <w:spacing w:after="0" w:line="88"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Jill Woodworth</w:t>
      </w:r>
    </w:p>
    <w:p>
      <w:pPr>
        <w:spacing w:after="0" w:line="108"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220" w:top="653" w:right="39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307975</wp:posOffset>
            </wp:positionV>
            <wp:extent cx="7217410" cy="9473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73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7410" cy="947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9885045</wp:posOffset>
            </wp:positionV>
            <wp:extent cx="7217410"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741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431165</wp:posOffset>
            </wp:positionV>
            <wp:extent cx="7217410" cy="94805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7410" cy="9480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2020-02-05T15:10:33Z</dcterms:created>
  <dcterms:modified xsi:type="dcterms:W3CDTF">2020-02-05T15:10:33Z</dcterms:modified>
</cp:coreProperties>
</file>