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Jill Woodworth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Street, 11th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York, 10001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Interactive,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30, 2021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Woodworth: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March 30, 2021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our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our comment,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comments. Unless we note otherwise, our references to prior comments are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comments in 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17,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June 30,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 March 30, 2021,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one. Please clearly explain to us how you determine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copyright and</w:t>
      </w:r>
    </w:p>
    <w:p>
      <w:pPr>
        <w:spacing w:after="0"/>
        <w:tabs>
          <w:tab w:leader="none" w:pos="5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litigation matters are considered to be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outside the-ordinary-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course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therefore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excluded from your non-GAAP measures. We note from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other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parts of your annual report, that your success depends in large part on your proprietary</w:t>
      </w: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technology and your patents, trade secrets, trademarks, and other intellectual property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 and that you spend significant resources to monitor and protect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rights. As such,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would be reasonable that related costs would be normal, recurring operating expenses.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and tell us the other types of matters that you consider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be extraordinary 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Jill Woodworth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Charles Eastman, Staff Accountant, at (202) 551-3794 or Melissa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Gilmore, Staff Accountant, at (202) 551-3777 if you have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right="118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LastNameJill Woodworth Comapany NamePeloton Interactive,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80" w:space="7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 Corporation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April 8, 2021 Page</w:t>
            </w:r>
          </w:p>
        </w:tc>
        <w:tc>
          <w:tcPr>
            <w:tcW w:w="2040" w:type="dxa"/>
            <w:vAlign w:val="bottom"/>
          </w:tcPr>
          <w:p>
            <w:pPr>
              <w:jc w:val="right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</w:t>
            </w:r>
          </w:p>
        </w:tc>
        <w:tc>
          <w:tcPr>
            <w:tcW w:w="432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Manufacturing</w:t>
            </w: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FirstName LastName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2021-05-24T23:07:22Z</dcterms:created>
  <dcterms:modified xsi:type="dcterms:W3CDTF">2021-05-24T23:07:22Z</dcterms:modified>
</cp:coreProperties>
</file>