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7047230" cy="4618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1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Coddington Elizabeth F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PELOTON INTERACTIVE, INC.</w:t>
            </w:r>
          </w:p>
        </w:tc>
      </w:tr>
      <w:tr>
        <w:trPr>
          <w:trHeight w:val="25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 NINTH AVENUE, SIXTH FLOOR</w:t>
            </w:r>
          </w:p>
        </w:tc>
      </w:tr>
      <w:tr>
        <w:trPr>
          <w:trHeight w:val="42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10001</w:t>
            </w:r>
          </w:p>
        </w:tc>
      </w:tr>
      <w:tr>
        <w:trPr>
          <w:trHeight w:val="4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PELOTON INTERACTIVE,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PTON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as to 6.25% of the total shares quarterly, commencing November 15, 2023, with 100% of the total shares vested on August 15, 2027, subject to the reporting person's provision of service to the issuer on each vesting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Bart Goldstein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-12700</wp:posOffset>
            </wp:positionV>
            <wp:extent cx="1261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Elizabeth 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09/06/2023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18776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Coddington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32433" TargetMode="External"/><Relationship Id="rId13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2023-09-06T15:29:17Z</dcterms:created>
  <dcterms:modified xsi:type="dcterms:W3CDTF">2023-09-06T15:29:17Z</dcterms:modified>
</cp:coreProperties>
</file>