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726920.xml.htm"/>
      <w:bookmarkStart w:id="1" w:name="kswkform4_17817269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Caldwell Nick V.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9TH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115,740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1,051,835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</w:t>
            </w:r>
            <w:r>
              <w:rPr/>
              <w:t xml:space="preserve"> 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990,062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115,740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115,740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578,704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cover the Reporting Person's tax liability with respect to the settlement of RSUs that vested on June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as to 25% of the total shares on November 1, 2024, then 6.25% of the total shares vest quarterly, commencing December 15, 2024, with 100% of the total shares vested on September 15, 2027,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Nick V. Caldwell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8934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700</Words>
  <Characters>3713</Characters>
  <CharactersWithSpaces>4333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