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7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May 7, 2026</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7" w:lineRule="exact"/>
        <w:rPr>
          <w:sz w:val="24"/>
          <w:szCs w:val="24"/>
          <w:color w:val="auto"/>
        </w:rPr>
      </w:pPr>
    </w:p>
    <w:tbl>
      <w:tblPr>
        <w:tblLayout w:type="fixed"/>
        <w:tblInd w:w="1160" w:type="dxa"/>
        <w:tblCellMar>
          <w:top w:w="0" w:type="dxa"/>
          <w:left w:w="0" w:type="dxa"/>
          <w:bottom w:w="0" w:type="dxa"/>
          <w:right w:w="0" w:type="dxa"/>
        </w:tblCellMar>
      </w:tblPr>
      <w:tr>
        <w:trPr>
          <w:trHeight w:val="247"/>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31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6" w:right="479" w:bottom="1440" w:gutter="0" w:footer="0" w:header="0"/>
        </w:sectPr>
      </w:pPr>
    </w:p>
    <w:bookmarkStart w:id="1" w:name="page2"/>
    <w:bookmarkEnd w:id="1"/>
    <w:p>
      <w:pPr>
        <w:spacing w:after="0" w:line="28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4" w:right="5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May 7, 2026, Peloton Interactive, Inc. (“Peloton” or the “Company”) will hold a conference call regarding its financial results for the quarter ended March 31, 2026.</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Peloton also issued a press release announcing its financial results for the quarterly period ended March 31, 2026. A copy of the press release is furnished as Exhibit 99.1 to this Current Report on Form 8-K.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Peloton is making reference to non-GAAP financial information in both the press release and the conference call. A reconciliation of GAAP to non-GAAP results is provided in the press release, as attached to this Current Report on Form 8-K.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Peloton uses its Investor Relations website (https://investor.onepeloton.com/investor-relations) and Press Newsroom (https://www.onepeloton.com/press) as means of disclosing material non-public information and for complying with its disclosure obligations under Regulation FD.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furnished with Item 2.02 to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r>
              <w:rPr>
                <w:rFonts w:ascii="Arial" w:cs="Arial" w:eastAsia="Arial" w:hAnsi="Arial"/>
                <w:sz w:val="18"/>
                <w:szCs w:val="18"/>
                <w:color w:val="auto"/>
              </w:rPr>
              <w:t>(d) Exhibits.</w:t>
            </w:r>
          </w:p>
        </w:tc>
        <w:tc>
          <w:tcPr>
            <w:tcW w:w="276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9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color w:val="auto"/>
              </w:rPr>
              <w:t>99.1</w:t>
            </w:r>
          </w:p>
        </w:tc>
        <w:tc>
          <w:tcPr>
            <w:tcW w:w="8980" w:type="dxa"/>
            <w:vAlign w:val="bottom"/>
            <w:gridSpan w:val="2"/>
          </w:tcPr>
          <w:p>
            <w:pPr>
              <w:spacing w:after="0" w:line="182" w:lineRule="exact"/>
              <w:rPr>
                <w:sz w:val="20"/>
                <w:szCs w:val="20"/>
                <w:color w:val="auto"/>
              </w:rPr>
            </w:pPr>
            <w:r>
              <w:rPr>
                <w:rFonts w:ascii="Arial" w:cs="Arial" w:eastAsia="Arial" w:hAnsi="Arial"/>
                <w:sz w:val="18"/>
                <w:szCs w:val="18"/>
                <w:color w:val="0000FF"/>
              </w:rPr>
              <w:t>Press Release, dated May 7, 2026</w:t>
            </w:r>
          </w:p>
        </w:tc>
      </w:tr>
      <w:tr>
        <w:trPr>
          <w:trHeight w:val="20"/>
        </w:trPr>
        <w:tc>
          <w:tcPr>
            <w:tcW w:w="22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54"/>
        </w:trPr>
        <w:tc>
          <w:tcPr>
            <w:tcW w:w="2260" w:type="dxa"/>
            <w:vAlign w:val="bottom"/>
          </w:tcPr>
          <w:p>
            <w:pPr>
              <w:ind w:left="20"/>
              <w:spacing w:after="0"/>
              <w:rPr>
                <w:sz w:val="20"/>
                <w:szCs w:val="20"/>
                <w:color w:val="auto"/>
              </w:rPr>
            </w:pPr>
            <w:r>
              <w:rPr>
                <w:rFonts w:ascii="Arial" w:cs="Arial" w:eastAsia="Arial" w:hAnsi="Arial"/>
                <w:sz w:val="18"/>
                <w:szCs w:val="18"/>
                <w:color w:val="auto"/>
              </w:rPr>
              <w:t>104</w:t>
            </w: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96"/>
        </w:trPr>
        <w:tc>
          <w:tcPr>
            <w:tcW w:w="22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ectPr>
          <w:pgSz w:w="11900" w:h="16838" w:orient="portrait"/>
          <w:cols w:equalWidth="0" w:num="1">
            <w:col w:w="11200"/>
          </w:cols>
          <w:pgMar w:left="320" w:top="782" w:right="37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Peter Stern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Peter Stern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3">
            <w:col w:w="4040" w:space="720"/>
            <w:col w:w="260" w:space="540"/>
            <w:col w:w="5640"/>
          </w:cols>
          <w:pgMar w:left="320" w:top="782" w:right="37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4592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Peloton Announces Q3 FY2026 Financial Results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Delivered Year-over-Year Revenue Growth and Increases Expectation for Full Year FY26 Revenue and Free Cash Flow*</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Net Income was $26 million. Adjusted EBITDA* was $126 million, an increase of 41% year-over-year.</w:t>
      </w:r>
    </w:p>
    <w:p>
      <w:pPr>
        <w:spacing w:after="0" w:line="28"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Net Debt* was $173 million, a reduction of 70% year-over-year.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NEW YORK, NY – May 7, 2026 – Peloton Interactive, Inc. today reported financial results for the quarter ended March 31, 2026.</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FY2026 Financial Highlights</w:t>
      </w:r>
    </w:p>
    <w:p>
      <w:pPr>
        <w:spacing w:after="0" w:line="68" w:lineRule="exact"/>
        <w:rPr>
          <w:sz w:val="20"/>
          <w:szCs w:val="20"/>
          <w:color w:val="auto"/>
        </w:rPr>
      </w:pPr>
    </w:p>
    <w:p>
      <w:pPr>
        <w:ind w:left="660" w:right="540" w:hanging="328"/>
        <w:spacing w:after="0" w:line="24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Total Revenue was $631 million, an increase of $7 million or 1% year-over-year and $6 million above our guidance range, primarily driven by outperformance in Connected Fitness equipment sales across both Peloton and Precor brands.</w:t>
      </w:r>
    </w:p>
    <w:p>
      <w:pPr>
        <w:spacing w:after="0" w:line="1" w:lineRule="exact"/>
        <w:rPr>
          <w:rFonts w:ascii="Arial" w:cs="Arial" w:eastAsia="Arial" w:hAnsi="Arial"/>
          <w:sz w:val="18"/>
          <w:szCs w:val="18"/>
          <w:color w:val="auto"/>
        </w:rPr>
      </w:pPr>
    </w:p>
    <w:p>
      <w:pPr>
        <w:ind w:left="660" w:right="60" w:hanging="328"/>
        <w:spacing w:after="0" w:line="27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Ending Paid Connected Fitness Subscriptions were 2.662 million, a decrease of 218,000 or 7.6% year-over-year and in line with the midpoint of our guidance range.</w:t>
      </w:r>
    </w:p>
    <w:p>
      <w:pPr>
        <w:ind w:left="660" w:right="220" w:hanging="328"/>
        <w:spacing w:after="0" w:line="28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Gross Margin was 51.9%, an increase of 90 bps year-over-year and 210 bps below our guidance due to opportunistic promotional activity in the quarter. Total Gross Profit was $327 million, an increase of $9 million or 3% year-over-year.</w:t>
      </w:r>
    </w:p>
    <w:p>
      <w:pPr>
        <w:spacing w:after="0" w:line="1" w:lineRule="exact"/>
        <w:rPr>
          <w:rFonts w:ascii="Arial" w:cs="Arial" w:eastAsia="Arial" w:hAnsi="Arial"/>
          <w:sz w:val="16"/>
          <w:szCs w:val="16"/>
          <w:color w:val="auto"/>
        </w:rPr>
      </w:pPr>
    </w:p>
    <w:p>
      <w:pPr>
        <w:ind w:left="660" w:right="140" w:hanging="328"/>
        <w:spacing w:after="0" w:line="28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Net income was $26 million. Adjusted EBITDA* was $126 million, an increase of $37 million or 41% year-over-year and within our guidance range.</w:t>
      </w:r>
    </w:p>
    <w:p>
      <w:pPr>
        <w:spacing w:after="0" w:line="1" w:lineRule="exact"/>
        <w:rPr>
          <w:rFonts w:ascii="Arial" w:cs="Arial" w:eastAsia="Arial" w:hAnsi="Arial"/>
          <w:sz w:val="16"/>
          <w:szCs w:val="16"/>
          <w:color w:val="auto"/>
        </w:rPr>
      </w:pPr>
    </w:p>
    <w:p>
      <w:pPr>
        <w:ind w:left="660" w:right="100" w:hanging="328"/>
        <w:spacing w:after="0" w:line="28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Net Cash provided by operating activities was $153 million. Free Cash Flow* was $151 million, an increase of $56 million or 59% year-over-year.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Total Debt was $1.299 billion. Net Debt* was $173 million, a decrease of $412 million or 70% year-over-year.</w:t>
      </w:r>
    </w:p>
    <w:p>
      <w:pPr>
        <w:spacing w:after="0" w:line="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Q3 we made great progress on deepening our relationships with our Members, growing our opportunities to reach new Members globally, diversifying our revenue streams, and planting new seeds for future growth. At the same time we continue to strengthen our financial foundation, highlighted by revenue growth, a significant increase in Adjusted EBITDA, and a dramatic reduction in Net Debt," said Peloton’s CEO &amp; President, Peter Stern. “With the announcement of the Peloton Commercial Series and the recent launch of our global Spotify partnership, we are accelerating our evolution into a comprehensive, global wellness ecosystem."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54" w:lineRule="exact"/>
        <w:rPr>
          <w:sz w:val="20"/>
          <w:szCs w:val="20"/>
          <w:color w:val="auto"/>
        </w:rPr>
      </w:pPr>
    </w:p>
    <w:p>
      <w:pPr>
        <w:ind w:left="660" w:right="98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the Commercial Series Tread and Bike, the first Peloton-branded heavy-duty equipment intended for high-use Commercial environments. Commercial Business Unit Revenue grew 14% year-over-year in Q3.</w:t>
      </w:r>
    </w:p>
    <w:p>
      <w:pPr>
        <w:spacing w:after="0" w:line="1" w:lineRule="exact"/>
        <w:rPr>
          <w:rFonts w:ascii="Arial" w:cs="Arial" w:eastAsia="Arial" w:hAnsi="Arial"/>
          <w:sz w:val="16"/>
          <w:szCs w:val="16"/>
          <w:color w:val="auto"/>
        </w:rPr>
      </w:pPr>
    </w:p>
    <w:p>
      <w:pPr>
        <w:ind w:left="660" w:right="30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Launched a content licensing partnership with Spotify in April, distributing Peloton content to Spotify Premium Members in most countries where Spotify is available.</w:t>
      </w:r>
    </w:p>
    <w:p>
      <w:pPr>
        <w:spacing w:after="0" w:line="1" w:lineRule="exact"/>
        <w:rPr>
          <w:rFonts w:ascii="Arial" w:cs="Arial" w:eastAsia="Arial" w:hAnsi="Arial"/>
          <w:sz w:val="16"/>
          <w:szCs w:val="16"/>
          <w:color w:val="auto"/>
        </w:rPr>
      </w:pPr>
    </w:p>
    <w:p>
      <w:pPr>
        <w:ind w:left="660" w:right="28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Pilates workouts increased 48% year-over-year in Q3, in part driven by Rebecca Kennedy’s HiLit Training Plan. 400,000 Members engaged with this plan in Q3.</w:t>
      </w:r>
    </w:p>
    <w:p>
      <w:pPr>
        <w:spacing w:after="0" w:line="1" w:lineRule="exact"/>
        <w:rPr>
          <w:rFonts w:ascii="Arial" w:cs="Arial" w:eastAsia="Arial" w:hAnsi="Arial"/>
          <w:sz w:val="16"/>
          <w:szCs w:val="16"/>
          <w:color w:val="auto"/>
        </w:rPr>
      </w:pPr>
    </w:p>
    <w:p>
      <w:pPr>
        <w:ind w:left="660" w:right="300" w:hanging="328"/>
        <w:spacing w:after="0" w:line="32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Released Andy Speer's 5-day Advanced Split, produced in German and Spanish, our first AI-dubbed programs which will enable us to efficiently scale future global expansion.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Below is our outlook for Full Year fiscal 2026. We intend to provide further details on our outlook during today’s earnings conference call.</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 Year FY26 Outlook</w:t>
      </w:r>
    </w:p>
    <w:p>
      <w:pPr>
        <w:spacing w:after="0" w:line="57" w:lineRule="exact"/>
        <w:rPr>
          <w:sz w:val="20"/>
          <w:szCs w:val="20"/>
          <w:color w:val="auto"/>
        </w:rPr>
      </w:pPr>
    </w:p>
    <w:p>
      <w:pPr>
        <w:ind w:left="660" w:right="100" w:hanging="328"/>
        <w:spacing w:after="0" w:line="281"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Revenue outlook of $2.42 billion to $2.44 billion, representing a decrease of $61 million or 2% year-over-year at the midpoint and an increase to the midpoint of our guidance range provided last quarter.</w:t>
      </w:r>
    </w:p>
    <w:p>
      <w:pPr>
        <w:spacing w:after="0" w:line="1" w:lineRule="exact"/>
        <w:rPr>
          <w:rFonts w:ascii="Arial" w:cs="Arial" w:eastAsia="Arial" w:hAnsi="Arial"/>
          <w:sz w:val="16"/>
          <w:szCs w:val="16"/>
          <w:color w:val="auto"/>
        </w:rPr>
      </w:pPr>
    </w:p>
    <w:p>
      <w:pPr>
        <w:ind w:left="660" w:right="20" w:hanging="328"/>
        <w:spacing w:after="0" w:line="272"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Gross Margin outlook of approximately 52.5%, reflecting an increase of 160 bps year-over-year and a 50 bps decrease to our outlook provided last quarter.</w:t>
      </w:r>
    </w:p>
    <w:p>
      <w:pPr>
        <w:spacing w:after="0" w:line="1" w:lineRule="exact"/>
        <w:rPr>
          <w:rFonts w:ascii="Arial" w:cs="Arial" w:eastAsia="Arial" w:hAnsi="Arial"/>
          <w:sz w:val="16"/>
          <w:szCs w:val="16"/>
          <w:color w:val="auto"/>
        </w:rPr>
      </w:pPr>
    </w:p>
    <w:p>
      <w:pPr>
        <w:ind w:left="660" w:right="160" w:hanging="328"/>
        <w:spacing w:after="0" w:line="321"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Adjusted EBITDA outlook of $470 million to $480 million, representing an increase of $71 million or 18% year-over-year at the midpoint and in-line with our outlook provided last quarter.</w:t>
      </w:r>
    </w:p>
    <w:p>
      <w:pPr>
        <w:spacing w:after="0" w:line="138"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3"/>
          <w:szCs w:val="13"/>
          <w:color w:val="auto"/>
        </w:rPr>
        <w:t>* For a reconciliation of all non-GAAP financial measures to their most directly comparable GAAP financial measure, and rationale for why we rely on these measures, please see the reconciliation tables below. We are not able to provide a reconciliation of these non-GAAP financial measures on a forward-looking basis without unreasonable efforts due to the inherent difficulties in forecasting certain amounts that affect Net income (loss), Adjusted EBITDA, Net cash provided by (used in) operating activities, and Free Cash Flow, as discussed in further detail in the Non-GAAP Financial Measures section below.</w:t>
      </w:r>
    </w:p>
    <w:p>
      <w:pPr>
        <w:sectPr>
          <w:pgSz w:w="11900" w:h="16838" w:orient="portrait"/>
          <w:cols w:equalWidth="0" w:num="1">
            <w:col w:w="11240"/>
          </w:cols>
          <w:pgMar w:left="320" w:top="1440"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expected to be in the vicinity of $350 million, an increase of $75 million from our minimum target provided last quarter.</w:t>
      </w:r>
    </w:p>
    <w:p>
      <w:pPr>
        <w:spacing w:after="0" w:line="32" w:lineRule="exact"/>
        <w:rPr>
          <w:rFonts w:ascii="Arial" w:cs="Arial" w:eastAsia="Arial" w:hAnsi="Arial"/>
          <w:sz w:val="16"/>
          <w:szCs w:val="16"/>
          <w:color w:val="auto"/>
        </w:rPr>
      </w:pPr>
    </w:p>
    <w:p>
      <w:pPr>
        <w:ind w:left="660" w:right="220" w:hanging="328"/>
        <w:spacing w:after="0" w:line="30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Ending Paid Connected Fitness Subscriptions is expected to be in the range of 2.55 million to 2.57 million, representing a decrease of 240,000 or 8.6% year-over-year at the midpoint.</w:t>
      </w:r>
    </w:p>
    <w:p>
      <w:pPr>
        <w:ind w:left="10440" w:hanging="186"/>
        <w:spacing w:after="0"/>
        <w:tabs>
          <w:tab w:leader="none" w:pos="1044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Change</w:t>
      </w:r>
    </w:p>
    <w:tbl>
      <w:tblPr>
        <w:tblLayout w:type="fixed"/>
        <w:tblInd w:w="0" w:type="dxa"/>
        <w:tblCellMar>
          <w:top w:w="0" w:type="dxa"/>
          <w:left w:w="0" w:type="dxa"/>
          <w:bottom w:w="0" w:type="dxa"/>
          <w:right w:w="0" w:type="dxa"/>
        </w:tblCellMar>
      </w:tblPr>
      <w:tr>
        <w:trPr>
          <w:trHeight w:val="201"/>
        </w:trPr>
        <w:tc>
          <w:tcPr>
            <w:tcW w:w="616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Reported</w:t>
            </w:r>
          </w:p>
        </w:tc>
        <w:tc>
          <w:tcPr>
            <w:tcW w:w="2600" w:type="dxa"/>
            <w:vAlign w:val="bottom"/>
            <w:gridSpan w:val="5"/>
          </w:tcPr>
          <w:p>
            <w:pPr>
              <w:ind w:left="780"/>
              <w:spacing w:after="0"/>
              <w:rPr>
                <w:sz w:val="20"/>
                <w:szCs w:val="20"/>
                <w:color w:val="auto"/>
              </w:rPr>
            </w:pPr>
            <w:r>
              <w:rPr>
                <w:rFonts w:ascii="Arial" w:cs="Arial" w:eastAsia="Arial" w:hAnsi="Arial"/>
                <w:sz w:val="16"/>
                <w:szCs w:val="16"/>
                <w:b w:val="1"/>
                <w:bCs w:val="1"/>
                <w:color w:val="auto"/>
              </w:rPr>
              <w:t>FY26 Range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(Midpoint)</w:t>
            </w:r>
          </w:p>
        </w:tc>
      </w:tr>
      <w:tr>
        <w:trPr>
          <w:trHeight w:val="21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FY25</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rPr>
              <w:t>High</w:t>
            </w:r>
          </w:p>
        </w:tc>
        <w:tc>
          <w:tcPr>
            <w:tcW w:w="1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Y/Y</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$2,490.8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9"/>
              </w:rPr>
              <w:t>$2,420.0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$2,440.0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r>
      <w:tr>
        <w:trPr>
          <w:trHeight w:val="270"/>
        </w:trPr>
        <w:tc>
          <w:tcPr>
            <w:tcW w:w="6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Total Gross Margin </w:t>
            </w:r>
            <w:r>
              <w:rPr>
                <w:rFonts w:ascii="Arial" w:cs="Arial" w:eastAsia="Arial" w:hAnsi="Arial"/>
                <w:sz w:val="21"/>
                <w:szCs w:val="21"/>
                <w:color w:val="auto"/>
                <w:vertAlign w:val="superscript"/>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160 bps</w:t>
            </w:r>
          </w:p>
        </w:tc>
      </w:tr>
      <w:tr>
        <w:trPr>
          <w:trHeight w:val="270"/>
        </w:trPr>
        <w:tc>
          <w:tcPr>
            <w:tcW w:w="6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$403.6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$470.0</w:t>
            </w:r>
          </w:p>
        </w:tc>
        <w:tc>
          <w:tcPr>
            <w:tcW w:w="1560" w:type="dxa"/>
            <w:vAlign w:val="bottom"/>
            <w:gridSpan w:val="3"/>
            <w:shd w:val="clear" w:color="auto" w:fill="CCEEFF"/>
          </w:tcPr>
          <w:p>
            <w:pPr>
              <w:jc w:val="center"/>
              <w:ind w:left="299"/>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r>
      <w:tr>
        <w:trPr>
          <w:trHeight w:val="256"/>
        </w:trPr>
        <w:tc>
          <w:tcPr>
            <w:tcW w:w="6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$323.7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56"/>
        </w:trPr>
        <w:tc>
          <w:tcPr>
            <w:tcW w:w="6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User Metrics (in millions)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2.800</w:t>
            </w:r>
          </w:p>
        </w:tc>
        <w:tc>
          <w:tcPr>
            <w:tcW w:w="100" w:type="dxa"/>
            <w:vAlign w:val="bottom"/>
          </w:tcPr>
          <w:p>
            <w:pPr>
              <w:spacing w:after="0"/>
              <w:rPr>
                <w:sz w:val="18"/>
                <w:szCs w:val="18"/>
                <w:color w:val="auto"/>
              </w:rPr>
            </w:pPr>
          </w:p>
        </w:tc>
        <w:tc>
          <w:tcPr>
            <w:tcW w:w="920" w:type="dxa"/>
            <w:vAlign w:val="bottom"/>
          </w:tcPr>
          <w:p>
            <w:pPr>
              <w:jc w:val="center"/>
              <w:ind w:left="199"/>
              <w:spacing w:after="0"/>
              <w:rPr>
                <w:sz w:val="20"/>
                <w:szCs w:val="20"/>
                <w:color w:val="auto"/>
              </w:rPr>
            </w:pPr>
            <w:r>
              <w:rPr>
                <w:rFonts w:ascii="Arial" w:cs="Arial" w:eastAsia="Arial" w:hAnsi="Arial"/>
                <w:sz w:val="16"/>
                <w:szCs w:val="16"/>
                <w:color w:val="auto"/>
                <w:w w:val="99"/>
              </w:rPr>
              <w:t>2.550</w:t>
            </w:r>
          </w:p>
        </w:tc>
        <w:tc>
          <w:tcPr>
            <w:tcW w:w="1560" w:type="dxa"/>
            <w:vAlign w:val="bottom"/>
            <w:gridSpan w:val="3"/>
          </w:tcPr>
          <w:p>
            <w:pPr>
              <w:jc w:val="center"/>
              <w:ind w:left="299"/>
              <w:spacing w:after="0"/>
              <w:rPr>
                <w:sz w:val="20"/>
                <w:szCs w:val="20"/>
                <w:color w:val="auto"/>
              </w:rPr>
            </w:pPr>
            <w:r>
              <w:rPr>
                <w:rFonts w:ascii="Arial" w:cs="Arial" w:eastAsia="Arial" w:hAnsi="Arial"/>
                <w:sz w:val="16"/>
                <w:szCs w:val="16"/>
                <w:color w:val="auto"/>
              </w:rPr>
              <w:t>2.570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(8.6)%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15" w:lineRule="exact"/>
        <w:rPr>
          <w:sz w:val="20"/>
          <w:szCs w:val="20"/>
          <w:color w:val="auto"/>
        </w:rPr>
      </w:pPr>
    </w:p>
    <w:p>
      <w:pPr>
        <w:jc w:val="both"/>
        <w:ind w:firstLine="8"/>
        <w:spacing w:after="0" w:line="277" w:lineRule="auto"/>
        <w:tabs>
          <w:tab w:leader="none" w:pos="192" w:val="left"/>
        </w:tabs>
        <w:numPr>
          <w:ilvl w:val="0"/>
          <w:numId w:val="6"/>
        </w:numPr>
        <w:rPr>
          <w:rFonts w:ascii="Arial" w:cs="Arial" w:eastAsia="Arial" w:hAnsi="Arial"/>
          <w:sz w:val="13"/>
          <w:szCs w:val="13"/>
          <w:color w:val="auto"/>
        </w:rPr>
      </w:pPr>
      <w:r>
        <w:rPr>
          <w:rFonts w:ascii="Arial" w:cs="Arial" w:eastAsia="Arial" w:hAnsi="Arial"/>
          <w:sz w:val="13"/>
          <w:szCs w:val="13"/>
          <w:color w:val="auto"/>
        </w:rPr>
        <w:t>Beginning in the first quarter of 2026, the Company now assigns executive compensation and other corporate overhead costs associated with our corporate facilities to the various expense captions that these costs relate to. As a result, FY26 Total Gross Margin guidance is inclusive of assigned overhead costs and is not comparable to prior periods. Additionally the Company changed its measure of segment profitability to Segment Adjusted Gross profit, defined as Revenue less Adjusted Cost of revenue incurred by the segment, which is inclusive of allocated overhead costs, for all periods presented. For a reconciliation of Total Gross Margin for FY25 to the revised amount inclusive of allocated overhead costs, refer to the reconciliation tables in the section titled "Change in Segment Measure of Profitability."</w:t>
      </w:r>
    </w:p>
    <w:p>
      <w:pPr>
        <w:spacing w:after="0" w:line="28" w:lineRule="exact"/>
        <w:rPr>
          <w:rFonts w:ascii="Arial" w:cs="Arial" w:eastAsia="Arial" w:hAnsi="Arial"/>
          <w:sz w:val="13"/>
          <w:szCs w:val="13"/>
          <w:color w:val="auto"/>
        </w:rPr>
      </w:pPr>
    </w:p>
    <w:p>
      <w:pPr>
        <w:ind w:firstLine="8"/>
        <w:spacing w:after="0" w:line="340" w:lineRule="auto"/>
        <w:tabs>
          <w:tab w:leader="none" w:pos="203" w:val="left"/>
        </w:tabs>
        <w:numPr>
          <w:ilvl w:val="0"/>
          <w:numId w:val="6"/>
        </w:numPr>
        <w:rPr>
          <w:rFonts w:ascii="Arial" w:cs="Arial" w:eastAsia="Arial" w:hAnsi="Arial"/>
          <w:sz w:val="12"/>
          <w:szCs w:val="12"/>
          <w:color w:val="auto"/>
        </w:rPr>
      </w:pPr>
      <w:r>
        <w:rPr>
          <w:rFonts w:ascii="Arial" w:cs="Arial" w:eastAsia="Arial" w:hAnsi="Arial"/>
          <w:sz w:val="12"/>
          <w:szCs w:val="12"/>
          <w:color w:val="auto"/>
        </w:rPr>
        <w:t>Please see the section titled “Non-GAAP Financial Measures—Adjusted EBITDA” for a reconciliation of Net loss to Adjusted EBITDA for FY25 and an explanation of why we consider Adjusted EBITDA to be a helpful measure for investors. A reconciliation of Adjusted EBITDA guidance to the most directly comparable GAAP financial measures cannot be provided without unreasonable efforts.</w:t>
      </w:r>
    </w:p>
    <w:p>
      <w:pPr>
        <w:jc w:val="both"/>
        <w:ind w:firstLine="8"/>
        <w:spacing w:after="0" w:line="28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operating activities to Free Cash Flow for FY25 and an explanation of why we consider Free Cash Flow to be a helpful measure for investors. A reconciliation of Free Cash Flow guidance to the most directly comparable GAAP financial measures cannot be provided without unreasonable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77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Q3 FY2026 Operating Metrics and Financial Summary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 Change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User Metrics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FY25</w:t>
            </w: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Q2 FY26</w:t>
            </w:r>
          </w:p>
        </w:tc>
        <w:tc>
          <w:tcPr>
            <w:tcW w:w="240" w:type="dxa"/>
            <w:vAlign w:val="bottom"/>
          </w:tcPr>
          <w:p>
            <w:pPr>
              <w:spacing w:after="0"/>
              <w:rPr>
                <w:sz w:val="18"/>
                <w:szCs w:val="18"/>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Q3 FY26</w:t>
            </w:r>
          </w:p>
        </w:tc>
        <w:tc>
          <w:tcPr>
            <w:tcW w:w="100" w:type="dxa"/>
            <w:vAlign w:val="bottom"/>
          </w:tcPr>
          <w:p>
            <w:pPr>
              <w:spacing w:after="0"/>
              <w:rPr>
                <w:sz w:val="18"/>
                <w:szCs w:val="18"/>
                <w:color w:val="auto"/>
              </w:rPr>
            </w:pPr>
          </w:p>
        </w:tc>
        <w:tc>
          <w:tcPr>
            <w:tcW w:w="1880" w:type="dxa"/>
            <w:vAlign w:val="bottom"/>
            <w:gridSpan w:val="3"/>
          </w:tcPr>
          <w:p>
            <w:pPr>
              <w:ind w:left="540"/>
              <w:spacing w:after="0"/>
              <w:rPr>
                <w:sz w:val="20"/>
                <w:szCs w:val="20"/>
                <w:color w:val="auto"/>
              </w:rPr>
            </w:pPr>
            <w:r>
              <w:rPr>
                <w:rFonts w:ascii="Arial" w:cs="Arial" w:eastAsia="Arial" w:hAnsi="Arial"/>
                <w:sz w:val="16"/>
                <w:szCs w:val="16"/>
                <w:b w:val="1"/>
                <w:bCs w:val="1"/>
                <w:color w:val="auto"/>
              </w:rPr>
              <w:t>Y/Y</w:t>
            </w: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Q/Q</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Members (in millions) </w:t>
            </w:r>
            <w:r>
              <w:rPr>
                <w:rFonts w:ascii="Arial" w:cs="Arial" w:eastAsia="Arial" w:hAnsi="Arial"/>
                <w:sz w:val="21"/>
                <w:szCs w:val="21"/>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Arial" w:cs="Arial" w:eastAsia="Arial" w:hAnsi="Arial"/>
                <w:sz w:val="16"/>
                <w:szCs w:val="16"/>
                <w:color w:val="auto"/>
              </w:rPr>
              <w:t>Ending Paid Connected Fitness Subscriptions (in</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2.880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2.662</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millions)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Average Net Monthly Paid Connected Fitness</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1880" w:type="dxa"/>
            <w:vAlign w:val="bottom"/>
            <w:gridSpan w:val="3"/>
            <w:vMerge w:val="restart"/>
            <w:shd w:val="clear" w:color="auto" w:fill="CCEEFF"/>
          </w:tcPr>
          <w:p>
            <w:pPr>
              <w:jc w:val="right"/>
              <w:ind w:right="560"/>
              <w:spacing w:after="0"/>
              <w:rPr>
                <w:sz w:val="20"/>
                <w:szCs w:val="20"/>
                <w:color w:val="auto"/>
              </w:rPr>
            </w:pPr>
            <w:r>
              <w:rPr>
                <w:rFonts w:ascii="Arial" w:cs="Arial" w:eastAsia="Arial" w:hAnsi="Arial"/>
                <w:sz w:val="16"/>
                <w:szCs w:val="16"/>
                <w:color w:val="auto"/>
              </w:rPr>
              <w:t>(10) bps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 bps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Subscription Churn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Ending Paid App Subscriptions (in millions)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0.522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Connected Fitness Products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Subscription Revenue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428.0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630.9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Connected Fitness Products Gross Profit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Connected Fitness Products Gross Margin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6"/>
                <w:szCs w:val="16"/>
                <w:color w:val="auto"/>
              </w:rPr>
              <w:t>(300) bps</w:t>
            </w:r>
          </w:p>
        </w:tc>
        <w:tc>
          <w:tcPr>
            <w:tcW w:w="900" w:type="dxa"/>
            <w:vAlign w:val="bottom"/>
          </w:tcPr>
          <w:p>
            <w:pPr>
              <w:jc w:val="right"/>
              <w:spacing w:after="0"/>
              <w:rPr>
                <w:sz w:val="20"/>
                <w:szCs w:val="20"/>
                <w:color w:val="auto"/>
              </w:rPr>
            </w:pPr>
            <w:r>
              <w:rPr>
                <w:rFonts w:ascii="Arial" w:cs="Arial" w:eastAsia="Arial" w:hAnsi="Arial"/>
                <w:sz w:val="16"/>
                <w:szCs w:val="16"/>
                <w:color w:val="auto"/>
              </w:rPr>
              <w:t>(260) bps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Subscription 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288.8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304.3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210 bps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bps</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Subscription Contribution Margin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74.4 %</w:t>
            </w:r>
          </w:p>
        </w:tc>
        <w:tc>
          <w:tcPr>
            <w:tcW w:w="10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6"/>
                <w:szCs w:val="16"/>
                <w:color w:val="auto"/>
              </w:rPr>
              <w:t>150 bps</w:t>
            </w:r>
          </w:p>
        </w:tc>
        <w:tc>
          <w:tcPr>
            <w:tcW w:w="900" w:type="dxa"/>
            <w:vAlign w:val="bottom"/>
          </w:tcPr>
          <w:p>
            <w:pPr>
              <w:jc w:val="right"/>
              <w:spacing w:after="0"/>
              <w:rPr>
                <w:sz w:val="20"/>
                <w:szCs w:val="20"/>
                <w:color w:val="auto"/>
              </w:rPr>
            </w:pPr>
            <w:r>
              <w:rPr>
                <w:rFonts w:ascii="Arial" w:cs="Arial" w:eastAsia="Arial" w:hAnsi="Arial"/>
                <w:sz w:val="16"/>
                <w:szCs w:val="16"/>
                <w:color w:val="auto"/>
              </w:rPr>
              <w:t>(160) bps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318.1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327.3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90 bps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bps</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126.2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152.7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2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further information on these user metrics, please refer to the section titled “User Metrics Definitions.”</w:t>
      </w:r>
    </w:p>
    <w:p>
      <w:pPr>
        <w:spacing w:after="0" w:line="66" w:lineRule="exact"/>
        <w:rPr>
          <w:rFonts w:ascii="Arial" w:cs="Arial" w:eastAsia="Arial" w:hAnsi="Arial"/>
          <w:sz w:val="13"/>
          <w:szCs w:val="13"/>
          <w:color w:val="auto"/>
        </w:rPr>
      </w:pPr>
    </w:p>
    <w:p>
      <w:pPr>
        <w:ind w:firstLine="8"/>
        <w:spacing w:after="0" w:line="264" w:lineRule="auto"/>
        <w:tabs>
          <w:tab w:leader="none" w:pos="194"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a reconciliation of each non-GAAP financial measure to the most directly comparable GAAP financial measure, please refer to the reconciliation tables in the section 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2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will host a live call at 8:30 a.m. ET on Thursday, May 7, 2026 to discuss our financial results. To avoid delays, we encourage participants to register at least 15 minutes before the start of the call. A live webcast of the call and our earnings presentation will be available at https://investor.onepeloton.com/news-and-events/events, and a replay will be available on the investor relations page of our website for 30 days.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our expected financial results for the fourth quarter of and the full fiscal year 2026; the scope, impact and anticipated costs associated with the Original Series Bike+ recall; our execution of and timing of and the expected benefits from our restructuring initiatives and cost-saving measures; the cost savings and other efficiencies of expanding relationships with our third-party partners; the launch of new products and services; our new initiatives with retailer partners and our efforts to optimize our retail showroom footprint; the prices of our products and services; our future operating results and financial position, including our ability to achieve and maintain our Free Cash Flow, revenue, gross margin, adjusted EBITDA, and subscription targets; our profitability; our business strategy and plans and our ability to achieve them,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assumptions, and other important factors that could cause actual results to differ materially from those stated, including, without limitation: our ability to successfully execute our business strategy; our ability to achieve and maintain future profitability and positive free cash flow; our ability to attract and maintain Subscribers; our ability to accurately forecast consumer demand of our products and services and adequately manage our inventory; our ability to execute and achieve the expected benefits of our restructuring initiatives and other cost-saving measures on our anticipated timeline, and whether our efforts will result in further actions or additional asset impairment charges that adversely affect our business; our ability to effectively manage our growth and costs; our ability to anticipate consumer preferences and successfully develop and offer new products and services in a timely manner, and effectively manage the introduction of new or enhanced products and services; demand for our products and services and growth of the connected fitness and wellness markets; our ability to maintain the value and reputation of the Peloton brand; disruptions or failures of our information technology systems or websites, or those of third parties on whom we rely; our reliance on a limited number of suppliers, contract manufacturers, and logistics partners for our Connected Fitness Products; our lack of control over suppliers, contract manufacturers, and logistics partners for our Connected Fitness Products; our ability to predict our long-term performance and changes to our revenue as our business matures; any declines in sales of our Connected Fitness Products; the effects of increased competition in our markets and our ability to compete effectively; our dependence on third-party licenses for use of music in our content; actual or perceived defects in, or safety of, our products, including any impact the Original Series Bike+ recall, other product recalls, quality improvement or similar programs or legal or regulatory claims, proceedings or investigations involving our products; increases in component costs, long lead times, supply shortages or other supply chain disruptions; accidents, safety incidents or workforce disruptions; seasonality or other fluctuations in our quarterly results; our ability to generate class content; risks related to acquisitions or dispositions and our ability to integrate any such acquired companies into our operations and control environment, including Precor; risks related to expansion into international markets; risks related to payment processing, cybersecurity, or data privacy; risks related to artificial intelligence (“AI”) and our integration of AI into our products, services and business operations; risks related to our Peloton Apps and their ability to work with a range of mobile and streaming technologies, systems, networks, and standards; our ability to effectively price and market our Connected Fitness Products and subscriptions; any inaccuracies in, or failure to achieve, operational and business metrics or forecasts of market growth; our ability to maintain effective internal control over financial and management systems; impacts from warranty claims or product returns; our ability to maintain, protect, and enhance our intellectual property; our ability to comply with laws and regulations that currently apply or become applicable to our business both in the United States and internationally; risks related to changes in global trade policies, including our ability to mitigate the effects of tariffs and other non-tariff restrictions, such as taxes, quotas, local content rules, customs detentions and other protectionist measures, and our ability to obtain any tariff refunds or rebates; our reliance on third parties for computing, storage, processing and similar services and delivery and installation of our products; our ability to attract and retain highly skilled personnel and maintain our culture; risks related to our common stock and indebtedness; and those risks and uncertainties described in the Company’s Annual Report on Form 10-K, Quarterly Reports on Form 10-Q and Current Reports on Form 8-K filed with the Securities and Exchange Commission, as such risks and uncertainties may be updated in our filings with the Securities and Exchange Commission, which are available on the Investor Relations page of our website at https://investor.onepeloton.com/investor-relations and on the SEC website at www.sec.gov.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press release, and we undertake no obligation to update any of these forward-looking statements for any reason after the date of this press release or to conform these statements to actual results or revised expectations, except as required by law.</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2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Tables</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9"/>
                <w:szCs w:val="19"/>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0"/>
        </w:trPr>
        <w:tc>
          <w:tcPr>
            <w:tcW w:w="7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center"/>
              <w:ind w:right="2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142"/>
        </w:trPr>
        <w:tc>
          <w:tcPr>
            <w:tcW w:w="7360" w:type="dxa"/>
            <w:vAlign w:val="bottom"/>
          </w:tcPr>
          <w:p>
            <w:pPr>
              <w:ind w:left="20"/>
              <w:spacing w:after="0" w:line="142" w:lineRule="exact"/>
              <w:rPr>
                <w:sz w:val="20"/>
                <w:szCs w:val="20"/>
                <w:color w:val="auto"/>
              </w:rPr>
            </w:pPr>
            <w:r>
              <w:rPr>
                <w:rFonts w:ascii="Arial" w:cs="Arial" w:eastAsia="Arial" w:hAnsi="Arial"/>
                <w:sz w:val="16"/>
                <w:szCs w:val="16"/>
                <w:color w:val="auto"/>
              </w:rPr>
              <w:t>Property and equipment, net of accumulated depreciation and amortization of $296.1 and $298.3,</w:t>
            </w:r>
          </w:p>
        </w:tc>
        <w:tc>
          <w:tcPr>
            <w:tcW w:w="30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0"/>
        </w:trPr>
        <w:tc>
          <w:tcPr>
            <w:tcW w:w="736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debt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 of current portion</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Term loan, net of current portion</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946.9</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195"/>
        </w:trPr>
        <w:tc>
          <w:tcPr>
            <w:tcW w:w="736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3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$0.000025 par value; 2,500,000,000 and 2,500,000,000 shares of Class A</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common stock authorized, 416,920,442 and 390,579,270 shares of Class A common stock</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issued and outstanding as of March 31, 2026 and June 30, 2025, respectively; 2,500,000,000</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and 2,500,000,000 shares of Class B common stock authorized, 15,836,724 and 15,837,270</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shares of Class B common stock issued and outstanding as of March 31, 2026 and June 30,</w:t>
            </w:r>
          </w:p>
        </w:tc>
        <w:tc>
          <w:tcPr>
            <w:tcW w:w="30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2025, respectively.</w:t>
            </w:r>
          </w:p>
        </w:tc>
        <w:tc>
          <w:tcPr>
            <w:tcW w:w="30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5,343.8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5,183.8</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(5,602.6)</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deficit</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28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618.5</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1,265.4</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1,883.9</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943.7</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Supplier settlements</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1,006.0</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Foreign exchange (loss) gain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 net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5"/>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Net income (loss) attributable to Class A and Class B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60" w:type="dxa"/>
            <w:vAlign w:val="bottom"/>
            <w:vMerge w:val="continue"/>
          </w:tcPr>
          <w:p>
            <w:pPr>
              <w:spacing w:after="0"/>
              <w:rPr>
                <w:sz w:val="9"/>
                <w:szCs w:val="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9"/>
                <w:szCs w:val="9"/>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9"/>
                <w:szCs w:val="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9"/>
                <w:szCs w:val="9"/>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194"/>
        </w:trPr>
        <w:tc>
          <w:tcPr>
            <w:tcW w:w="476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2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428,911,447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394,010,264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421,053,209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385,954,344</w:t>
            </w:r>
          </w:p>
        </w:tc>
        <w:tc>
          <w:tcPr>
            <w:tcW w:w="0" w:type="dxa"/>
            <w:vAlign w:val="bottom"/>
          </w:tcPr>
          <w:p>
            <w:pPr>
              <w:spacing w:after="0"/>
              <w:rPr>
                <w:sz w:val="1"/>
                <w:szCs w:val="1"/>
                <w:color w:val="auto"/>
              </w:rPr>
            </w:pPr>
          </w:p>
        </w:tc>
      </w:tr>
      <w:tr>
        <w:trPr>
          <w:trHeight w:val="215"/>
        </w:trPr>
        <w:tc>
          <w:tcPr>
            <w:tcW w:w="476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512,261,196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394,010,264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433,307,598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385,954,344</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80"/>
          </w:cols>
          <w:pgMar w:left="400" w:top="769" w:right="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foreign currency adjustments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195"/>
        </w:trPr>
        <w:tc>
          <w:tcPr>
            <w:tcW w:w="73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Business combinations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Peloton Output Park</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investing activities</w:t>
            </w:r>
          </w:p>
        </w:tc>
        <w:tc>
          <w:tcPr>
            <w:tcW w:w="1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Principal repayment of Term Loan</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 of principal on convertible notes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Proceeds from employee stock purchase plan withholdings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repayments of finance leases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financing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Accrued and unpaid capital expenditures, including software</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101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Non-GAAP Financial Measures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Free Cash Flow, and Net Debt should be considered along with other operating and financial performance measures presented in accordance with GAAP.</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and other adjustments reflected in our reconciliation of historical Adjusted EBITDA, the amounts of which could be material.</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205" w:lineRule="exact"/>
        <w:rPr>
          <w:sz w:val="20"/>
          <w:szCs w:val="20"/>
          <w:color w:val="auto"/>
        </w:rPr>
      </w:pPr>
    </w:p>
    <w:p>
      <w:pPr>
        <w:jc w:val="both"/>
        <w:ind w:left="660" w:hanging="328"/>
        <w:spacing w:after="0" w:line="268"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83" w:lineRule="exact"/>
        <w:rPr>
          <w:sz w:val="20"/>
          <w:szCs w:val="20"/>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5"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23" w:right="339" w:bottom="1440" w:gutter="0" w:footer="0" w:header="0"/>
        </w:sectPr>
      </w:pPr>
    </w:p>
    <w:bookmarkStart w:id="12" w:name="page13"/>
    <w:bookmarkEnd w:id="12"/>
    <w:p>
      <w:pPr>
        <w:jc w:val="both"/>
        <w:ind w:left="660" w:hanging="328"/>
        <w:spacing w:after="0" w:line="259"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acquisition-related costs, including transaction and integration costs;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and gains (losses) on disposals of fixed assets;</w:t>
      </w:r>
    </w:p>
    <w:p>
      <w:pPr>
        <w:spacing w:after="0" w:line="59"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spacing w:after="0" w:line="27"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costs associated with the Restructuring Plans;</w:t>
      </w:r>
    </w:p>
    <w:p>
      <w:pPr>
        <w:spacing w:after="0" w:line="59" w:lineRule="exact"/>
        <w:rPr>
          <w:rFonts w:ascii="Arial" w:cs="Arial" w:eastAsia="Arial" w:hAnsi="Arial"/>
          <w:sz w:val="16"/>
          <w:szCs w:val="16"/>
          <w:b w:val="1"/>
          <w:bCs w:val="1"/>
          <w:color w:val="auto"/>
        </w:rPr>
      </w:pPr>
    </w:p>
    <w:p>
      <w:pPr>
        <w:ind w:left="660" w:hanging="328"/>
        <w:spacing w:after="0" w:line="286"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supplier settlements that are </w:t>
      </w:r>
      <w:r>
        <w:rPr>
          <w:rFonts w:ascii="Arial" w:cs="Arial" w:eastAsia="Arial" w:hAnsi="Arial"/>
          <w:sz w:val="16"/>
          <w:szCs w:val="16"/>
          <w:color w:val="000000"/>
        </w:rPr>
        <w:t>outside of the ordinary course of business and are nonrecurring, infrequent or</w:t>
      </w:r>
      <w:r>
        <w:rPr>
          <w:rFonts w:ascii="Arial" w:cs="Arial" w:eastAsia="Arial" w:hAnsi="Arial"/>
          <w:sz w:val="16"/>
          <w:szCs w:val="16"/>
          <w:color w:val="050505"/>
        </w:rPr>
        <w:t xml:space="preserve"> </w:t>
      </w:r>
      <w:r>
        <w:rPr>
          <w:rFonts w:ascii="Arial" w:cs="Arial" w:eastAsia="Arial" w:hAnsi="Arial"/>
          <w:sz w:val="16"/>
          <w:szCs w:val="16"/>
          <w:color w:val="000000"/>
        </w:rPr>
        <w:t>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spacing w:after="0" w:line="7"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 presents a reconciliation of Adjusted EBITDA to Net income (loss), the most directly comparable financial measure prepared in accordance with GAAP, for each of the periods indicated:</w:t>
      </w:r>
    </w:p>
    <w:tbl>
      <w:tblPr>
        <w:tblLayout w:type="fixed"/>
        <w:tblInd w:w="0" w:type="dxa"/>
        <w:tblCellMar>
          <w:top w:w="0" w:type="dxa"/>
          <w:left w:w="0" w:type="dxa"/>
          <w:bottom w:w="0" w:type="dxa"/>
          <w:right w:w="0" w:type="dxa"/>
        </w:tblCellMar>
      </w:tblPr>
      <w:tr>
        <w:trPr>
          <w:trHeight w:val="164"/>
        </w:trPr>
        <w:tc>
          <w:tcPr>
            <w:tcW w:w="3840" w:type="dxa"/>
            <w:vAlign w:val="bottom"/>
          </w:tcPr>
          <w:p>
            <w:pPr>
              <w:spacing w:after="0"/>
              <w:rPr>
                <w:sz w:val="14"/>
                <w:szCs w:val="14"/>
                <w:color w:val="auto"/>
              </w:rPr>
            </w:pPr>
          </w:p>
        </w:tc>
        <w:tc>
          <w:tcPr>
            <w:tcW w:w="29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64" w:lineRule="exact"/>
              <w:rPr>
                <w:sz w:val="20"/>
                <w:szCs w:val="20"/>
                <w:color w:val="auto"/>
              </w:rPr>
            </w:pPr>
            <w:r>
              <w:rPr>
                <w:rFonts w:ascii="Arial" w:cs="Arial" w:eastAsia="Arial" w:hAnsi="Arial"/>
                <w:sz w:val="16"/>
                <w:szCs w:val="16"/>
                <w:b w:val="1"/>
                <w:bCs w:val="1"/>
                <w:color w:val="auto"/>
              </w:rPr>
              <w:t>Three Months Ended</w:t>
            </w:r>
          </w:p>
        </w:tc>
        <w:tc>
          <w:tcPr>
            <w:tcW w:w="1880" w:type="dxa"/>
            <w:vAlign w:val="bottom"/>
            <w:gridSpan w:val="2"/>
          </w:tcPr>
          <w:p>
            <w:pPr>
              <w:ind w:left="20"/>
              <w:spacing w:after="0" w:line="164" w:lineRule="exact"/>
              <w:rPr>
                <w:sz w:val="20"/>
                <w:szCs w:val="20"/>
                <w:color w:val="auto"/>
              </w:rPr>
            </w:pPr>
            <w:r>
              <w:rPr>
                <w:rFonts w:ascii="Arial" w:cs="Arial" w:eastAsia="Arial" w:hAnsi="Arial"/>
                <w:sz w:val="16"/>
                <w:szCs w:val="16"/>
                <w:b w:val="1"/>
                <w:bCs w:val="1"/>
                <w:color w:val="auto"/>
              </w:rPr>
              <w:t>Fiscal Year Ended June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96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December 31,</w:t>
            </w:r>
          </w:p>
        </w:tc>
        <w:tc>
          <w:tcPr>
            <w:tcW w:w="420" w:type="dxa"/>
            <w:vAlign w:val="bottom"/>
          </w:tcPr>
          <w:p>
            <w:pPr>
              <w:spacing w:after="0"/>
              <w:rPr>
                <w:sz w:val="18"/>
                <w:szCs w:val="18"/>
                <w:color w:val="auto"/>
              </w:rPr>
            </w:pPr>
          </w:p>
        </w:tc>
        <w:tc>
          <w:tcPr>
            <w:tcW w:w="1460" w:type="dxa"/>
            <w:vAlign w:val="bottom"/>
          </w:tcPr>
          <w:p>
            <w:pPr>
              <w:jc w:val="right"/>
              <w:ind w:right="75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Contribution and Subscription Contribution Margin</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73" w:right="33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Layout w:type="fixed"/>
        <w:tblInd w:w="0" w:type="dxa"/>
        <w:tblCellMar>
          <w:top w:w="0" w:type="dxa"/>
          <w:left w:w="0" w:type="dxa"/>
          <w:bottom w:w="0" w:type="dxa"/>
          <w:right w:w="0" w:type="dxa"/>
        </w:tblCellMar>
      </w:tblPr>
      <w:tr>
        <w:trPr>
          <w:trHeight w:val="164"/>
        </w:trPr>
        <w:tc>
          <w:tcPr>
            <w:tcW w:w="5780" w:type="dxa"/>
            <w:vAlign w:val="bottom"/>
          </w:tcPr>
          <w:p>
            <w:pPr>
              <w:spacing w:after="0"/>
              <w:rPr>
                <w:sz w:val="14"/>
                <w:szCs w:val="14"/>
                <w:color w:val="auto"/>
              </w:rPr>
            </w:pPr>
          </w:p>
        </w:tc>
        <w:tc>
          <w:tcPr>
            <w:tcW w:w="3480" w:type="dxa"/>
            <w:vAlign w:val="bottom"/>
            <w:gridSpan w:val="6"/>
            <w:vMerge w:val="restart"/>
          </w:tcPr>
          <w:p>
            <w:pPr>
              <w:ind w:left="48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4"/>
                <w:szCs w:val="14"/>
                <w:color w:val="auto"/>
              </w:rPr>
            </w:pPr>
          </w:p>
        </w:tc>
        <w:tc>
          <w:tcPr>
            <w:tcW w:w="1820" w:type="dxa"/>
            <w:vAlign w:val="bottom"/>
          </w:tcPr>
          <w:p>
            <w:pPr>
              <w:jc w:val="center"/>
              <w:ind w:right="59"/>
              <w:spacing w:after="0" w:line="164" w:lineRule="exact"/>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48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57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6"/>
        </w:trPr>
        <w:tc>
          <w:tcPr>
            <w:tcW w:w="5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428.0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412.6</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Subscription Cost of revenue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123.6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304.3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71.1 %</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72.1 %</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318.3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73" w:right="33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6"/>
          <w:szCs w:val="16"/>
          <w:color w:val="auto"/>
        </w:rPr>
        <w:t>The following table presents a reconciliation of Free Cash Flow to Net cash provided by operating activities, the most directly comparable financial measure prepared in accordance with GAAP, for each of the periods indicated:</w:t>
      </w:r>
    </w:p>
    <w:tbl>
      <w:tblPr>
        <w:tblLayout w:type="fixed"/>
        <w:tblInd w:w="0" w:type="dxa"/>
        <w:tblCellMar>
          <w:top w:w="0" w:type="dxa"/>
          <w:left w:w="0" w:type="dxa"/>
          <w:bottom w:w="0" w:type="dxa"/>
          <w:right w:w="0" w:type="dxa"/>
        </w:tblCellMar>
      </w:tblPr>
      <w:tr>
        <w:trPr>
          <w:trHeight w:val="164"/>
        </w:trPr>
        <w:tc>
          <w:tcPr>
            <w:tcW w:w="3920" w:type="dxa"/>
            <w:vAlign w:val="bottom"/>
          </w:tcPr>
          <w:p>
            <w:pPr>
              <w:spacing w:after="0"/>
              <w:rPr>
                <w:sz w:val="14"/>
                <w:szCs w:val="14"/>
                <w:color w:val="auto"/>
              </w:rPr>
            </w:pPr>
          </w:p>
        </w:tc>
        <w:tc>
          <w:tcPr>
            <w:tcW w:w="29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220"/>
              <w:spacing w:after="0" w:line="164" w:lineRule="exact"/>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4"/>
                <w:szCs w:val="14"/>
                <w:color w:val="auto"/>
              </w:rPr>
            </w:pPr>
          </w:p>
        </w:tc>
        <w:tc>
          <w:tcPr>
            <w:tcW w:w="1640" w:type="dxa"/>
            <w:vAlign w:val="bottom"/>
          </w:tcPr>
          <w:p>
            <w:pPr>
              <w:jc w:val="center"/>
              <w:ind w:right="79"/>
              <w:spacing w:after="0" w:line="164" w:lineRule="exact"/>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98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18"/>
                <w:szCs w:val="18"/>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gridSpan w:val="5"/>
          </w:tcPr>
          <w:p>
            <w:pPr>
              <w:ind w:left="2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1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5"/>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Free Cash Flow</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Debt</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Net Debt as Total debt less Cash and cash equivalents. Total debt consists of the carrying amount of Current portion of debt, Convertible senior notes, net of current portion, and Term loan, net of current portion, on our Condensed Consolidated Balance Sheets, which includes unamortized debt discount and issuance costs. Net Debt reflects an additional way of viewing our liquidity that, we believe, when viewed with our GAAP results, provides management, investors, and other users of our financial information with a more complete understanding of factors and trends affecting our capital structure and balance sheet leverage.</w:t>
      </w:r>
    </w:p>
    <w:p>
      <w:pPr>
        <w:spacing w:after="0" w:line="19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Net Debt has limitations as an analytical tool and may vary from similarly titled measures used by other companies. Because of this, Net Debt should not be considered in isolation or as a substitute for an analysis of our financial measures prepared and presented in accordance with GAAP.</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 presents a reconciliation of Net Debt to Total debt, the most comparable financial measure prepared in accordance with GAAP,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09"/>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debt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Convertible senior notes, net of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net of current portion</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r>
      <w:tr>
        <w:trPr>
          <w:trHeight w:val="209"/>
        </w:trPr>
        <w:tc>
          <w:tcPr>
            <w:tcW w:w="800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1,499.2</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0"/>
        </w:trPr>
        <w:tc>
          <w:tcPr>
            <w:tcW w:w="8000" w:type="dxa"/>
            <w:vAlign w:val="bottom"/>
          </w:tcPr>
          <w:p>
            <w:pPr>
              <w:ind w:left="140"/>
              <w:spacing w:after="0"/>
              <w:rPr>
                <w:sz w:val="20"/>
                <w:szCs w:val="20"/>
                <w:color w:val="auto"/>
              </w:rPr>
            </w:pPr>
            <w:r>
              <w:rPr>
                <w:rFonts w:ascii="Arial" w:cs="Arial" w:eastAsia="Arial" w:hAnsi="Arial"/>
                <w:sz w:val="16"/>
                <w:szCs w:val="16"/>
                <w:color w:val="auto"/>
              </w:rPr>
              <w:t>Net Debt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Principal Debt Outstanding, Net of Cash and cash equivalents, Gross Leverage Ratio, and Net Leverage Ratio</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Gross principal debt outstanding consists of the gross principal amount outstanding on Total debt, which excludes unamortized debt discount and issuance costs. We define Gross principal debt outstanding, net of cash and cash equivalents as Gross principal debt outstanding less Cash and cash equivalents. This metric reflects an additional way of viewing our liquidity that, we believe, when viewed with our GAAP results, provides management, investors, and other users of our financial information with a more complete understanding of factors and trends affecting our capital structure and balance sheet leverage.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Gross Leverage Ratio is defined as Gross principal debt outstanding divided by Adjusted EBITDA for the trailing twelve months ended March 31, 2026 and 2025, respectively ("Trailing Twelve Month Adjusted EBITDA"). Our Net Leverage Ratio is defined as Gross principal debt outstanding, net of cash and cash equivalents divided by our Trailing Twelve Month Adjusted EBITDA. Trailing Twelve Month Adjusted EBITDA is computed by summing our reported Adjusted EBITDA for the trailing four fiscal quarters. We believe that our Gross Leverage Ratio and Net Leverage Ratio are useful measures to management and investors in understanding trends in our overall financial condition.</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metrics have limitations as an analytical tool and may vary from similarly titled measures used by other companies. Because of this, they should not be considered in isolation or as a substitute for an analysis of our financial measures prepared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73"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auto"/>
        </w:rPr>
        <w:t>The following table presents a reconciliation of Adjusted EBITDA to Net income (loss), the most directly comparable financial measure prepared in accordance with GAAP, for each of the periods indicated, a reconciliation of Gross principal debt outstanding, net of cash and cash equivalents to Gross principal debt outstanding, the most comparable financial measure prepared in accordance with GAAP, for each of the periods indicated, and the computation of our Gross Leverage Ratio and Net Leverage Ratio:</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Trailing Twelve Months Ended March 31,</w:t>
            </w:r>
          </w:p>
        </w:tc>
      </w:tr>
      <w:tr>
        <w:trPr>
          <w:trHeight w:val="210"/>
        </w:trPr>
        <w:tc>
          <w:tcPr>
            <w:tcW w:w="7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209"/>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(dollars in millions)</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93.0</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Net gain on debt refinancing</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94.6</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281.7</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62.9</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Supplier settlements</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23.2</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recall related matters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Litigation and settlement expenses</w:t>
            </w:r>
          </w:p>
        </w:tc>
        <w:tc>
          <w:tcPr>
            <w:tcW w:w="1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35"/>
        </w:trPr>
        <w:tc>
          <w:tcPr>
            <w:tcW w:w="786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principal debt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1,541.5</w:t>
            </w:r>
          </w:p>
        </w:tc>
      </w:tr>
      <w:tr>
        <w:trPr>
          <w:trHeight w:val="215"/>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914.3</w:t>
            </w:r>
          </w:p>
        </w:tc>
      </w:tr>
      <w:tr>
        <w:trPr>
          <w:trHeight w:val="235"/>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principal debt outstanding, net of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Gross Leverage Ratio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2.9 x</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x</w:t>
            </w:r>
          </w:p>
        </w:tc>
      </w:tr>
      <w:tr>
        <w:trPr>
          <w:trHeight w:val="282"/>
        </w:trPr>
        <w:tc>
          <w:tcPr>
            <w:tcW w:w="7860" w:type="dxa"/>
            <w:vAlign w:val="bottom"/>
          </w:tcPr>
          <w:p>
            <w:pPr>
              <w:ind w:left="140"/>
              <w:spacing w:after="0"/>
              <w:rPr>
                <w:sz w:val="20"/>
                <w:szCs w:val="20"/>
                <w:color w:val="auto"/>
              </w:rPr>
            </w:pPr>
            <w:r>
              <w:rPr>
                <w:rFonts w:ascii="Arial" w:cs="Arial" w:eastAsia="Arial" w:hAnsi="Arial"/>
                <w:sz w:val="16"/>
                <w:szCs w:val="16"/>
                <w:color w:val="auto"/>
              </w:rPr>
              <w:t xml:space="preserve">Net Leverage Ratio </w:t>
            </w:r>
            <w:r>
              <w:rPr>
                <w:rFonts w:ascii="Arial" w:cs="Arial" w:eastAsia="Arial" w:hAnsi="Arial"/>
                <w:sz w:val="21"/>
                <w:szCs w:val="21"/>
                <w:color w:val="auto"/>
                <w:vertAlign w:val="superscript"/>
              </w:rPr>
              <w:t>(2)</w:t>
            </w:r>
          </w:p>
        </w:tc>
        <w:tc>
          <w:tcPr>
            <w:tcW w:w="120" w:type="dxa"/>
            <w:vAlign w:val="bottom"/>
          </w:tcPr>
          <w:p>
            <w:pPr>
              <w:spacing w:after="0"/>
              <w:rPr>
                <w:sz w:val="24"/>
                <w:szCs w:val="24"/>
                <w:color w:val="auto"/>
              </w:rPr>
            </w:pPr>
          </w:p>
        </w:tc>
        <w:tc>
          <w:tcPr>
            <w:tcW w:w="1620" w:type="dxa"/>
            <w:vAlign w:val="bottom"/>
            <w:gridSpan w:val="2"/>
          </w:tcPr>
          <w:p>
            <w:pPr>
              <w:ind w:left="1140"/>
              <w:spacing w:after="0"/>
              <w:rPr>
                <w:sz w:val="20"/>
                <w:szCs w:val="20"/>
                <w:color w:val="auto"/>
              </w:rPr>
            </w:pPr>
            <w:r>
              <w:rPr>
                <w:rFonts w:ascii="Arial" w:cs="Arial" w:eastAsia="Arial" w:hAnsi="Arial"/>
                <w:sz w:val="16"/>
                <w:szCs w:val="16"/>
                <w:color w:val="auto"/>
              </w:rPr>
              <w:t>0.4 x</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 x</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42"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section titled “Non-GAAP Financial Measures—Adjusted EBITDA” for further information on this non-GAAP financial measure.</w:t>
      </w:r>
    </w:p>
    <w:p>
      <w:pPr>
        <w:spacing w:after="0" w:line="66" w:lineRule="exact"/>
        <w:rPr>
          <w:rFonts w:ascii="Arial" w:cs="Arial" w:eastAsia="Arial" w:hAnsi="Arial"/>
          <w:sz w:val="13"/>
          <w:szCs w:val="13"/>
          <w:color w:val="auto"/>
        </w:rPr>
      </w:pPr>
    </w:p>
    <w:p>
      <w:pPr>
        <w:ind w:firstLine="8"/>
        <w:spacing w:after="0" w:line="286" w:lineRule="auto"/>
        <w:tabs>
          <w:tab w:leader="none" w:pos="192" w:val="left"/>
        </w:tabs>
        <w:numPr>
          <w:ilvl w:val="0"/>
          <w:numId w:val="12"/>
        </w:numPr>
        <w:rPr>
          <w:rFonts w:ascii="Arial" w:cs="Arial" w:eastAsia="Arial" w:hAnsi="Arial"/>
          <w:sz w:val="13"/>
          <w:szCs w:val="13"/>
          <w:color w:val="auto"/>
        </w:rPr>
      </w:pPr>
      <w:r>
        <w:rPr>
          <w:rFonts w:ascii="Arial" w:cs="Arial" w:eastAsia="Arial" w:hAnsi="Arial"/>
          <w:sz w:val="13"/>
          <w:szCs w:val="13"/>
          <w:color w:val="auto"/>
        </w:rPr>
        <w:t>Gross Leverage Ratio is calculated as Gross principal debt outstanding divided by Adjusted EBITDA, and Net Leverage Ratio is calculated as Gross principal debt outstanding, net of cash and cash equivalents divided by Adjusted EBITDA.</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Metrics Definitions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Members includes any individual who has a Peloton account through a Paid Connected Fitness Subscription or a Paid App Subscription, inclusive of the Peloton App+, App One, Strength+, and Breathwrk Memberships (the “Peloton Apps”), and engages in one or more workouts in the trailing 12-month period.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Ending Paid Connected Fitness Subscriptions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Net Monthly Paid Connected Fitness Subscription Churn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73"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6"/>
          <w:szCs w:val="16"/>
          <w:color w:val="auto"/>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Ending Paid App Subscriptions</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Ending Paid App Subscriptions includes all subscriptions to our Peloton Apps for which we are currently receiving payment. Starting in fiscal 2026, we no longer report on Average Monthly Paid App Subscription Churn.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Beginning in the first quarter of 2026, the Company changed its measure of segment profitability to Segment Adjusted Gross profit to better align with the manner in which our chief operating decision maker evaluates segment performance and makes resource allocation decisions. Segment Adjusted Gross profit is defined as Revenue less Adjusted Cost of revenue incurred by the segment. Adjusted Cost of revenue includes costs directly related to the function of each segment, including certain corporate overhead costs, such as a portion of depreciation, rent and occupancy charges related to the Company’s corporate facilities, and personnel-related expenses for certain executives and departments (“Allocated overhead costs”).</w:t>
      </w:r>
    </w:p>
    <w:p>
      <w:pPr>
        <w:spacing w:after="0" w:line="19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comparability purposes, the Company is providing supplemental historical segment financial information to reflect the new segment measure of profitability, which is reflected within the Company’s FY26 reported amounts, and Full Year FY26 outlook: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FY25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As Reported</w:t>
            </w:r>
          </w:p>
        </w:tc>
        <w:tc>
          <w:tcPr>
            <w:tcW w:w="1640" w:type="dxa"/>
            <w:vAlign w:val="bottom"/>
            <w:gridSpan w:val="3"/>
          </w:tcPr>
          <w:p>
            <w:pPr>
              <w:jc w:val="right"/>
              <w:ind w:right="140"/>
              <w:spacing w:after="0" w:line="155" w:lineRule="exact"/>
              <w:rPr>
                <w:sz w:val="20"/>
                <w:szCs w:val="20"/>
                <w:color w:val="auto"/>
              </w:rPr>
            </w:pPr>
            <w:r>
              <w:rPr>
                <w:rFonts w:ascii="Arial" w:cs="Arial" w:eastAsia="Arial" w:hAnsi="Arial"/>
                <w:sz w:val="16"/>
                <w:szCs w:val="16"/>
                <w:b w:val="1"/>
                <w:bCs w:val="1"/>
                <w:color w:val="auto"/>
              </w:rPr>
              <w:t>Allocated overhead</w:t>
            </w:r>
          </w:p>
        </w:tc>
        <w:tc>
          <w:tcPr>
            <w:tcW w:w="100" w:type="dxa"/>
            <w:vAlign w:val="bottom"/>
          </w:tcPr>
          <w:p>
            <w:pPr>
              <w:spacing w:after="0"/>
              <w:rPr>
                <w:sz w:val="13"/>
                <w:szCs w:val="13"/>
                <w:color w:val="auto"/>
              </w:rPr>
            </w:pPr>
          </w:p>
        </w:tc>
        <w:tc>
          <w:tcPr>
            <w:tcW w:w="15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Segment Adjusted</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costs</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Gross profit</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(dollars in 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1,139.7</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Total 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1,268.3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0" w:type="dxa"/>
            <w:vAlign w:val="bottom"/>
          </w:tcPr>
          <w:p>
            <w:pPr>
              <w:spacing w:after="0"/>
              <w:rPr>
                <w:sz w:val="1"/>
                <w:szCs w:val="1"/>
                <w:color w:val="auto"/>
              </w:rPr>
            </w:pPr>
          </w:p>
        </w:tc>
      </w:tr>
      <w:tr>
        <w:trPr>
          <w:trHeight w:val="538"/>
        </w:trPr>
        <w:tc>
          <w:tcPr>
            <w:tcW w:w="7940" w:type="dxa"/>
            <w:vAlign w:val="bottom"/>
            <w:gridSpan w:val="4"/>
          </w:tcPr>
          <w:p>
            <w:pPr>
              <w:spacing w:after="0"/>
              <w:rPr>
                <w:sz w:val="20"/>
                <w:szCs w:val="20"/>
                <w:color w:val="auto"/>
              </w:rPr>
            </w:pPr>
            <w:r>
              <w:rPr>
                <w:rFonts w:ascii="Arial" w:cs="Arial" w:eastAsia="Arial" w:hAnsi="Arial"/>
                <w:sz w:val="16"/>
                <w:szCs w:val="16"/>
                <w:color w:val="auto"/>
              </w:rPr>
              <w:t>A reconciliation between reportable Total Gross Profit to consolidated Loss before income taxes is as follows: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FY25</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Adjusted Gross profit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Allocated overhead costs</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Profit (As Reported)</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w:t>
            </w: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w:t>
            </w: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2026-05-07T06:00:49Z</dcterms:created>
  <dcterms:modified xsi:type="dcterms:W3CDTF">2026-05-07T06:00:49Z</dcterms:modified>
</cp:coreProperties>
</file>