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9225831.xml.htm"/>
      <w:bookmarkStart w:id="1" w:name="kswkform4_177922583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Sanders Dion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PELOTON INTERACTIVE,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441 NINTH AVENUE, SIXTH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PELOTON INTERACTIVE,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PTON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1055"/>
        <w:gridCol w:w="451"/>
        <w:gridCol w:w="667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17,151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17,151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54,945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72,096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12,584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84,680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124,680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104,416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229,096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116,573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5.29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112,523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(RSU)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17,151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17,151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51,452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(RSU)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54,945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54,945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384,615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(RSU)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12,584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12,584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12,584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(RSU)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(RSU)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104,416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104,416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104,415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to cover the Reporting Person's tax liability with respect to the settlement of RSUs that vested on May 15,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vest as to 6.25% of the total shares quarterly, commencing May 15, 2023, with 100% of the total shares vested on February 15, 2027, subject to the Reporting Person's provision of service to the Issuer on each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vest as to 6.25% of the total shares quarterly, commencing May 15, 2024, with 100% of the total shares vested on February 15, 2028, subject to the Reporting Person's provision of service to the Issuer on each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RSUs vest as to 6.25% of the total shares quarterly, commencing November 15, 2022, with 100% of the total shares vested on August 15, 2026, subject to the Reporting Person's provision of service to the Issuer on each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RSUs vest as to 6.25% of the total shares quarterly, commencing November 15, 2023, with 100% of the total shares vested on August 15, 2027, subject to the Reporting Person's provision of service to the Issuer on each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RSUs vest as to 12.50% of the total shares quarterly, commencing November 15, 2024, with 100% of the total shares vested on August 15, 2026, subject to the Reporting Person's provision of service to the Issuer on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Tammy Albarran as attorney-in-fact for Dion C. Sanders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0798" TargetMode="External"/><Relationship Id="rId5" Type="http://schemas.openxmlformats.org/officeDocument/2006/relationships/hyperlink" Target="http://www.sec.gov/cgi-bin/browse-edgar?action=getcompany&amp;CIK=00016398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973</Words>
  <Characters>4958</Characters>
  <CharactersWithSpaces>5779</CharactersWithSpaces>
  <Paragraphs>203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