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79"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spacing w:after="0" w:line="78"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45" w:lineRule="exact"/>
        <w:rPr>
          <w:sz w:val="24"/>
          <w:szCs w:val="24"/>
          <w:color w:val="auto"/>
        </w:rPr>
      </w:pPr>
    </w:p>
    <w:p>
      <w:pPr>
        <w:ind w:left="2880"/>
        <w:spacing w:after="0"/>
        <w:rPr>
          <w:sz w:val="20"/>
          <w:szCs w:val="20"/>
          <w:color w:val="auto"/>
        </w:rPr>
      </w:pPr>
      <w:r>
        <w:rPr>
          <w:rFonts w:ascii="Arial" w:cs="Arial" w:eastAsia="Arial" w:hAnsi="Arial"/>
          <w:sz w:val="18"/>
          <w:szCs w:val="18"/>
          <w:b w:val="1"/>
          <w:bCs w:val="1"/>
          <w:color w:val="auto"/>
        </w:rPr>
        <w:t>_______________________________________________________</w:t>
      </w:r>
    </w:p>
    <w:p>
      <w:pPr>
        <w:spacing w:after="0" w:line="209"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8-K</w:t>
      </w:r>
    </w:p>
    <w:p>
      <w:pPr>
        <w:spacing w:after="0" w:line="79" w:lineRule="exact"/>
        <w:rPr>
          <w:sz w:val="24"/>
          <w:szCs w:val="24"/>
          <w:color w:val="auto"/>
        </w:rPr>
      </w:pPr>
    </w:p>
    <w:p>
      <w:pPr>
        <w:ind w:left="2880"/>
        <w:spacing w:after="0"/>
        <w:rPr>
          <w:sz w:val="20"/>
          <w:szCs w:val="20"/>
          <w:color w:val="auto"/>
        </w:rPr>
      </w:pPr>
      <w:r>
        <w:rPr>
          <w:rFonts w:ascii="Arial" w:cs="Arial" w:eastAsia="Arial" w:hAnsi="Arial"/>
          <w:sz w:val="18"/>
          <w:szCs w:val="18"/>
          <w:b w:val="1"/>
          <w:bCs w:val="1"/>
          <w:color w:val="auto"/>
        </w:rPr>
        <w:t>_______________________________________________________</w:t>
      </w:r>
    </w:p>
    <w:p>
      <w:pPr>
        <w:spacing w:after="0" w:line="225"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CURRENT REPORT</w:t>
      </w:r>
    </w:p>
    <w:p>
      <w:pPr>
        <w:spacing w:after="0" w:line="45"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4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Securities Exchange Act of 1934</w:t>
      </w:r>
    </w:p>
    <w:p>
      <w:pPr>
        <w:spacing w:after="0" w:line="20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Date of Report (Date of earliest event reported): December 2, 2024</w:t>
      </w:r>
    </w:p>
    <w:p>
      <w:pPr>
        <w:spacing w:after="0" w:line="50" w:lineRule="exact"/>
        <w:rPr>
          <w:sz w:val="24"/>
          <w:szCs w:val="24"/>
          <w:color w:val="auto"/>
        </w:rPr>
      </w:pPr>
    </w:p>
    <w:p>
      <w:pPr>
        <w:ind w:left="2880"/>
        <w:spacing w:after="0"/>
        <w:rPr>
          <w:sz w:val="20"/>
          <w:szCs w:val="20"/>
          <w:color w:val="auto"/>
        </w:rPr>
      </w:pPr>
      <w:r>
        <w:rPr>
          <w:rFonts w:ascii="Arial" w:cs="Arial" w:eastAsia="Arial" w:hAnsi="Arial"/>
          <w:sz w:val="18"/>
          <w:szCs w:val="18"/>
          <w:b w:val="1"/>
          <w:bCs w:val="1"/>
          <w:color w:val="auto"/>
        </w:rPr>
        <w:t>_______________________________________________________</w:t>
      </w:r>
    </w:p>
    <w:p>
      <w:pPr>
        <w:spacing w:after="0" w:line="291" w:lineRule="exact"/>
        <w:rPr>
          <w:sz w:val="24"/>
          <w:szCs w:val="24"/>
          <w:color w:val="auto"/>
        </w:rPr>
      </w:pPr>
    </w:p>
    <w:p>
      <w:pPr>
        <w:jc w:val="center"/>
        <w:ind w:right="-139"/>
        <w:spacing w:after="0"/>
        <w:rPr>
          <w:sz w:val="20"/>
          <w:szCs w:val="20"/>
          <w:color w:val="auto"/>
        </w:rPr>
      </w:pPr>
      <w:r>
        <w:rPr>
          <w:rFonts w:ascii="Arial" w:cs="Arial" w:eastAsia="Arial" w:hAnsi="Arial"/>
          <w:sz w:val="40"/>
          <w:szCs w:val="40"/>
          <w:b w:val="1"/>
          <w:bCs w:val="1"/>
          <w:color w:val="auto"/>
        </w:rPr>
        <w:t>Peloton Interactive, Inc.</w:t>
      </w:r>
    </w:p>
    <w:p>
      <w:pPr>
        <w:spacing w:after="0" w:line="86" w:lineRule="exact"/>
        <w:rPr>
          <w:sz w:val="24"/>
          <w:szCs w:val="24"/>
          <w:color w:val="auto"/>
        </w:rPr>
      </w:pPr>
    </w:p>
    <w:p>
      <w:pPr>
        <w:jc w:val="center"/>
        <w:ind w:right="-13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1" w:lineRule="exact"/>
        <w:rPr>
          <w:sz w:val="24"/>
          <w:szCs w:val="24"/>
          <w:color w:val="auto"/>
        </w:rPr>
      </w:pPr>
    </w:p>
    <w:p>
      <w:pPr>
        <w:ind w:left="2880"/>
        <w:spacing w:after="0"/>
        <w:rPr>
          <w:sz w:val="20"/>
          <w:szCs w:val="20"/>
          <w:color w:val="auto"/>
        </w:rPr>
      </w:pPr>
      <w:r>
        <w:rPr>
          <w:rFonts w:ascii="Arial" w:cs="Arial" w:eastAsia="Arial" w:hAnsi="Arial"/>
          <w:sz w:val="18"/>
          <w:szCs w:val="18"/>
          <w:b w:val="1"/>
          <w:bCs w:val="1"/>
          <w:color w:val="auto"/>
        </w:rPr>
        <w:t>_______________________________________________________</w:t>
      </w:r>
    </w:p>
    <w:p>
      <w:pPr>
        <w:spacing w:after="0" w:line="77" w:lineRule="exact"/>
        <w:rPr>
          <w:sz w:val="24"/>
          <w:szCs w:val="24"/>
          <w:color w:val="auto"/>
        </w:rPr>
      </w:pPr>
    </w:p>
    <w:tbl>
      <w:tblPr>
        <w:tblLayout w:type="fixed"/>
        <w:tblInd w:w="1160" w:type="dxa"/>
        <w:tblCellMar>
          <w:top w:w="0" w:type="dxa"/>
          <w:left w:w="0" w:type="dxa"/>
          <w:bottom w:w="0" w:type="dxa"/>
          <w:right w:w="0" w:type="dxa"/>
        </w:tblCellMar>
      </w:tblPr>
      <w:tr>
        <w:trPr>
          <w:trHeight w:val="247"/>
        </w:trPr>
        <w:tc>
          <w:tcPr>
            <w:tcW w:w="3080" w:type="dxa"/>
            <w:vAlign w:val="bottom"/>
          </w:tcPr>
          <w:p>
            <w:pPr>
              <w:jc w:val="center"/>
              <w:ind w:right="443"/>
              <w:spacing w:after="0"/>
              <w:rPr>
                <w:sz w:val="20"/>
                <w:szCs w:val="20"/>
                <w:color w:val="auto"/>
              </w:rPr>
            </w:pPr>
            <w:r>
              <w:rPr>
                <w:rFonts w:ascii="Arial" w:cs="Arial" w:eastAsia="Arial" w:hAnsi="Arial"/>
                <w:sz w:val="18"/>
                <w:szCs w:val="18"/>
                <w:b w:val="1"/>
                <w:bCs w:val="1"/>
                <w:color w:val="auto"/>
              </w:rPr>
              <w:t>Delaware</w:t>
            </w:r>
          </w:p>
        </w:tc>
        <w:tc>
          <w:tcPr>
            <w:tcW w:w="3140" w:type="dxa"/>
            <w:vAlign w:val="bottom"/>
          </w:tcPr>
          <w:p>
            <w:pPr>
              <w:jc w:val="right"/>
              <w:ind w:right="1261"/>
              <w:spacing w:after="0"/>
              <w:rPr>
                <w:sz w:val="20"/>
                <w:szCs w:val="20"/>
                <w:color w:val="auto"/>
              </w:rPr>
            </w:pPr>
            <w:r>
              <w:rPr>
                <w:rFonts w:ascii="Arial" w:cs="Arial" w:eastAsia="Arial" w:hAnsi="Arial"/>
                <w:sz w:val="18"/>
                <w:szCs w:val="18"/>
                <w:b w:val="1"/>
                <w:bCs w:val="1"/>
                <w:color w:val="auto"/>
              </w:rPr>
              <w:t>001-39058</w:t>
            </w: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47-3533761</w:t>
            </w:r>
          </w:p>
        </w:tc>
        <w:tc>
          <w:tcPr>
            <w:tcW w:w="0" w:type="dxa"/>
            <w:vAlign w:val="bottom"/>
          </w:tcPr>
          <w:p>
            <w:pPr>
              <w:spacing w:after="0"/>
              <w:rPr>
                <w:sz w:val="1"/>
                <w:szCs w:val="1"/>
                <w:color w:val="auto"/>
              </w:rPr>
            </w:pPr>
          </w:p>
        </w:tc>
      </w:tr>
      <w:tr>
        <w:trPr>
          <w:trHeight w:val="186"/>
        </w:trPr>
        <w:tc>
          <w:tcPr>
            <w:tcW w:w="3080" w:type="dxa"/>
            <w:vAlign w:val="bottom"/>
          </w:tcPr>
          <w:p>
            <w:pPr>
              <w:jc w:val="center"/>
              <w:ind w:right="443"/>
              <w:spacing w:after="0"/>
              <w:rPr>
                <w:sz w:val="20"/>
                <w:szCs w:val="20"/>
                <w:color w:val="auto"/>
              </w:rPr>
            </w:pPr>
            <w:r>
              <w:rPr>
                <w:rFonts w:ascii="Arial" w:cs="Arial" w:eastAsia="Arial" w:hAnsi="Arial"/>
                <w:sz w:val="13"/>
                <w:szCs w:val="13"/>
                <w:b w:val="1"/>
                <w:bCs w:val="1"/>
                <w:color w:val="auto"/>
                <w:w w:val="97"/>
              </w:rPr>
              <w:t>(State or Other Jurisdiction</w:t>
            </w:r>
          </w:p>
        </w:tc>
        <w:tc>
          <w:tcPr>
            <w:tcW w:w="3140" w:type="dxa"/>
            <w:vAlign w:val="bottom"/>
          </w:tcPr>
          <w:p>
            <w:pPr>
              <w:spacing w:after="0"/>
              <w:rPr>
                <w:sz w:val="16"/>
                <w:szCs w:val="16"/>
                <w:color w:val="auto"/>
              </w:rPr>
            </w:pPr>
          </w:p>
        </w:tc>
        <w:tc>
          <w:tcPr>
            <w:tcW w:w="1960" w:type="dxa"/>
            <w:vAlign w:val="bottom"/>
          </w:tcPr>
          <w:p>
            <w:pPr>
              <w:jc w:val="center"/>
              <w:ind w:left="825"/>
              <w:spacing w:after="0"/>
              <w:rPr>
                <w:sz w:val="20"/>
                <w:szCs w:val="20"/>
                <w:color w:val="auto"/>
              </w:rPr>
            </w:pPr>
            <w:r>
              <w:rPr>
                <w:rFonts w:ascii="Arial" w:cs="Arial" w:eastAsia="Arial" w:hAnsi="Arial"/>
                <w:sz w:val="13"/>
                <w:szCs w:val="13"/>
                <w:b w:val="1"/>
                <w:bCs w:val="1"/>
                <w:color w:val="auto"/>
                <w:w w:val="96"/>
              </w:rPr>
              <w:t>(IRS Employer</w:t>
            </w:r>
          </w:p>
        </w:tc>
        <w:tc>
          <w:tcPr>
            <w:tcW w:w="0" w:type="dxa"/>
            <w:vAlign w:val="bottom"/>
          </w:tcPr>
          <w:p>
            <w:pPr>
              <w:spacing w:after="0"/>
              <w:rPr>
                <w:sz w:val="1"/>
                <w:szCs w:val="1"/>
                <w:color w:val="auto"/>
              </w:rPr>
            </w:pPr>
          </w:p>
        </w:tc>
      </w:tr>
      <w:tr>
        <w:trPr>
          <w:trHeight w:val="172"/>
        </w:trPr>
        <w:tc>
          <w:tcPr>
            <w:tcW w:w="3080" w:type="dxa"/>
            <w:vAlign w:val="bottom"/>
          </w:tcPr>
          <w:p>
            <w:pPr>
              <w:jc w:val="center"/>
              <w:ind w:right="443"/>
              <w:spacing w:after="0"/>
              <w:rPr>
                <w:sz w:val="20"/>
                <w:szCs w:val="20"/>
                <w:color w:val="auto"/>
              </w:rPr>
            </w:pPr>
            <w:r>
              <w:rPr>
                <w:rFonts w:ascii="Arial" w:cs="Arial" w:eastAsia="Arial" w:hAnsi="Arial"/>
                <w:sz w:val="13"/>
                <w:szCs w:val="13"/>
                <w:b w:val="1"/>
                <w:bCs w:val="1"/>
                <w:color w:val="auto"/>
                <w:w w:val="96"/>
              </w:rPr>
              <w:t>of Incorporation)</w:t>
            </w:r>
          </w:p>
        </w:tc>
        <w:tc>
          <w:tcPr>
            <w:tcW w:w="3140" w:type="dxa"/>
            <w:vAlign w:val="bottom"/>
            <w:vMerge w:val="restart"/>
          </w:tcPr>
          <w:p>
            <w:pPr>
              <w:jc w:val="center"/>
              <w:ind w:right="301"/>
              <w:spacing w:after="0"/>
              <w:rPr>
                <w:sz w:val="20"/>
                <w:szCs w:val="20"/>
                <w:color w:val="auto"/>
              </w:rPr>
            </w:pPr>
            <w:r>
              <w:rPr>
                <w:rFonts w:ascii="Arial" w:cs="Arial" w:eastAsia="Arial" w:hAnsi="Arial"/>
                <w:sz w:val="13"/>
                <w:szCs w:val="13"/>
                <w:b w:val="1"/>
                <w:bCs w:val="1"/>
                <w:color w:val="auto"/>
              </w:rPr>
              <w:t>(Commission File Number)</w:t>
            </w:r>
          </w:p>
        </w:tc>
        <w:tc>
          <w:tcPr>
            <w:tcW w:w="1960" w:type="dxa"/>
            <w:vAlign w:val="bottom"/>
          </w:tcPr>
          <w:p>
            <w:pPr>
              <w:jc w:val="center"/>
              <w:ind w:left="825"/>
              <w:spacing w:after="0"/>
              <w:rPr>
                <w:sz w:val="20"/>
                <w:szCs w:val="20"/>
                <w:color w:val="auto"/>
              </w:rPr>
            </w:pPr>
            <w:r>
              <w:rPr>
                <w:rFonts w:ascii="Arial" w:cs="Arial" w:eastAsia="Arial" w:hAnsi="Arial"/>
                <w:sz w:val="13"/>
                <w:szCs w:val="13"/>
                <w:b w:val="1"/>
                <w:bCs w:val="1"/>
                <w:color w:val="auto"/>
                <w:w w:val="96"/>
              </w:rPr>
              <w:t>Identification No.)</w:t>
            </w:r>
          </w:p>
        </w:tc>
        <w:tc>
          <w:tcPr>
            <w:tcW w:w="0" w:type="dxa"/>
            <w:vAlign w:val="bottom"/>
          </w:tcPr>
          <w:p>
            <w:pPr>
              <w:spacing w:after="0"/>
              <w:rPr>
                <w:sz w:val="1"/>
                <w:szCs w:val="1"/>
                <w:color w:val="auto"/>
              </w:rPr>
            </w:pPr>
          </w:p>
        </w:tc>
      </w:tr>
      <w:tr>
        <w:trPr>
          <w:trHeight w:val="58"/>
        </w:trPr>
        <w:tc>
          <w:tcPr>
            <w:tcW w:w="3080" w:type="dxa"/>
            <w:vAlign w:val="bottom"/>
          </w:tcPr>
          <w:p>
            <w:pPr>
              <w:spacing w:after="0"/>
              <w:rPr>
                <w:sz w:val="5"/>
                <w:szCs w:val="5"/>
                <w:color w:val="auto"/>
              </w:rPr>
            </w:pPr>
          </w:p>
        </w:tc>
        <w:tc>
          <w:tcPr>
            <w:tcW w:w="3140" w:type="dxa"/>
            <w:vAlign w:val="bottom"/>
            <w:vMerge w:val="continue"/>
          </w:tcPr>
          <w:p>
            <w:pPr>
              <w:spacing w:after="0"/>
              <w:rPr>
                <w:sz w:val="5"/>
                <w:szCs w:val="5"/>
                <w:color w:val="auto"/>
              </w:rPr>
            </w:pPr>
          </w:p>
        </w:tc>
        <w:tc>
          <w:tcPr>
            <w:tcW w:w="1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9"/>
        </w:trPr>
        <w:tc>
          <w:tcPr>
            <w:tcW w:w="3080" w:type="dxa"/>
            <w:vAlign w:val="bottom"/>
          </w:tcPr>
          <w:p>
            <w:pPr>
              <w:jc w:val="center"/>
              <w:ind w:right="463"/>
              <w:spacing w:after="0"/>
              <w:rPr>
                <w:sz w:val="20"/>
                <w:szCs w:val="20"/>
                <w:color w:val="auto"/>
              </w:rPr>
            </w:pPr>
            <w:r>
              <w:rPr>
                <w:rFonts w:ascii="Arial" w:cs="Arial" w:eastAsia="Arial" w:hAnsi="Arial"/>
                <w:sz w:val="18"/>
                <w:szCs w:val="18"/>
                <w:b w:val="1"/>
                <w:bCs w:val="1"/>
                <w:color w:val="auto"/>
                <w:w w:val="99"/>
              </w:rPr>
              <w:t>441 Ninth Avenue, Sixth Floor</w:t>
            </w:r>
          </w:p>
        </w:tc>
        <w:tc>
          <w:tcPr>
            <w:tcW w:w="31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3080" w:type="dxa"/>
            <w:vAlign w:val="bottom"/>
          </w:tcPr>
          <w:p>
            <w:pPr>
              <w:jc w:val="center"/>
              <w:ind w:right="443"/>
              <w:spacing w:after="0"/>
              <w:rPr>
                <w:sz w:val="20"/>
                <w:szCs w:val="20"/>
                <w:color w:val="auto"/>
              </w:rPr>
            </w:pPr>
            <w:r>
              <w:rPr>
                <w:rFonts w:ascii="Arial" w:cs="Arial" w:eastAsia="Arial" w:hAnsi="Arial"/>
                <w:sz w:val="18"/>
                <w:szCs w:val="18"/>
                <w:b w:val="1"/>
                <w:bCs w:val="1"/>
                <w:color w:val="auto"/>
                <w:w w:val="98"/>
              </w:rPr>
              <w:t>New York, New York</w:t>
            </w:r>
          </w:p>
        </w:tc>
        <w:tc>
          <w:tcPr>
            <w:tcW w:w="3140" w:type="dxa"/>
            <w:vAlign w:val="bottom"/>
          </w:tcPr>
          <w:p>
            <w:pPr>
              <w:spacing w:after="0"/>
              <w:rPr>
                <w:sz w:val="23"/>
                <w:szCs w:val="23"/>
                <w:color w:val="auto"/>
              </w:rPr>
            </w:pPr>
          </w:p>
        </w:tc>
        <w:tc>
          <w:tcPr>
            <w:tcW w:w="1960" w:type="dxa"/>
            <w:vAlign w:val="bottom"/>
          </w:tcPr>
          <w:p>
            <w:pPr>
              <w:jc w:val="right"/>
              <w:ind w:right="205"/>
              <w:spacing w:after="0"/>
              <w:rPr>
                <w:sz w:val="20"/>
                <w:szCs w:val="20"/>
                <w:color w:val="auto"/>
              </w:rPr>
            </w:pPr>
            <w:r>
              <w:rPr>
                <w:rFonts w:ascii="Arial" w:cs="Arial" w:eastAsia="Arial" w:hAnsi="Arial"/>
                <w:sz w:val="18"/>
                <w:szCs w:val="18"/>
                <w:b w:val="1"/>
                <w:bCs w:val="1"/>
                <w:color w:val="auto"/>
              </w:rPr>
              <w:t>10001</w:t>
            </w:r>
          </w:p>
        </w:tc>
        <w:tc>
          <w:tcPr>
            <w:tcW w:w="0" w:type="dxa"/>
            <w:vAlign w:val="bottom"/>
          </w:tcPr>
          <w:p>
            <w:pPr>
              <w:spacing w:after="0"/>
              <w:rPr>
                <w:sz w:val="1"/>
                <w:szCs w:val="1"/>
                <w:color w:val="auto"/>
              </w:rPr>
            </w:pPr>
          </w:p>
        </w:tc>
      </w:tr>
      <w:tr>
        <w:trPr>
          <w:trHeight w:val="295"/>
        </w:trPr>
        <w:tc>
          <w:tcPr>
            <w:tcW w:w="3080" w:type="dxa"/>
            <w:vAlign w:val="bottom"/>
          </w:tcPr>
          <w:p>
            <w:pPr>
              <w:jc w:val="center"/>
              <w:ind w:right="443"/>
              <w:spacing w:after="0"/>
              <w:rPr>
                <w:sz w:val="20"/>
                <w:szCs w:val="20"/>
                <w:color w:val="auto"/>
              </w:rPr>
            </w:pPr>
            <w:r>
              <w:rPr>
                <w:rFonts w:ascii="Arial" w:cs="Arial" w:eastAsia="Arial" w:hAnsi="Arial"/>
                <w:sz w:val="13"/>
                <w:szCs w:val="13"/>
                <w:b w:val="1"/>
                <w:bCs w:val="1"/>
                <w:color w:val="auto"/>
              </w:rPr>
              <w:t>(Address of Principal Executive Offices)</w:t>
            </w:r>
          </w:p>
        </w:tc>
        <w:tc>
          <w:tcPr>
            <w:tcW w:w="3140" w:type="dxa"/>
            <w:vAlign w:val="bottom"/>
          </w:tcPr>
          <w:p>
            <w:pPr>
              <w:spacing w:after="0"/>
              <w:rPr>
                <w:sz w:val="24"/>
                <w:szCs w:val="24"/>
                <w:color w:val="auto"/>
              </w:rPr>
            </w:pPr>
          </w:p>
        </w:tc>
        <w:tc>
          <w:tcPr>
            <w:tcW w:w="1960" w:type="dxa"/>
            <w:vAlign w:val="bottom"/>
          </w:tcPr>
          <w:p>
            <w:pPr>
              <w:jc w:val="center"/>
              <w:ind w:left="805"/>
              <w:spacing w:after="0"/>
              <w:rPr>
                <w:sz w:val="20"/>
                <w:szCs w:val="20"/>
                <w:color w:val="auto"/>
              </w:rPr>
            </w:pPr>
            <w:r>
              <w:rPr>
                <w:rFonts w:ascii="Arial" w:cs="Arial" w:eastAsia="Arial" w:hAnsi="Arial"/>
                <w:sz w:val="13"/>
                <w:szCs w:val="13"/>
                <w:b w:val="1"/>
                <w:bCs w:val="1"/>
                <w:color w:val="auto"/>
              </w:rPr>
              <w:t>(Zip Code)</w:t>
            </w:r>
          </w:p>
        </w:tc>
        <w:tc>
          <w:tcPr>
            <w:tcW w:w="0" w:type="dxa"/>
            <w:vAlign w:val="bottom"/>
          </w:tcPr>
          <w:p>
            <w:pPr>
              <w:spacing w:after="0"/>
              <w:rPr>
                <w:sz w:val="1"/>
                <w:szCs w:val="1"/>
                <w:color w:val="auto"/>
              </w:rPr>
            </w:pPr>
          </w:p>
        </w:tc>
      </w:tr>
    </w:tbl>
    <w:p>
      <w:pPr>
        <w:spacing w:after="0" w:line="29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Registrant’s Telephone Number, Including Area Code: (929) 567-0006</w:t>
      </w:r>
    </w:p>
    <w:p>
      <w:pPr>
        <w:spacing w:after="0" w:line="293"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Not Applicable</w:t>
      </w:r>
    </w:p>
    <w:p>
      <w:pPr>
        <w:spacing w:after="0" w:line="40" w:lineRule="exact"/>
        <w:rPr>
          <w:sz w:val="24"/>
          <w:szCs w:val="24"/>
          <w:color w:val="auto"/>
        </w:rPr>
      </w:pPr>
    </w:p>
    <w:p>
      <w:pPr>
        <w:jc w:val="center"/>
        <w:ind w:right="-13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2" w:lineRule="exact"/>
        <w:rPr>
          <w:sz w:val="24"/>
          <w:szCs w:val="24"/>
          <w:color w:val="auto"/>
        </w:rPr>
      </w:pPr>
    </w:p>
    <w:p>
      <w:pPr>
        <w:ind w:left="2880"/>
        <w:spacing w:after="0"/>
        <w:rPr>
          <w:sz w:val="20"/>
          <w:szCs w:val="20"/>
          <w:color w:val="auto"/>
        </w:rPr>
      </w:pPr>
      <w:r>
        <w:rPr>
          <w:rFonts w:ascii="Arial" w:cs="Arial" w:eastAsia="Arial" w:hAnsi="Arial"/>
          <w:sz w:val="18"/>
          <w:szCs w:val="18"/>
          <w:b w:val="1"/>
          <w:bCs w:val="1"/>
          <w:color w:val="auto"/>
        </w:rPr>
        <w:t>_______________________________________________________</w:t>
      </w:r>
    </w:p>
    <w:p>
      <w:pPr>
        <w:spacing w:after="0" w:line="212" w:lineRule="exact"/>
        <w:rPr>
          <w:sz w:val="24"/>
          <w:szCs w:val="24"/>
          <w:color w:val="auto"/>
        </w:rPr>
      </w:pPr>
    </w:p>
    <w:p>
      <w:pPr>
        <w:spacing w:after="0" w:line="31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99"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177" w:lineRule="exact"/>
        <w:rPr>
          <w:rFonts w:ascii="MS PGothic" w:cs="MS PGothic" w:eastAsia="MS PGothic" w:hAnsi="MS PGothic"/>
          <w:sz w:val="22"/>
          <w:szCs w:val="22"/>
          <w:color w:val="auto"/>
        </w:rPr>
      </w:pPr>
    </w:p>
    <w:p>
      <w:pPr>
        <w:ind w:left="400" w:hanging="392"/>
        <w:spacing w:after="0"/>
        <w:tabs>
          <w:tab w:leader="none" w:pos="40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231" w:lineRule="exact"/>
        <w:rPr>
          <w:rFonts w:ascii="MS PGothic" w:cs="MS PGothic" w:eastAsia="MS PGothic" w:hAnsi="MS PGothic"/>
          <w:sz w:val="22"/>
          <w:szCs w:val="22"/>
          <w:color w:val="auto"/>
        </w:rPr>
      </w:pPr>
    </w:p>
    <w:p>
      <w:pPr>
        <w:ind w:left="400" w:hanging="392"/>
        <w:spacing w:after="0"/>
        <w:tabs>
          <w:tab w:leader="none" w:pos="40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191" w:lineRule="exact"/>
        <w:rPr>
          <w:rFonts w:ascii="MS PGothic" w:cs="MS PGothic" w:eastAsia="MS PGothic" w:hAnsi="MS PGothic"/>
          <w:sz w:val="22"/>
          <w:szCs w:val="22"/>
          <w:color w:val="auto"/>
        </w:rPr>
      </w:pPr>
    </w:p>
    <w:p>
      <w:pPr>
        <w:ind w:right="1820" w:firstLine="8"/>
        <w:spacing w:after="0" w:line="338" w:lineRule="auto"/>
        <w:tabs>
          <w:tab w:leader="none" w:pos="389"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70"/>
        </w:trPr>
        <w:tc>
          <w:tcPr>
            <w:tcW w:w="4460" w:type="dxa"/>
            <w:vAlign w:val="bottom"/>
            <w:tcBorders>
              <w:top w:val="single" w:sz="8" w:color="auto"/>
              <w:left w:val="single" w:sz="8" w:color="auto"/>
              <w:right w:val="single" w:sz="8" w:color="auto"/>
            </w:tcBorders>
            <w:vMerge w:val="restart"/>
          </w:tcPr>
          <w:p>
            <w:pPr>
              <w:ind w:left="1480"/>
              <w:spacing w:after="0"/>
              <w:rPr>
                <w:sz w:val="20"/>
                <w:szCs w:val="20"/>
                <w:color w:val="auto"/>
              </w:rPr>
            </w:pPr>
            <w:r>
              <w:rPr>
                <w:rFonts w:ascii="Arial" w:cs="Arial" w:eastAsia="Arial" w:hAnsi="Arial"/>
                <w:sz w:val="18"/>
                <w:szCs w:val="18"/>
                <w:color w:val="auto"/>
              </w:rPr>
              <w:t>Title of Each Class</w:t>
            </w:r>
          </w:p>
        </w:tc>
        <w:tc>
          <w:tcPr>
            <w:tcW w:w="20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Trading Symbol</w:t>
            </w:r>
          </w:p>
        </w:tc>
        <w:tc>
          <w:tcPr>
            <w:tcW w:w="3080" w:type="dxa"/>
            <w:vAlign w:val="bottom"/>
            <w:tcBorders>
              <w:top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9"/>
              </w:rPr>
              <w:t>Name of Each Exchange on Which</w:t>
            </w:r>
          </w:p>
        </w:tc>
        <w:tc>
          <w:tcPr>
            <w:tcW w:w="0" w:type="dxa"/>
            <w:vAlign w:val="bottom"/>
          </w:tcPr>
          <w:p>
            <w:pPr>
              <w:spacing w:after="0"/>
              <w:rPr>
                <w:sz w:val="1"/>
                <w:szCs w:val="1"/>
                <w:color w:val="auto"/>
              </w:rPr>
            </w:pPr>
          </w:p>
        </w:tc>
      </w:tr>
      <w:tr>
        <w:trPr>
          <w:trHeight w:val="243"/>
        </w:trPr>
        <w:tc>
          <w:tcPr>
            <w:tcW w:w="446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2040" w:type="dxa"/>
            <w:vAlign w:val="bottom"/>
            <w:tcBorders>
              <w:bottom w:val="single" w:sz="8" w:color="auto"/>
              <w:right w:val="single" w:sz="8" w:color="auto"/>
            </w:tcBorders>
            <w:vMerge w:val="continue"/>
          </w:tcPr>
          <w:p>
            <w:pPr>
              <w:spacing w:after="0"/>
              <w:rPr>
                <w:sz w:val="21"/>
                <w:szCs w:val="21"/>
                <w:color w:val="auto"/>
              </w:rPr>
            </w:pP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Registered</w:t>
            </w:r>
          </w:p>
        </w:tc>
        <w:tc>
          <w:tcPr>
            <w:tcW w:w="0" w:type="dxa"/>
            <w:vAlign w:val="bottom"/>
          </w:tcPr>
          <w:p>
            <w:pPr>
              <w:spacing w:after="0"/>
              <w:rPr>
                <w:sz w:val="1"/>
                <w:szCs w:val="1"/>
                <w:color w:val="auto"/>
              </w:rPr>
            </w:pPr>
          </w:p>
        </w:tc>
      </w:tr>
      <w:tr>
        <w:trPr>
          <w:trHeight w:val="169"/>
        </w:trPr>
        <w:tc>
          <w:tcPr>
            <w:tcW w:w="446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8"/>
                <w:szCs w:val="18"/>
                <w:b w:val="1"/>
                <w:bCs w:val="1"/>
                <w:color w:val="auto"/>
              </w:rPr>
              <w:t>Class A Common Stock, $0.000025 par value per</w:t>
            </w:r>
          </w:p>
        </w:tc>
        <w:tc>
          <w:tcPr>
            <w:tcW w:w="2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PTON</w:t>
            </w:r>
          </w:p>
        </w:tc>
        <w:tc>
          <w:tcPr>
            <w:tcW w:w="3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43"/>
        </w:trPr>
        <w:tc>
          <w:tcPr>
            <w:tcW w:w="44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share</w:t>
            </w:r>
          </w:p>
        </w:tc>
        <w:tc>
          <w:tcPr>
            <w:tcW w:w="2040" w:type="dxa"/>
            <w:vAlign w:val="bottom"/>
            <w:tcBorders>
              <w:bottom w:val="single" w:sz="8" w:color="auto"/>
              <w:right w:val="single" w:sz="8" w:color="auto"/>
            </w:tcBorders>
            <w:vMerge w:val="continue"/>
          </w:tcPr>
          <w:p>
            <w:pPr>
              <w:spacing w:after="0"/>
              <w:rPr>
                <w:sz w:val="21"/>
                <w:szCs w:val="21"/>
                <w:color w:val="auto"/>
              </w:rPr>
            </w:pPr>
          </w:p>
        </w:tc>
        <w:tc>
          <w:tcPr>
            <w:tcW w:w="308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319" w:lineRule="exact"/>
        <w:rPr>
          <w:sz w:val="24"/>
          <w:szCs w:val="24"/>
          <w:color w:val="auto"/>
        </w:rPr>
      </w:pPr>
    </w:p>
    <w:p>
      <w:pPr>
        <w:ind w:right="520"/>
        <w:spacing w:after="0" w:line="31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6"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533400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06" w:right="479" w:bottom="1440" w:gutter="0" w:footer="0" w:header="0"/>
        </w:sectPr>
      </w:pPr>
    </w:p>
    <w:bookmarkStart w:id="1" w:name="page2"/>
    <w:bookmarkEnd w:id="1"/>
    <w:p>
      <w:pPr>
        <w:spacing w:after="0" w:line="288"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944" w:right="539" w:bottom="1440" w:gutter="0" w:footer="0" w:header="0"/>
        </w:sectPr>
      </w:pPr>
    </w:p>
    <w:bookmarkStart w:id="2" w:name="page3"/>
    <w:bookmarkEnd w:id="2"/>
    <w:p>
      <w:pPr>
        <w:spacing w:after="0" w:line="281"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Director Appointment</w:t>
      </w:r>
    </w:p>
    <w:p>
      <w:pPr>
        <w:spacing w:after="0" w:line="23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On December 2, 2024, the Board of Directors (the “Board”) of Peloton Interactive, Inc. (the “Company”) appointed Tara Comonte as a director of the Company to fill the vacancy on the Board resulting from Jon Callaghan’s previously announced decision not to stand for re-election. The appointment will be effective upon the date of the Company’s 2024 annual meeting of stockholders (the “2024 Annual Meeting”), which is scheduled to take place on December 3, 2024. Ms. Comonte will serve as a Class III director with a term expiring at the Company’s 2025 annual meeting of stockholders and until her successor is duly elected and qualified or her earlier death, resignation, retirement, disqualification or removal. Ms. Comonte will also serve as a member of the Audit Committee of the Board. The Board has determined that Ms. Comonte is an “independent director” in accordance with the Nasdaq listing standards and the rules and regulations of the Securities and Exchange Commission (“SEC”) and that she meets the SEC’s criteria for an “audit committee financial expert.”</w:t>
      </w:r>
    </w:p>
    <w:p>
      <w:pPr>
        <w:spacing w:after="0" w:line="21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With over two decades of executive leadership experience across corporate and digital strategy, technology, operations and finance, Ms. Comonte has navigated a broad range of industries and complex business transitions. Ms. Comonte has served as Interim President and Chief Executive Officer of WW International, Inc., a technology company focused on weight health, since September 2024 and as a member of its board of directors since June 2023. From May 2021 to July 2023, she served as Chief Executive Officer of TMRW Life Sciences, Inc., a life sciences technology company focused on the in vitro fertilization (IVF) sector and served as a member of its board of directors from December 2018 to September 2023. She previously worked at Shake Shack Inc., a restaurant chain, as President and Chief Financial Officer from October 2019 to May 2021 and as Chief Financial Officer from June 2017 to May 2021. Prior to that, Ms. Comonte served as Chief Financial &amp; Business Affairs Officer and Executive Vice President of Getty Images Holdings, Inc., a global digital media company, from October 2016 to June 2017 and Chief Financial Officer and Senior Vice President from April 2013 to October 2016. She previously served as Chief Financial Officer at McCann Worldgroup, a marketing communications business, from October 2010 to April 2013. Earlier in her career, she was a founding member and Global Chief Financial Officer &amp; Chief Operating Officer of Mediabrands, part of Interpublic Group, and held various roles at Ernst &amp; Young where she qualified as a chartered accountant. Ms. Comonte earned a B.A. in Accounting and Finance from Heriot-Watt University.</w:t>
      </w:r>
    </w:p>
    <w:p>
      <w:pPr>
        <w:spacing w:after="0" w:line="214"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Ms. Comonte will be eligible to receive compensation for her service on the Board under the Company’s non-employee director compensation program. In connection with her appointment, Ms. Comonte has entered into the Company’s standard form indemnification agreement for directors and officers.</w:t>
      </w:r>
    </w:p>
    <w:p>
      <w:pPr>
        <w:spacing w:after="0" w:line="198"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There is no arrangement between Ms. Comonte and any person pursuant to which she was selected as director. Ms. Comonte has no direct or indirect material interest in any existing or currently proposed transaction that would require disclosure under Item 404(a)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913130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66" w:lineRule="exact"/>
        <w:rPr>
          <w:sz w:val="20"/>
          <w:szCs w:val="20"/>
          <w:color w:val="auto"/>
        </w:rPr>
      </w:pPr>
    </w:p>
    <w:p>
      <w:pPr>
        <w:spacing w:after="0" w:line="31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18"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PELOTON INTERACTIVE, INC.</w:t>
      </w:r>
    </w:p>
    <w:p>
      <w:pPr>
        <w:sectPr>
          <w:pgSz w:w="11900" w:h="16838" w:orient="portrait"/>
          <w:cols w:equalWidth="0" w:num="1">
            <w:col w:w="11200"/>
          </w:cols>
          <w:pgMar w:left="320" w:top="782" w:right="379" w:bottom="1440" w:gutter="0" w:footer="0" w:header="0"/>
        </w:sectPr>
      </w:pPr>
    </w:p>
    <w:p>
      <w:pPr>
        <w:spacing w:after="0" w:line="333"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Date: December 2, 2024</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color w:val="auto"/>
        </w:rPr>
        <w:t>/s/ Tammy Albarran</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Tammy Albarran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Legal Officer</w:t>
      </w:r>
    </w:p>
    <w:sectPr>
      <w:pgSz w:w="11900" w:h="16838" w:orient="portrait"/>
      <w:cols w:equalWidth="0" w:num="3">
        <w:col w:w="4040" w:space="720"/>
        <w:col w:w="260" w:space="540"/>
        <w:col w:w="5640"/>
      </w:cols>
      <w:pgMar w:left="320" w:top="782"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2024-12-02T15:23:10Z</dcterms:created>
  <dcterms:modified xsi:type="dcterms:W3CDTF">2024-12-02T15:23:10Z</dcterms:modified>
</cp:coreProperties>
</file>