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2649630.xml.htm"/>
      <w:bookmarkStart w:id="1" w:name="kswkform4_16926496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Cortese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PELOTON INTERACTIVE, INC.</w:t>
              </w:r>
            </w:hyperlink>
            <w:r>
              <w:rPr/>
              <w:t xml:space="preserve"> [ </w:t>
            </w:r>
            <w:r>
              <w:rPr>
                <w:rFonts w:ascii="Times;serif" w:hAnsi="Times;serif"/>
                <w:color w:val="0000FF"/>
                <w:sz w:val="24"/>
                <w:shd w:fill="FFFFFF" w:val="clear"/>
              </w:rPr>
              <w:t>PTON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6.9792</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November 23,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$6.7400 to $7.0600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Bart Goldstein as attorney-in-fact for Thomas Cortese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8276" TargetMode="External"/><Relationship Id="rId4" Type="http://schemas.openxmlformats.org/officeDocument/2006/relationships/hyperlink" Target="http://www.sec.gov/cgi-bin/browse-edgar?action=getcompany&amp;CIK=000163982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3644</Characters>
  <CharactersWithSpaces>4251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