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jc w:val="center"/>
        <w:ind w:right="-1100"/>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3920"/>
        <w:spacing w:after="0"/>
        <w:rPr>
          <w:sz w:val="20"/>
          <w:szCs w:val="20"/>
          <w:color w:val="auto"/>
        </w:rPr>
      </w:pPr>
      <w:r>
        <w:rPr>
          <w:rFonts w:ascii="Arial" w:cs="Arial" w:eastAsia="Arial" w:hAnsi="Arial"/>
          <w:sz w:val="22"/>
          <w:szCs w:val="22"/>
          <w:b w:val="1"/>
          <w:bCs w:val="1"/>
          <w:color w:val="auto"/>
        </w:rPr>
        <w:t>NOTIFICATION OF LATE FILING</w:t>
      </w:r>
    </w:p>
    <w:p>
      <w:pPr>
        <w:spacing w:after="0" w:line="267" w:lineRule="exact"/>
        <w:rPr>
          <w:sz w:val="24"/>
          <w:szCs w:val="24"/>
          <w:color w:val="auto"/>
        </w:rPr>
      </w:pPr>
    </w:p>
    <w:p>
      <w:pPr>
        <w:ind w:left="2280" w:right="2579" w:firstLine="1135"/>
        <w:spacing w:after="0" w:line="236" w:lineRule="exact"/>
        <w:tabs>
          <w:tab w:leader="none" w:pos="361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(Check one)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102"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Period Ended: June 30, 2022</w:t>
      </w:r>
    </w:p>
    <w:p>
      <w:pPr>
        <w:spacing w:after="0" w:line="131" w:lineRule="exact"/>
        <w:rPr>
          <w:sz w:val="24"/>
          <w:szCs w:val="24"/>
          <w:color w:val="auto"/>
        </w:rPr>
      </w:pPr>
    </w:p>
    <w:p>
      <w:pPr>
        <w:ind w:left="3620" w:hanging="205"/>
        <w:spacing w:after="0"/>
        <w:tabs>
          <w:tab w:leader="none" w:pos="3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620" w:hanging="205"/>
        <w:spacing w:after="0"/>
        <w:tabs>
          <w:tab w:leader="none" w:pos="3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620" w:hanging="205"/>
        <w:spacing w:after="0"/>
        <w:tabs>
          <w:tab w:leader="none" w:pos="3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620" w:hanging="205"/>
        <w:spacing w:after="0"/>
        <w:tabs>
          <w:tab w:leader="none" w:pos="3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23"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057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right"/>
        <w:ind w:right="5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PART I – REGISTRANT INFORMATION</w:t>
      </w:r>
    </w:p>
    <w:p>
      <w:pPr>
        <w:spacing w:after="0" w:line="136"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Peloton Interactive, Inc.</w:t>
      </w:r>
    </w:p>
    <w:p>
      <w:pPr>
        <w:jc w:val="center"/>
        <w:ind w:right="-1100"/>
        <w:spacing w:after="0"/>
        <w:rPr>
          <w:sz w:val="20"/>
          <w:szCs w:val="20"/>
          <w:color w:val="auto"/>
        </w:rPr>
      </w:pPr>
      <w:r>
        <w:rPr>
          <w:rFonts w:ascii="Arial" w:cs="Arial" w:eastAsia="Arial" w:hAnsi="Arial"/>
          <w:sz w:val="18"/>
          <w:szCs w:val="18"/>
          <w:b w:val="1"/>
          <w:bCs w:val="1"/>
          <w:color w:val="auto"/>
        </w:rPr>
        <w:t>Full Name of Registrant</w:t>
      </w:r>
    </w:p>
    <w:p>
      <w:pPr>
        <w:spacing w:after="0" w:line="15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w:t>
      </w:r>
    </w:p>
    <w:p>
      <w:pPr>
        <w:ind w:left="4780"/>
        <w:spacing w:after="0"/>
        <w:rPr>
          <w:sz w:val="20"/>
          <w:szCs w:val="20"/>
          <w:color w:val="auto"/>
        </w:rPr>
      </w:pPr>
      <w:r>
        <w:rPr>
          <w:rFonts w:ascii="Arial" w:cs="Arial" w:eastAsia="Arial" w:hAnsi="Arial"/>
          <w:sz w:val="14"/>
          <w:szCs w:val="14"/>
          <w:b w:val="1"/>
          <w:bCs w:val="1"/>
          <w:color w:val="auto"/>
        </w:rPr>
        <w:t>Former Name if Applicable</w:t>
      </w:r>
    </w:p>
    <w:p>
      <w:pPr>
        <w:spacing w:after="0" w:line="19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441 Ninth Avenue, Sixth Floor</w:t>
      </w:r>
    </w:p>
    <w:p>
      <w:pPr>
        <w:jc w:val="center"/>
        <w:ind w:right="-1060"/>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New York, New York 10001</w:t>
      </w:r>
    </w:p>
    <w:p>
      <w:pPr>
        <w:ind w:left="4860"/>
        <w:spacing w:after="0"/>
        <w:rPr>
          <w:sz w:val="20"/>
          <w:szCs w:val="20"/>
          <w:color w:val="auto"/>
        </w:rPr>
      </w:pPr>
      <w:r>
        <w:rPr>
          <w:rFonts w:ascii="Arial" w:cs="Arial" w:eastAsia="Arial" w:hAnsi="Arial"/>
          <w:sz w:val="14"/>
          <w:szCs w:val="14"/>
          <w:b w:val="1"/>
          <w:bCs w:val="1"/>
          <w:color w:val="auto"/>
        </w:rPr>
        <w:t>City, State and Zip Code</w:t>
      </w:r>
    </w:p>
    <w:p>
      <w:pPr>
        <w:sectPr>
          <w:pgSz w:w="11900" w:h="16838" w:orient="portrait"/>
          <w:cols w:equalWidth="0" w:num="1">
            <w:col w:w="10139"/>
          </w:cols>
          <w:pgMar w:left="320" w:top="1440" w:right="1440" w:bottom="1440" w:gutter="0" w:footer="0" w:header="0"/>
        </w:sectPr>
      </w:pPr>
    </w:p>
    <w:bookmarkStart w:id="1" w:name="page2"/>
    <w:bookmarkEnd w:id="1"/>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0" w:lineRule="exact"/>
        <w:rPr>
          <w:sz w:val="20"/>
          <w:szCs w:val="20"/>
          <w:color w:val="auto"/>
        </w:rPr>
      </w:pPr>
    </w:p>
    <w:p>
      <w:pPr>
        <w:spacing w:after="0" w:line="294" w:lineRule="exact"/>
        <w:rPr>
          <w:sz w:val="20"/>
          <w:szCs w:val="20"/>
          <w:color w:val="auto"/>
        </w:rPr>
      </w:pPr>
    </w:p>
    <w:p>
      <w:pPr>
        <w:ind w:left="1160" w:hanging="608"/>
        <w:spacing w:after="0"/>
        <w:tabs>
          <w:tab w:leader="none" w:pos="11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277" w:lineRule="exact"/>
        <w:rPr>
          <w:rFonts w:ascii="Arial" w:cs="Arial" w:eastAsia="Arial" w:hAnsi="Arial"/>
          <w:sz w:val="17"/>
          <w:szCs w:val="17"/>
          <w:color w:val="auto"/>
        </w:rPr>
      </w:pPr>
    </w:p>
    <w:p>
      <w:pPr>
        <w:ind w:left="1160" w:hanging="608"/>
        <w:spacing w:after="0"/>
        <w:tabs>
          <w:tab w:leader="none" w:pos="11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46" w:lineRule="exact"/>
        <w:rPr>
          <w:rFonts w:ascii="Arial" w:cs="Arial" w:eastAsia="Arial" w:hAnsi="Arial"/>
          <w:sz w:val="16"/>
          <w:szCs w:val="16"/>
          <w:color w:val="auto"/>
        </w:rPr>
      </w:pPr>
    </w:p>
    <w:p>
      <w:pPr>
        <w:ind w:left="1160" w:right="160" w:hanging="1031"/>
        <w:spacing w:after="0" w:line="200" w:lineRule="auto"/>
        <w:tabs>
          <w:tab w:leader="none" w:pos="116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45" w:lineRule="exact"/>
        <w:rPr>
          <w:rFonts w:ascii="MS PGothic" w:cs="MS PGothic" w:eastAsia="MS PGothic" w:hAnsi="MS PGothic"/>
          <w:sz w:val="36"/>
          <w:szCs w:val="36"/>
          <w:color w:val="auto"/>
          <w:vertAlign w:val="subscript"/>
        </w:rPr>
      </w:pPr>
    </w:p>
    <w:p>
      <w:pPr>
        <w:ind w:left="1160" w:hanging="608"/>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-1150620</wp:posOffset>
            </wp:positionV>
            <wp:extent cx="8255" cy="1183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Peloton Interactive, Inc. (the “Registrant” or the "Company") will not be able to timely file with the Securities and Exchange Commission its Annual Report on Form 10-K for the year ended June 30, 2022 for the reason set forth below.</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Registrant requires additional time to permit completion of the accounting and disclosures related to the measurement of the Registrant's fourth quarter long-lived asset impairment charges associated with the Registrant’s recent announcement to exit its last mile warehouses, including management’s assessment of the effectiveness of internal controls over financial reporting as it relates to its accounts and disclosures related to these strategic business developments and for its registered public accounting firm, Ernst &amp; Young LLP, to complete its necessary audit procedures over these matters. As a result, the Registrant is unable to file its Annual Report on Form 10-K for the fiscal year ended June 30, 2022 (the “Annual Report”) by the prescribed due date without unreasonable effort or expense. The Registrant anticipates that the Annual Report will be filed as soon as practicable and prior to the fifteenth calendar day following the prescribed due date.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200" w:lineRule="exact"/>
        <w:rPr>
          <w:sz w:val="20"/>
          <w:szCs w:val="20"/>
          <w:color w:val="auto"/>
        </w:rPr>
      </w:pPr>
    </w:p>
    <w:p>
      <w:pPr>
        <w:spacing w:after="0" w:line="313" w:lineRule="exact"/>
        <w:rPr>
          <w:sz w:val="20"/>
          <w:szCs w:val="20"/>
          <w:color w:val="auto"/>
        </w:rPr>
      </w:pPr>
    </w:p>
    <w:p>
      <w:pPr>
        <w:ind w:left="480" w:hanging="45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 Elizabeth F Coddington</w:t>
            </w:r>
          </w:p>
        </w:tc>
        <w:tc>
          <w:tcPr>
            <w:tcW w:w="2120" w:type="dxa"/>
            <w:vAlign w:val="bottom"/>
          </w:tcPr>
          <w:p>
            <w:pPr>
              <w:jc w:val="right"/>
              <w:ind w:right="839"/>
              <w:spacing w:after="0"/>
              <w:rPr>
                <w:sz w:val="20"/>
                <w:szCs w:val="20"/>
                <w:color w:val="auto"/>
              </w:rPr>
            </w:pPr>
            <w:r>
              <w:rPr>
                <w:rFonts w:ascii="Arial" w:cs="Arial" w:eastAsia="Arial" w:hAnsi="Arial"/>
                <w:sz w:val="18"/>
                <w:szCs w:val="18"/>
                <w:b w:val="1"/>
                <w:bCs w:val="1"/>
                <w:color w:val="auto"/>
              </w:rPr>
              <w:t>917</w:t>
            </w:r>
          </w:p>
        </w:tc>
        <w:tc>
          <w:tcPr>
            <w:tcW w:w="160" w:type="dxa"/>
            <w:vAlign w:val="bottom"/>
          </w:tcPr>
          <w:p>
            <w:pPr>
              <w:spacing w:after="0"/>
              <w:rPr>
                <w:sz w:val="20"/>
                <w:szCs w:val="20"/>
                <w:color w:val="auto"/>
              </w:rPr>
            </w:pPr>
          </w:p>
        </w:tc>
        <w:tc>
          <w:tcPr>
            <w:tcW w:w="4420" w:type="dxa"/>
            <w:vAlign w:val="bottom"/>
          </w:tcPr>
          <w:p>
            <w:pPr>
              <w:jc w:val="right"/>
              <w:ind w:right="1779"/>
              <w:spacing w:after="0"/>
              <w:rPr>
                <w:sz w:val="20"/>
                <w:szCs w:val="20"/>
                <w:color w:val="auto"/>
              </w:rPr>
            </w:pPr>
            <w:r>
              <w:rPr>
                <w:rFonts w:ascii="Arial" w:cs="Arial" w:eastAsia="Arial" w:hAnsi="Arial"/>
                <w:sz w:val="18"/>
                <w:szCs w:val="18"/>
                <w:b w:val="1"/>
                <w:bCs w:val="1"/>
                <w:color w:val="auto"/>
              </w:rPr>
              <w:t>671-9198</w:t>
            </w:r>
          </w:p>
        </w:tc>
      </w:tr>
      <w:tr>
        <w:trPr>
          <w:trHeight w:val="180"/>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16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(Area Code)</w:t>
            </w:r>
          </w:p>
        </w:tc>
        <w:tc>
          <w:tcPr>
            <w:tcW w:w="160" w:type="dxa"/>
            <w:vAlign w:val="bottom"/>
          </w:tcPr>
          <w:p>
            <w:pPr>
              <w:spacing w:after="0"/>
              <w:rPr>
                <w:sz w:val="15"/>
                <w:szCs w:val="15"/>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(Telephone Number)</w:t>
            </w:r>
          </w:p>
        </w:tc>
      </w:tr>
    </w:tbl>
    <w:p>
      <w:pPr>
        <w:spacing w:after="0" w:line="141" w:lineRule="exact"/>
        <w:rPr>
          <w:sz w:val="20"/>
          <w:szCs w:val="20"/>
          <w:color w:val="auto"/>
        </w:rPr>
      </w:pPr>
    </w:p>
    <w:p>
      <w:pPr>
        <w:ind w:left="480" w:right="360" w:hanging="452"/>
        <w:spacing w:after="0" w:line="206" w:lineRule="exact"/>
        <w:tabs>
          <w:tab w:leader="none" w:pos="480" w:val="left"/>
        </w:tabs>
        <w:numPr>
          <w:ilvl w:val="0"/>
          <w:numId w:val="6"/>
        </w:numPr>
        <w:rPr>
          <w:rFonts w:ascii="Arial" w:cs="Arial" w:eastAsia="Arial" w:hAnsi="Arial"/>
          <w:sz w:val="18"/>
          <w:szCs w:val="18"/>
          <w:color w:val="auto"/>
        </w:rPr>
      </w:pPr>
      <w:r>
        <w:rPr>
          <w:rFonts w:ascii="Arial" w:cs="Arial" w:eastAsia="Arial" w:hAnsi="Arial"/>
          <w:sz w:val="16"/>
          <w:szCs w:val="16"/>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6" w:lineRule="exact"/>
        <w:rPr>
          <w:rFonts w:ascii="Arial" w:cs="Arial" w:eastAsia="Arial" w:hAnsi="Arial"/>
          <w:sz w:val="18"/>
          <w:szCs w:val="18"/>
          <w:color w:val="auto"/>
        </w:rPr>
      </w:pPr>
    </w:p>
    <w:p>
      <w:pPr>
        <w:ind w:left="480" w:right="880" w:hanging="452"/>
        <w:spacing w:after="0" w:line="214" w:lineRule="exact"/>
        <w:tabs>
          <w:tab w:leader="none" w:pos="480" w:val="left"/>
        </w:tabs>
        <w:numPr>
          <w:ilvl w:val="0"/>
          <w:numId w:val="6"/>
        </w:numPr>
        <w:rPr>
          <w:rFonts w:ascii="Arial" w:cs="Arial" w:eastAsia="Arial" w:hAnsi="Arial"/>
          <w:sz w:val="18"/>
          <w:szCs w:val="18"/>
          <w:color w:val="auto"/>
        </w:rPr>
      </w:pPr>
      <w:r>
        <w:rPr>
          <w:rFonts w:ascii="Arial" w:cs="Arial" w:eastAsia="Arial" w:hAnsi="Arial"/>
          <w:sz w:val="16"/>
          <w:szCs w:val="16"/>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expects that the results of operations to be included in the Annual Report will reflect the changes in results of operations from the prior year consistent with the comparative results of operations disclosed in the Company’s letter to stockholders announcing its financial results for the fiscal year ended June 30, 2022 included in its Current Report on Form 8-K furnished with the Securities and Exchange Commission on August 25,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Form 12b-25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Form 12b-25 other than statements of historical fact, including, without limitation, statements regarding the expected results of operations to be reported in the Annual Report and the timing of filing the Annual Report.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of our products and services and adequately maintain our inventory; our ability to execute and achieve the expected benefits of our restructuring initiative and other cost-saving measures; our ability to effectively manage our growth;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industry; our reliance on a limited number of suppliers, contract manufacturers, and logistics partners for our connected fitness products; our reliance on and lack of control over suppliers, contract manufacturers, and logistics partners; our ability to predict our long-term performance and declines in our revenue growth as our business matures; the effects of increased competition in our markets and our ability to compete effectively; declines in sales of our Bike and Bike+;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those risks and uncertainties described in the sections titled “Management’s Discussion and Analysis of Financial Condition and Results of Operations” in Part I, Item 2 and “Risk Factors” in Part II, Item 1A of our Quarterly Reports on Form 10-Q for the quarterly periods ended December 31, 2021 and March 31, 2022, as such factors may be updated in our filings with the Securities and Exchange Commission, including but not limited to our Annual Report on Form 10-K for the fiscal year ended June 30, 2022, which are available on the Investor Relations page of our website at https://investor.onepeloton.com/investor-relations and on the SEC website at www.sec.gov.</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Form 12b-25, and we undertake no obligation to update any of these forward-looking statements for any reason after the date of this Form 12b-25 or to conform these statements to actual results or revised expectations, except as required by law.</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b w:val="1"/>
          <w:bCs w:val="1"/>
          <w:color w:val="auto"/>
        </w:rPr>
        <w:t>Peloton Interactive, Inc.</w:t>
      </w:r>
    </w:p>
    <w:p>
      <w:pPr>
        <w:ind w:left="426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has caused this notification to be signed on its behalf by the undersigned hereunto duly authorized.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2022</w:t>
      </w:r>
    </w:p>
    <w:p>
      <w:pPr>
        <w:spacing w:after="0" w:line="200" w:lineRule="exact"/>
        <w:rPr>
          <w:sz w:val="20"/>
          <w:szCs w:val="20"/>
          <w:color w:val="auto"/>
        </w:rPr>
      </w:pPr>
    </w:p>
    <w:p>
      <w:pPr>
        <w:spacing w:after="0" w:line="307"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/s/ Elizabeth F</w:t>
      </w:r>
    </w:p>
    <w:p>
      <w:pPr>
        <w:jc w:val="both"/>
        <w:ind w:left="508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 w:lineRule="exact"/>
        <w:rPr>
          <w:sz w:val="20"/>
          <w:szCs w:val="20"/>
          <w:color w:val="auto"/>
        </w:rPr>
      </w:pPr>
    </w:p>
    <w:p>
      <w:pPr>
        <w:jc w:val="right"/>
        <w:ind w:right="2719"/>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F Coddington</w:t>
      </w:r>
    </w:p>
    <w:p>
      <w:pPr>
        <w:spacing w:after="0" w:line="19"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7"/>
          <w:szCs w:val="17"/>
          <w:color w:val="auto"/>
        </w:rPr>
        <w:t>Title:</w:t>
        <w:tab/>
        <w:t>Chief Financial Officer</w:t>
      </w:r>
    </w:p>
    <w:p>
      <w:pPr>
        <w:ind w:left="5700"/>
        <w:spacing w:after="0" w:line="20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w:t>
      </w:r>
    </w:p>
    <w:p>
      <w:pPr>
        <w:ind w:left="5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sectPr>
      <w:pgSz w:w="11900" w:h="16838" w:orient="portrait"/>
      <w:cols w:equalWidth="0" w:num="1">
        <w:col w:w="10139"/>
      </w:cols>
      <w:pgMar w:left="32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2022-08-29T17:18:19Z</dcterms:created>
  <dcterms:modified xsi:type="dcterms:W3CDTF">2022-08-29T17:18:19Z</dcterms:modified>
</cp:coreProperties>
</file>