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2649403.xml.htm"/>
      <w:bookmarkStart w:id="1" w:name="kswkform4_16926494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Cotter Jennifer Cunningham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PELOTON INTERACTIVE, INC.</w:t>
              </w:r>
            </w:hyperlink>
            <w:r>
              <w:rPr/>
              <w:t xml:space="preserve"> [ </w:t>
            </w:r>
            <w:r>
              <w:rPr>
                <w:rFonts w:ascii="Times;serif" w:hAnsi="Times;serif"/>
                <w:color w:val="0000FF"/>
                <w:sz w:val="24"/>
                <w:shd w:fill="FFFFFF" w:val="clear"/>
              </w:rPr>
              <w:t>PTON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Content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19,462</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6.9801</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44,868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December 4,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$6.7200 to $7.0600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Bart Goldstein as attorney-in-fact for Jennifer Cotter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6761" TargetMode="External"/><Relationship Id="rId4" Type="http://schemas.openxmlformats.org/officeDocument/2006/relationships/hyperlink" Target="http://www.sec.gov/cgi-bin/browse-edgar?action=getcompany&amp;CIK=000163982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3624</Characters>
  <CharactersWithSpaces>4230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