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7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October 31, 2024</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91"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1"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7" w:lineRule="exact"/>
        <w:rPr>
          <w:sz w:val="24"/>
          <w:szCs w:val="24"/>
          <w:color w:val="auto"/>
        </w:rPr>
      </w:pPr>
    </w:p>
    <w:tbl>
      <w:tblPr>
        <w:tblLayout w:type="fixed"/>
        <w:tblInd w:w="1160" w:type="dxa"/>
        <w:tblCellMar>
          <w:top w:w="0" w:type="dxa"/>
          <w:left w:w="0" w:type="dxa"/>
          <w:bottom w:w="0" w:type="dxa"/>
          <w:right w:w="0" w:type="dxa"/>
        </w:tblCellMar>
      </w:tblPr>
      <w:tr>
        <w:trPr>
          <w:trHeight w:val="247"/>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9"/>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2"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vMerge w:val="restart"/>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31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6" w:right="479" w:bottom="1440" w:gutter="0" w:footer="0" w:header="0"/>
        </w:sectPr>
      </w:pPr>
    </w:p>
    <w:bookmarkStart w:id="1" w:name="page2"/>
    <w:bookmarkEnd w:id="1"/>
    <w:p>
      <w:pPr>
        <w:spacing w:after="0" w:line="28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44" w:right="5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October 31, 2024, Peloton Interactive, Inc. (“Peloton” or the “Company”) will hold a conference call regarding its financial results for the quarter ended September 30, 2024.</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Peloton also issued a letter to its stockholders announcing its financial results for the quarterly period ended September 30, 2024 (the “Shareholder Letter”). A copy of the Shareholder Letter is furnished as Exhibit 99.1 to this Current Report on Form 8-K.</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Peloton is making reference to non-GAAP financial information in both the Shareholder Letter and the conference call. A reconciliation of GAAP to non-GAAP results is provided in the Shareholder Letter, as attached to this Current Report on Form 8-K.</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Peloton uses its Investor Relations website (https://investor.onepeloton.com/investor-relations) and Press Newsroom (https://www.onepeloton.com/press) as means of disclosing material non-public information and for complying with its disclosure obligations under Regulation FD.</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furnished with Item 2.02 to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260" w:type="dxa"/>
            <w:vAlign w:val="bottom"/>
          </w:tcPr>
          <w:p>
            <w:pPr>
              <w:spacing w:after="0"/>
              <w:rPr>
                <w:sz w:val="20"/>
                <w:szCs w:val="20"/>
                <w:color w:val="auto"/>
              </w:rPr>
            </w:pPr>
            <w:r>
              <w:rPr>
                <w:rFonts w:ascii="Arial" w:cs="Arial" w:eastAsia="Arial" w:hAnsi="Arial"/>
                <w:sz w:val="18"/>
                <w:szCs w:val="18"/>
                <w:color w:val="auto"/>
              </w:rPr>
              <w:t>(d) Exhibits.</w:t>
            </w:r>
          </w:p>
        </w:tc>
        <w:tc>
          <w:tcPr>
            <w:tcW w:w="378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495"/>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8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182"/>
        </w:trPr>
        <w:tc>
          <w:tcPr>
            <w:tcW w:w="2260" w:type="dxa"/>
            <w:vAlign w:val="bottom"/>
          </w:tcPr>
          <w:p>
            <w:pPr>
              <w:ind w:left="20"/>
              <w:spacing w:after="0" w:line="182" w:lineRule="exact"/>
              <w:rPr>
                <w:sz w:val="20"/>
                <w:szCs w:val="20"/>
                <w:color w:val="auto"/>
              </w:rPr>
            </w:pPr>
            <w:r>
              <w:rPr>
                <w:rFonts w:ascii="Arial" w:cs="Arial" w:eastAsia="Arial" w:hAnsi="Arial"/>
                <w:sz w:val="18"/>
                <w:szCs w:val="18"/>
                <w:color w:val="auto"/>
              </w:rPr>
              <w:t>99.1</w:t>
            </w:r>
          </w:p>
        </w:tc>
        <w:tc>
          <w:tcPr>
            <w:tcW w:w="37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Letter to Shareholders, dated October 31, 2024</w:t>
            </w:r>
          </w:p>
        </w:tc>
        <w:tc>
          <w:tcPr>
            <w:tcW w:w="5200" w:type="dxa"/>
            <w:vAlign w:val="bottom"/>
          </w:tcPr>
          <w:p>
            <w:pPr>
              <w:spacing w:after="0"/>
              <w:rPr>
                <w:sz w:val="15"/>
                <w:szCs w:val="15"/>
                <w:color w:val="auto"/>
              </w:rPr>
            </w:pPr>
          </w:p>
        </w:tc>
      </w:tr>
      <w:tr>
        <w:trPr>
          <w:trHeight w:val="254"/>
        </w:trPr>
        <w:tc>
          <w:tcPr>
            <w:tcW w:w="2260" w:type="dxa"/>
            <w:vAlign w:val="bottom"/>
          </w:tcPr>
          <w:p>
            <w:pPr>
              <w:ind w:left="20"/>
              <w:spacing w:after="0"/>
              <w:rPr>
                <w:sz w:val="20"/>
                <w:szCs w:val="20"/>
                <w:color w:val="auto"/>
              </w:rPr>
            </w:pPr>
            <w:r>
              <w:rPr>
                <w:rFonts w:ascii="Arial" w:cs="Arial" w:eastAsia="Arial" w:hAnsi="Arial"/>
                <w:sz w:val="18"/>
                <w:szCs w:val="18"/>
                <w:color w:val="auto"/>
              </w:rPr>
              <w:t>104</w:t>
            </w: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096"/>
        </w:trPr>
        <w:tc>
          <w:tcPr>
            <w:tcW w:w="2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66"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ectPr>
          <w:pgSz w:w="11900" w:h="16838" w:orient="portrait"/>
          <w:cols w:equalWidth="0" w:num="1">
            <w:col w:w="11200"/>
          </w:cols>
          <w:pgMar w:left="320" w:top="782" w:right="379" w:bottom="1440" w:gutter="0" w:footer="0" w:header="0"/>
        </w:sect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31, 2024</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Elizabeth F Coddington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Elizabeth F Coddington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3">
            <w:col w:w="4040" w:space="720"/>
            <w:col w:w="260" w:space="540"/>
            <w:col w:w="5640"/>
          </w:cols>
          <w:pgMar w:left="320" w:top="782" w:right="37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64592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Q1 FY2025 Shareholder Letter</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October 31, 2024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Shareholders,</w:t>
      </w:r>
    </w:p>
    <w:p>
      <w:pPr>
        <w:spacing w:after="0" w:line="2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Q1 FY25 results reflect continued progress toward Peloton’s overarching financial goal of making our business sustainable and profitable for the long term. We had a strong Q1 FY25 and performed above our guidance on all of our key metrics. We’re especially pleased with our bottom line results and Free Cash Flow – we’re achieving our cost savings targets faster than we expected as a result of strong execution by our talented Peloton team members.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We remain hard at work and on track to achieve the goals we set for FY25, which include:</w:t>
      </w:r>
    </w:p>
    <w:p>
      <w:pPr>
        <w:spacing w:after="0" w:line="21" w:lineRule="exact"/>
        <w:rPr>
          <w:sz w:val="20"/>
          <w:szCs w:val="20"/>
          <w:color w:val="auto"/>
        </w:rPr>
      </w:pPr>
    </w:p>
    <w:p>
      <w:pPr>
        <w:ind w:left="660" w:hanging="328"/>
        <w:spacing w:after="0" w:line="25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Aligning our cost structure to the current size of our business, by delivering over $200 million of run-rate cost savings by the end of fiscal year 2025 from our cost restructuring plan announced in May 2024.</w:t>
      </w:r>
    </w:p>
    <w:p>
      <w:pPr>
        <w:ind w:left="660" w:right="20" w:hanging="328"/>
        <w:spacing w:after="0" w:line="252"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Improving our unit economics across all products, sales channels and markets, in pursuit of profitable growth and meaningful free cash flow generation.</w:t>
      </w:r>
    </w:p>
    <w:p>
      <w:pPr>
        <w:spacing w:after="0" w:line="1" w:lineRule="exact"/>
        <w:rPr>
          <w:rFonts w:ascii="Arial" w:cs="Arial" w:eastAsia="Arial" w:hAnsi="Arial"/>
          <w:sz w:val="16"/>
          <w:szCs w:val="16"/>
          <w:color w:val="auto"/>
        </w:rPr>
      </w:pPr>
    </w:p>
    <w:p>
      <w:pPr>
        <w:jc w:val="both"/>
        <w:ind w:left="660" w:hanging="328"/>
        <w:spacing w:after="0" w:line="267"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Continuing to make strategic investments in innovation to enable Peloton to return to top-line growth. This includes product development in both software and hardware features, refining our marketing strategy to efficiently attract new audiences, as well as evolving our content offering to deliver more diversified, engaging fitness experiences.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GAAP net loss for Q1 was $1 million, which was an improvement of $158 million Y/Y and $30 million Q/Q, and our GAAP Operating Income was $13 million, which was an improvement of $145 million Y/Y and $76 million Q/Q. Our net cash provided by operating activities was $12 million, an increase of $92 million Y/Y and decrease of $20 million Q/Q.</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are focused on optimizing costs across our business and it shows in our P&amp;L and cash flow. Operating expenses decreased $126 million or 30% Y/Y in Q1. We are proud of our Q1 performance in our non-GAAP profitability metrics, which we believe are useful to investors for understanding and evaluating our operating results. We achieved $116 million of Adjusted EBITDA* and $11 million of Free Cash Flow*.</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key part of managing our business toward profitable growth is improving our LTV to CAC ratio by addressing levers that are within our control. To enhance customer LTV, we are focused on expanding Connected Fitness Gross Margin by improving our hardware unit economics. In Q1 we raised the recommended retail price for our Bike and Bike+ products in our International markets. This was especially important in Germany, where we transitioned our operations to a third-party retail and distribution model. We also increased the retail price of Row in North America, and reduced promotional activity across our hardware portfolio compared to last quarter and Q1 FY24. These efforts, along with mix-shifts toward higher margin revenue streams such as Precor and Bike rental products, and continued efficiencies throughout our supply chain, resulted in our Connected Fitness Gross Margin of 9.2% which was up +90 bps Q/Q and +600 bps Y/Y.</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Improving our CAC efficiency requires us to be highly disciplined with our marketing spend. We reduced total Sales and Marketing expense by $64 million or 44% Y/Y in Q1, primarily driven by historically low media spend in the quarter, which decreased 57% Y/Y and was the lowest quarter of media spend since fiscal year 2020. We intentionally reduced our media spend in Q1 because it is a seasonally low hardware sales period. As we approach the holiday season, we expect to increase media spend while maintaining discipline to ensure that the subscribers we acquire are profitable.</w:t>
      </w:r>
    </w:p>
    <w:p>
      <w:pPr>
        <w:spacing w:after="0" w:line="21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Our Q1 results also reflect the continued strength of our category-leading subscription business, which has over </w:t>
      </w:r>
      <w:r>
        <w:rPr>
          <w:rFonts w:ascii="Arial" w:cs="Arial" w:eastAsia="Arial" w:hAnsi="Arial"/>
          <w:sz w:val="16"/>
          <w:szCs w:val="16"/>
          <w:color w:val="050505"/>
        </w:rPr>
        <w:t>6 million</w:t>
      </w:r>
      <w:r>
        <w:rPr>
          <w:rFonts w:ascii="Arial" w:cs="Arial" w:eastAsia="Arial" w:hAnsi="Arial"/>
          <w:sz w:val="16"/>
          <w:szCs w:val="16"/>
          <w:color w:val="auto"/>
        </w:rPr>
        <w:t xml:space="preserve"> loyal Members, </w:t>
      </w:r>
      <w:r>
        <w:rPr>
          <w:rFonts w:ascii="Arial" w:cs="Arial" w:eastAsia="Arial" w:hAnsi="Arial"/>
          <w:sz w:val="16"/>
          <w:szCs w:val="16"/>
          <w:color w:val="050505"/>
        </w:rPr>
        <w:t>2.9 million</w:t>
      </w:r>
      <w:r>
        <w:rPr>
          <w:rFonts w:ascii="Arial" w:cs="Arial" w:eastAsia="Arial" w:hAnsi="Arial"/>
          <w:sz w:val="16"/>
          <w:szCs w:val="16"/>
          <w:color w:val="auto"/>
        </w:rPr>
        <w:t xml:space="preserve"> Paid Connected Fitness subscribers, 582 thousand Paid App subscribers, $1.7 billion of annualized subscription revenue and a 67.8% Subscription Gross Margin. Our loyal Member base enables this stable source of revenue, so while we are focused on near-term levers to drive profitable subscriber gross additions, we are equally focused on strategically investing across Marketing, Product and Content to support Member engagement.</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go-to-market strategy continues to evolve with a balanced approach that creates demand among new audiences, coupled with improved efficiency in short-term conversion tactics. Today, two thirds of our Members are women, so we see an opportunity to attract more men to Peloton through messaging that highlights the robust value of a Peloton membership. Further, we see an opportunity to grow our Tread business given our belief that the at-home treadmill market is more than twice the size of the market for at-home stationary bikes. Our goal is to build demand among core audiences and then capture that demand during less frequent promotional moments. While we are still in early days, we are encouraged by the signals that suggest these marketing strategies are working. In Q1, we saw a 9% Y/Y mix-shift in hardware sales toward men, with the highest shift in our Tread portfolio.</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*For a reconciliation of all non-GAAP financial measures to their most directly comparable GAAP financial measure, and rationale for why we rely on these measures, please see the reconciliation tables located below.</w:t>
      </w:r>
    </w:p>
    <w:p>
      <w:pPr>
        <w:sectPr>
          <w:pgSz w:w="11900" w:h="16838" w:orient="portrait"/>
          <w:cols w:equalWidth="0" w:num="1">
            <w:col w:w="11240"/>
          </w:cols>
          <w:pgMar w:left="320" w:top="1440" w:right="3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440" w:right="339" w:bottom="1440" w:gutter="0" w:footer="0" w:header="0"/>
          <w:type w:val="continuous"/>
        </w:sectPr>
      </w:pPr>
    </w:p>
    <w:bookmarkStart w:id="5" w:name="page6"/>
    <w:bookmarkEnd w:id="5"/>
    <w:p>
      <w:pPr>
        <w:jc w:val="both"/>
        <w:spacing w:after="0" w:line="265" w:lineRule="auto"/>
        <w:rPr>
          <w:sz w:val="20"/>
          <w:szCs w:val="20"/>
          <w:color w:val="auto"/>
        </w:rPr>
      </w:pPr>
      <w:r>
        <w:rPr>
          <w:rFonts w:ascii="Arial" w:cs="Arial" w:eastAsia="Arial" w:hAnsi="Arial"/>
          <w:sz w:val="16"/>
          <w:szCs w:val="16"/>
          <w:color w:val="auto"/>
        </w:rPr>
        <w:t>We continue to see what we believe is low Average Net Monthly Paid Connected Fitness Subscription Churn, which was 1.9% in Q1. We believe subscriber retention is linked to engagement, which remains relatively stable Y/Y and well above pre-Covid levels. In Q1 we released several new content offerings to expand our existing library of over 40 thousand classes, including our annual All for One Programming Event featuring various popular musicians, including Keith Urban performing in-studio. These All for One classes generated 26 thousand live member workouts and over 900 thousand workouts on-demand in the first week available on the platform.</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product development efforts are grounded in features that we believe support long-term subscriber growth. We are testing a number of new products and features, including the Strength+ App, Game-Inspired Fitness experiences, Personalized Plans and Private Teams. These experimental initiatives are designed to drive higher engagement from our Members by offering personalization, social engagement, and alternative workout experiences. We expect some of these software initiatives will be more effective than others, so our development approach prioritizes getting early versions to market sooner to assess Member response and iterate accordingly.</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we approach the holiday season, we’re confident in the enhancements we’ve made to improve the Member experience. We continue to strengthen our delivery experience and improve the quality of our global Member support, and we’re more committed than ever to operational excellence. We expect these improvements to put us in a better position to deliver a great customer experience throughout the quarter.</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Following the end of Q1, we also completed the search for Peloton’s next Chief Executive Officer and President. Peter Stern will be joining Peloton effective January 1, 2025 to lead the Company into its next phase of profitable growth. Peter is a seasoned strategist who brings meaningful expertise operating at the nexus of hardware, software, content and services at Ford, Apple and Time Warner Cable. As the co-founder and driving force behind Apple Fitness+, Peter led its growth to millions of members, and he has grown more than a dozen subscription businesses. Beyond his depth of experience, Peter is passionate about Peloton's products and services, a Member since 2016 and an early adopter of both the Bike and Tread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1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ADDITIONAL BUSINESS HIGHLIGHTS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Sales Channels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optimize our sales and distribution channels. In Q1 we continued our retail store closure efforts, and next month we plan to evaluate a more cost-efficient retail model by testing a reimagined smaller store concept. Ahead of the holiday season, we are expanding our third party retail channels as well. The Peloton Bike+ will be available at Costco with special pricing for Costco members across 300 US locations and Costco's website for a limited time. We also shifted our German retail and distribution model to Amazon and FitShop, allowing us to operate in a capital efficient way that we believe may serve as a model for future International expansion.</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Innovative Content Offerings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annual All for One programming event, we recently rolled out a number of new programs to serve our Member base’s diverse interests, including Strength for Soccer, and new offerings across Barre, Pilates, Yoga and Meditation. We also expanded our low-impact workout offering with the launch of Walking Bootcamps, the latest in a series of Walking and Hiking content. We also delivered content for the performance athlete segment, releasing more 75, 90 and 120-minute classes in response to Member interest. Lastly, in addition to Lanebreak, we have been conducting a beta test for a new immersive, game-inspired cycling experience designed for competitive and social engagement.</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and Expanded Partnerships</w:t>
      </w:r>
    </w:p>
    <w:p>
      <w:pPr>
        <w:spacing w:after="0" w:line="5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We’re leaning into existing partnerships and exploring opportunities to partner with other businesses strategically to reach incremental audiences with our world-class Connected Fitness experience.</w:t>
      </w:r>
    </w:p>
    <w:p>
      <w:pPr>
        <w:spacing w:after="0" w:line="1" w:lineRule="exact"/>
        <w:rPr>
          <w:sz w:val="20"/>
          <w:szCs w:val="20"/>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launched a new partnership with TrueMed in October, making it easier for qualified US-based Peloton customers to use pre-tax Health Savings Account (HSA)/Flexible Spending Account (FSA) dollars to purchase applicable Peloton products through a payment integration on our website.</w:t>
      </w:r>
    </w:p>
    <w:p>
      <w:pPr>
        <w:ind w:left="660" w:hanging="328"/>
        <w:spacing w:after="0" w:line="252"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expanded our partnership with Hyatt in Q1 by rolling out the Earn More, Move More program for World of Hyatt loyalty members. This first-of-its-kind global program enables Members to earn World of Hyatt loyalty points by completing Peloton workouts at participating Hyatt hotels.</w:t>
      </w:r>
    </w:p>
    <w:p>
      <w:pPr>
        <w:spacing w:after="0" w:line="1"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partnership with Google Fitbit launched in September with 100 Peloton classes on the Fitbit Premium Platform and 5 sample classes on the Fitbit Free App. Early customer feedback generally has been positive.</w:t>
      </w:r>
    </w:p>
    <w:p>
      <w:pPr>
        <w:ind w:left="660" w:hanging="328"/>
        <w:spacing w:after="0" w:line="27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continue to be pleased with our content licensing arrangement with lululemon, which delivers a meaningful, consistent revenue stream from their subscriber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7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3"/>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FY 2025 Q1 Operating Metrics and Financial Summary</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 Change</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User Metrics</w:t>
            </w:r>
          </w:p>
        </w:tc>
        <w:tc>
          <w:tcPr>
            <w:tcW w:w="24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Q1 FY24</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Q4 FY24</w:t>
            </w:r>
          </w:p>
        </w:tc>
        <w:tc>
          <w:tcPr>
            <w:tcW w:w="220" w:type="dxa"/>
            <w:vAlign w:val="bottom"/>
          </w:tcPr>
          <w:p>
            <w:pPr>
              <w:spacing w:after="0"/>
              <w:rPr>
                <w:sz w:val="18"/>
                <w:szCs w:val="18"/>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Q1 FY25</w:t>
            </w:r>
          </w:p>
        </w:tc>
        <w:tc>
          <w:tcPr>
            <w:tcW w:w="100" w:type="dxa"/>
            <w:vAlign w:val="bottom"/>
          </w:tcPr>
          <w:p>
            <w:pPr>
              <w:spacing w:after="0"/>
              <w:rPr>
                <w:sz w:val="18"/>
                <w:szCs w:val="18"/>
                <w:color w:val="auto"/>
              </w:rPr>
            </w:pPr>
          </w:p>
        </w:tc>
        <w:tc>
          <w:tcPr>
            <w:tcW w:w="1880" w:type="dxa"/>
            <w:vAlign w:val="bottom"/>
            <w:gridSpan w:val="3"/>
          </w:tcPr>
          <w:p>
            <w:pPr>
              <w:ind w:left="560"/>
              <w:spacing w:after="0"/>
              <w:rPr>
                <w:sz w:val="20"/>
                <w:szCs w:val="20"/>
                <w:color w:val="auto"/>
              </w:rPr>
            </w:pPr>
            <w:r>
              <w:rPr>
                <w:rFonts w:ascii="Arial" w:cs="Arial" w:eastAsia="Arial" w:hAnsi="Arial"/>
                <w:sz w:val="16"/>
                <w:szCs w:val="16"/>
                <w:b w:val="1"/>
                <w:bCs w:val="1"/>
                <w:color w:val="auto"/>
              </w:rPr>
              <w:t>Y/Y</w:t>
            </w:r>
          </w:p>
        </w:tc>
        <w:tc>
          <w:tcPr>
            <w:tcW w:w="920" w:type="dxa"/>
            <w:vAlign w:val="bottom"/>
          </w:tcPr>
          <w:p>
            <w:pPr>
              <w:jc w:val="right"/>
              <w:ind w:right="439"/>
              <w:spacing w:after="0"/>
              <w:rPr>
                <w:sz w:val="20"/>
                <w:szCs w:val="20"/>
                <w:color w:val="auto"/>
              </w:rPr>
            </w:pPr>
            <w:r>
              <w:rPr>
                <w:rFonts w:ascii="Arial" w:cs="Arial" w:eastAsia="Arial" w:hAnsi="Arial"/>
                <w:sz w:val="16"/>
                <w:szCs w:val="16"/>
                <w:b w:val="1"/>
                <w:bCs w:val="1"/>
                <w:color w:val="auto"/>
              </w:rPr>
              <w:t>Q/Q</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Members (in millions)</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2"/>
        </w:trPr>
        <w:tc>
          <w:tcPr>
            <w:tcW w:w="4040" w:type="dxa"/>
            <w:vAlign w:val="bottom"/>
          </w:tcPr>
          <w:p>
            <w:pPr>
              <w:ind w:left="240"/>
              <w:spacing w:after="0" w:line="162" w:lineRule="exact"/>
              <w:rPr>
                <w:sz w:val="20"/>
                <w:szCs w:val="20"/>
                <w:color w:val="auto"/>
              </w:rPr>
            </w:pPr>
            <w:r>
              <w:rPr>
                <w:rFonts w:ascii="Arial" w:cs="Arial" w:eastAsia="Arial" w:hAnsi="Arial"/>
                <w:sz w:val="16"/>
                <w:szCs w:val="16"/>
                <w:color w:val="auto"/>
              </w:rPr>
              <w:t>Ending Paid Connected Fitness Subscriptions (in</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2.964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2.900</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Average Net Monthly Paid Connected Fitness</w:t>
            </w: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4"/>
                <w:szCs w:val="14"/>
                <w:color w:val="auto"/>
              </w:rPr>
            </w:pPr>
          </w:p>
        </w:tc>
        <w:tc>
          <w:tcPr>
            <w:tcW w:w="188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6"/>
                <w:szCs w:val="16"/>
                <w:color w:val="auto"/>
              </w:rPr>
              <w:t>40 bps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 bps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Churn</w:t>
            </w: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Ending Paid App Subscriptions (in millions)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0.615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0.582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Average Monthly Paid App Subscription Churn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80 bps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bps</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Connected Fitness Products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212.1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159.6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Revenue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415.0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40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595.5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643.6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586.0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Connected Fitness Products Gross Profit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Connected Fitness Products Gross Margin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600 bps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bps</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Gross Profit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Subscription Gross Margin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6"/>
                <w:szCs w:val="16"/>
                <w:color w:val="auto"/>
              </w:rPr>
              <w:t>40 bps</w:t>
            </w:r>
          </w:p>
        </w:tc>
        <w:tc>
          <w:tcPr>
            <w:tcW w:w="920" w:type="dxa"/>
            <w:vAlign w:val="bottom"/>
          </w:tcPr>
          <w:p>
            <w:pPr>
              <w:jc w:val="right"/>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Subscription Contribution Margin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(30) bps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bps</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Profit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303.8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Total Gross Margin</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51.8 %</w:t>
            </w:r>
          </w:p>
        </w:tc>
        <w:tc>
          <w:tcPr>
            <w:tcW w:w="100" w:type="dxa"/>
            <w:vAlign w:val="bottom"/>
          </w:tcPr>
          <w:p>
            <w:pPr>
              <w:spacing w:after="0"/>
              <w:rPr>
                <w:sz w:val="18"/>
                <w:szCs w:val="18"/>
                <w:color w:val="auto"/>
              </w:rPr>
            </w:pPr>
          </w:p>
        </w:tc>
        <w:tc>
          <w:tcPr>
            <w:tcW w:w="1880" w:type="dxa"/>
            <w:vAlign w:val="bottom"/>
            <w:gridSpan w:val="3"/>
          </w:tcPr>
          <w:p>
            <w:pPr>
              <w:jc w:val="right"/>
              <w:ind w:right="540"/>
              <w:spacing w:after="0"/>
              <w:rPr>
                <w:sz w:val="20"/>
                <w:szCs w:val="20"/>
                <w:color w:val="auto"/>
              </w:rPr>
            </w:pPr>
            <w:r>
              <w:rPr>
                <w:rFonts w:ascii="Arial" w:cs="Arial" w:eastAsia="Arial" w:hAnsi="Arial"/>
                <w:sz w:val="16"/>
                <w:szCs w:val="16"/>
                <w:color w:val="auto"/>
              </w:rPr>
              <w:t>390 bps</w:t>
            </w:r>
          </w:p>
        </w:tc>
        <w:tc>
          <w:tcPr>
            <w:tcW w:w="920" w:type="dxa"/>
            <w:vAlign w:val="bottom"/>
          </w:tcPr>
          <w:p>
            <w:pPr>
              <w:jc w:val="right"/>
              <w:spacing w:after="0"/>
              <w:rPr>
                <w:sz w:val="20"/>
                <w:szCs w:val="20"/>
                <w:color w:val="auto"/>
              </w:rPr>
            </w:pPr>
            <w:r>
              <w:rPr>
                <w:rFonts w:ascii="Arial" w:cs="Arial" w:eastAsia="Arial" w:hAnsi="Arial"/>
                <w:sz w:val="16"/>
                <w:szCs w:val="16"/>
                <w:color w:val="auto"/>
              </w:rPr>
              <w:t>340 bps</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417.6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375.3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291.2</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0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(0.9)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1,171 %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Provided by Operating Activities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85"/>
        </w:trPr>
        <w:tc>
          <w:tcPr>
            <w:tcW w:w="4040" w:type="dxa"/>
            <w:vAlign w:val="bottom"/>
          </w:tcPr>
          <w:p>
            <w:pPr>
              <w:ind w:left="24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42" w:lineRule="exact"/>
        <w:rPr>
          <w:sz w:val="20"/>
          <w:szCs w:val="20"/>
          <w:color w:val="auto"/>
        </w:rPr>
      </w:pPr>
    </w:p>
    <w:p>
      <w:pPr>
        <w:ind w:firstLine="8"/>
        <w:spacing w:after="0" w:line="286" w:lineRule="auto"/>
        <w:tabs>
          <w:tab w:leader="none" w:pos="191"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a reconciliation of each non-GAAP financial measure to the most directly comparable GAAP financial measure, and rationale for why we rely on these measures, please refer to the reconciliation tables in the section titled “Non-GAAP Financial Measures.”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OPERATING METRICS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Paid Connected Fitness Subscriptions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ended the quarter with 2.90 million Ending Paid Connected Fitness Subscriptions, a net decrease of 81 thousand in the quarter. This exceeded the high end of our guidance range by 10 thousand subscribers.The main driver of our subscriber outperformance was favorable net churn as a result of fewer subscription pauses, partially offset by slightly lower gross additions.</w:t>
      </w:r>
    </w:p>
    <w:p>
      <w:pPr>
        <w:spacing w:after="0" w:line="21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Average Net Monthly Paid Connected Fitness Subscription Churn was 1.9%, slightly favorable versus expectations, in-line with the prior quarter, and an increase of roughly 40 bps Y/Y. As a reminder, net churn performance from Q1 FY24 included a one-time benefit as a result of elevated unpauses, following elevated pauses in response to our original Bike seatpost recall in Q4 FY23.</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Paid App Subscriptions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ended the quarter with 582 thousand Ending Paid App Subscriptions, a net reduction of 33 thousand in the quarter. This result exceeded the high end of our guidance range by 12 thousand from both higher additions and better than expected Average Monthly Paid App Subscription Churn, which was 7.1%.</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Q1 we’ve continued to scale back the amount of media spend to support growth in Paid App Subscriptions to maximize media efficiency. As we continue evolving our App with software enhancements such as Personalized Plans and Private Teams,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73"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color w:val="auto"/>
        </w:rPr>
        <w:t>developing new offerings like the Strength+ App beta, we may elect to invest more in App media if we see signals that suggest we can accelerate growth of Paid App subscribers efficiently.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Q1 FINANCIAL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Revenue was $586.0 million for the three months ended September 30, 2024, which was comprised of $159.6 million of Connected Fitness Products Revenue, a decrease of $20.9 million or 11.6% Y/Y, and $426.3 million of Subscription Revenue, an increase of $11.4 million or 2.7% Y/Y. Total Revenue was above the high end of our $560 million to $580 million guidance range, primarily due to higher Subscription Revenue as a result of higher Paid Connected Fitness and Paid App subscribers, as well as slightly higher Connected Fitness Products Revenue.</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 and Margin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Gross Profit was $303.8 million for the three months ended September 30, 2024, yielding a Total Gross Margin of 51.8%, which was 180 bps above our guidance of 50%, due to favorable Connected Fitness Products Gross Margin and revenue mix-shift toward our Subscription segment. Connected Fitness Products Gross Margin was 9.2%, ahead of internal expectations while Subscription Gross Margin was 67.8%, in-line with internal expectations.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operating expenses, including Impairment and Restructuring expenses, were $291.2 million for the three months ended September 30, 2024, a $126.4 million or 30.3% reduction compared to $417.6 million for the three months ended September 30, 2023.</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 and administrative expense was $119.5 million, a decrease of $31.5 million or 20.9% versus the year ago period, primarily driven by an $18.0 million decrease in personnel-related expenses, inclusive of stock-based compensation expense associated with decreased average headcount, and a decrease in professional services fees of $8.5 million.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and marketing expense was $81.9 million, a decrease of $64.2 million or 43.9% versus the year ago period, reflecting decreased spending on advertising and marketing programs of $51.7 million or 56.7%, and lower personnel-related expenses, including stock-based compensation expense, associated with decreased average headcount.</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expense was $58.5 million, a decrease of $20.1 million or 25.6% versus the year ago period, primarily driven by decreases in personnel-related expenses, including stock-based compensation expense, associated with decreased average headcount, and decreases in product development costs.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quarter we recognized $7.8 million of Impairment and Restructuring expense, of which $4.9 million was non-cash. The non-cash charges were primarily related to asset write-downs in relation to exiting retail showrooms. The cash charges were comprised of $3.4 million in exit and disposal costs and professional fees, offset by a $0.5 million net benefit from lower severance and other personnel costs. We also recognized $23.5 million of supplier settlements primarily due to accruals for the three months ended September 30, 2024 related to settlement of disputes with a third-party supplier about certain alleged past and future commitments.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Adjusted EBITDA was $115.8 million in the first quarter, which was $55.8 million above the high end of our guidance range, and an $106.7 million improvement Y/Y. Outperformance was partially driven by roughly $15 million of timing savings within FY25.</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Provided by Operating Activities, Free Cash Flow &amp; Cash Balance</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provided by operating activities was $12.5 million and Free Cash Flow was $10.7 million. We ended the quarter with $722.3 million in unrestricted cash and cash equivalents. We also have access to a $100.0 million revolving credit facility, which remains undrawn to date.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7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Q2 FY25 OUTLOOK</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77"/>
        </w:trPr>
        <w:tc>
          <w:tcPr>
            <w:tcW w:w="15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ind w:left="640"/>
              <w:spacing w:after="0"/>
              <w:rPr>
                <w:sz w:val="20"/>
                <w:szCs w:val="20"/>
                <w:color w:val="auto"/>
              </w:rPr>
            </w:pPr>
            <w:r>
              <w:rPr>
                <w:rFonts w:ascii="Arial" w:cs="Arial" w:eastAsia="Arial" w:hAnsi="Arial"/>
                <w:sz w:val="16"/>
                <w:szCs w:val="16"/>
                <w:b w:val="1"/>
                <w:bCs w:val="1"/>
                <w:color w:val="auto"/>
              </w:rPr>
              <w:t>Q2 FY25 Range</w:t>
            </w:r>
          </w:p>
        </w:tc>
        <w:tc>
          <w:tcPr>
            <w:tcW w:w="2480" w:type="dxa"/>
            <w:vAlign w:val="bottom"/>
            <w:gridSpan w:val="3"/>
          </w:tcPr>
          <w:p>
            <w:pPr>
              <w:ind w:left="440"/>
              <w:spacing w:after="0"/>
              <w:rPr>
                <w:sz w:val="20"/>
                <w:szCs w:val="20"/>
                <w:color w:val="auto"/>
              </w:rPr>
            </w:pPr>
            <w:r>
              <w:rPr>
                <w:rFonts w:ascii="Arial" w:cs="Arial" w:eastAsia="Arial" w:hAnsi="Arial"/>
                <w:sz w:val="16"/>
                <w:szCs w:val="16"/>
                <w:b w:val="1"/>
                <w:bCs w:val="1"/>
                <w:color w:val="auto"/>
              </w:rPr>
              <w:t>% Change (Midpoint)</w:t>
            </w:r>
          </w:p>
        </w:tc>
      </w:tr>
      <w:tr>
        <w:trPr>
          <w:trHeight w:val="209"/>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User Metrics (in millions)</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Q2 FY24</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Q1 FY25</w:t>
            </w:r>
          </w:p>
        </w:tc>
        <w:tc>
          <w:tcPr>
            <w:tcW w:w="1280" w:type="dxa"/>
            <w:vAlign w:val="bottom"/>
            <w:tcBorders>
              <w:top w:val="single" w:sz="8" w:color="auto"/>
            </w:tcBorders>
            <w:gridSpan w:val="2"/>
          </w:tcPr>
          <w:p>
            <w:pPr>
              <w:ind w:left="420"/>
              <w:spacing w:after="0"/>
              <w:rPr>
                <w:sz w:val="20"/>
                <w:szCs w:val="20"/>
                <w:color w:val="auto"/>
              </w:rPr>
            </w:pPr>
            <w:r>
              <w:rPr>
                <w:rFonts w:ascii="Arial" w:cs="Arial" w:eastAsia="Arial" w:hAnsi="Arial"/>
                <w:sz w:val="16"/>
                <w:szCs w:val="16"/>
                <w:b w:val="1"/>
                <w:bCs w:val="1"/>
                <w:color w:val="auto"/>
              </w:rPr>
              <w:t>Low</w:t>
            </w:r>
          </w:p>
        </w:tc>
        <w:tc>
          <w:tcPr>
            <w:tcW w:w="1180" w:type="dxa"/>
            <w:vAlign w:val="bottom"/>
            <w:tcBorders>
              <w:top w:val="single" w:sz="8" w:color="auto"/>
            </w:tcBorders>
          </w:tcPr>
          <w:p>
            <w:pPr>
              <w:ind w:left="400"/>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8"/>
                <w:szCs w:val="18"/>
                <w:color w:val="auto"/>
              </w:rPr>
            </w:pPr>
          </w:p>
        </w:tc>
        <w:tc>
          <w:tcPr>
            <w:tcW w:w="130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Y/Y</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Q/Q</w:t>
            </w:r>
          </w:p>
        </w:tc>
      </w:tr>
      <w:tr>
        <w:trPr>
          <w:trHeight w:val="210"/>
        </w:trPr>
        <w:tc>
          <w:tcPr>
            <w:tcW w:w="3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2.90</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2.84</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2.86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r>
      <w:tr>
        <w:trPr>
          <w:trHeight w:val="270"/>
        </w:trPr>
        <w:tc>
          <w:tcPr>
            <w:tcW w:w="362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0.72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0.58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r>
      <w:tr>
        <w:trPr>
          <w:trHeight w:val="270"/>
        </w:trPr>
        <w:tc>
          <w:tcPr>
            <w:tcW w:w="3620" w:type="dxa"/>
            <w:vAlign w:val="bottom"/>
            <w:gridSpan w:val="2"/>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16"/>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 Revenue</w:t>
            </w:r>
          </w:p>
        </w:tc>
        <w:tc>
          <w:tcPr>
            <w:tcW w:w="1180" w:type="dxa"/>
            <w:vAlign w:val="bottom"/>
          </w:tcPr>
          <w:p>
            <w:pPr>
              <w:jc w:val="center"/>
              <w:spacing w:after="0"/>
              <w:rPr>
                <w:sz w:val="20"/>
                <w:szCs w:val="20"/>
                <w:color w:val="auto"/>
              </w:rPr>
            </w:pPr>
            <w:r>
              <w:rPr>
                <w:rFonts w:ascii="Arial" w:cs="Arial" w:eastAsia="Arial" w:hAnsi="Arial"/>
                <w:sz w:val="16"/>
                <w:szCs w:val="16"/>
                <w:color w:val="auto"/>
              </w:rPr>
              <w:t>$743.6</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$586.0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$640.0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$660.0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11%</w:t>
            </w:r>
          </w:p>
        </w:tc>
      </w:tr>
      <w:tr>
        <w:trPr>
          <w:trHeight w:val="271"/>
        </w:trPr>
        <w:tc>
          <w:tcPr>
            <w:tcW w:w="3620" w:type="dxa"/>
            <w:vAlign w:val="bottom"/>
            <w:gridSpan w:val="2"/>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15"/>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 Gross Margin</w:t>
            </w:r>
          </w:p>
        </w:tc>
        <w:tc>
          <w:tcPr>
            <w:tcW w:w="1180" w:type="dxa"/>
            <w:vAlign w:val="bottom"/>
          </w:tcPr>
          <w:p>
            <w:pPr>
              <w:jc w:val="center"/>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rPr>
              <w:t>624 bps</w:t>
            </w:r>
          </w:p>
        </w:tc>
        <w:tc>
          <w:tcPr>
            <w:tcW w:w="1180" w:type="dxa"/>
            <w:vAlign w:val="bottom"/>
          </w:tcPr>
          <w:p>
            <w:pPr>
              <w:jc w:val="center"/>
              <w:spacing w:after="0"/>
              <w:rPr>
                <w:sz w:val="20"/>
                <w:szCs w:val="20"/>
                <w:color w:val="auto"/>
              </w:rPr>
            </w:pPr>
            <w:r>
              <w:rPr>
                <w:rFonts w:ascii="Arial" w:cs="Arial" w:eastAsia="Arial" w:hAnsi="Arial"/>
                <w:sz w:val="16"/>
                <w:szCs w:val="16"/>
                <w:color w:val="auto"/>
              </w:rPr>
              <w:t>(534) bps</w:t>
            </w:r>
          </w:p>
        </w:tc>
      </w:tr>
      <w:tr>
        <w:trPr>
          <w:trHeight w:val="271"/>
        </w:trPr>
        <w:tc>
          <w:tcPr>
            <w:tcW w:w="3620" w:type="dxa"/>
            <w:vAlign w:val="bottom"/>
            <w:gridSpan w:val="2"/>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15"/>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$(81.7)</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$115.8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$20.0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(78)%</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Outlook</w:t>
      </w:r>
    </w:p>
    <w:p>
      <w:pPr>
        <w:spacing w:after="0" w:line="4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guidance for Q2 FY25 Ending Paid Connected Fitness Subscriptions of 2.84 to 2.86 million reflects a sequential decrease of 50 thousand subscribers at the midpoint. We expect our Average Net Monthly Paid Connected Fitness Subscription Churn rate to slightly improve sequentially in Q2.</w:t>
      </w:r>
    </w:p>
    <w:p>
      <w:pPr>
        <w:spacing w:after="0" w:line="2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Q2 FY25 Ending Paid App Subscription outlook of 560 thousand to 580 thousand reflects a sequential decrease of 12 thousand subscribers at the midpoint, as a result of a decision to limit App media spend.</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Revenue guidance of $640 million to $660 million reflects a sequential increase of $64 million at the midpoint as a result of these subscription trends, combined with an expected seasonal increase in hardware sales. Total Gross Margin guidance of 46.5% reflects an expected sequential decline in Total Gross Margin of 534 bps as a result of a seasonal mix-shift toward our Connected Fitness Products segment during the holiday sales period.</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second quarter Adjusted EBITDA guidance of $20 million to $30 million reflects a sequential decline of $91 million at the midpoint, mainly due to higher sales &amp; marketing expenses as we increase media spend for the holiday season.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FY25 OUTLOOK</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240" w:type="dxa"/>
            <w:vAlign w:val="bottom"/>
            <w:tcBorders>
              <w:top w:val="single" w:sz="8" w:color="auto"/>
            </w:tcBorders>
          </w:tcPr>
          <w:p>
            <w:pPr>
              <w:spacing w:after="0"/>
              <w:rPr>
                <w:sz w:val="21"/>
                <w:szCs w:val="21"/>
                <w:color w:val="auto"/>
              </w:rPr>
            </w:pPr>
          </w:p>
        </w:tc>
        <w:tc>
          <w:tcPr>
            <w:tcW w:w="4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4"/>
            <w:vMerge w:val="restart"/>
          </w:tcPr>
          <w:p>
            <w:pPr>
              <w:ind w:left="780"/>
              <w:spacing w:after="0"/>
              <w:rPr>
                <w:sz w:val="20"/>
                <w:szCs w:val="20"/>
                <w:color w:val="auto"/>
              </w:rPr>
            </w:pPr>
            <w:r>
              <w:rPr>
                <w:rFonts w:ascii="Arial" w:cs="Arial" w:eastAsia="Arial" w:hAnsi="Arial"/>
                <w:sz w:val="16"/>
                <w:szCs w:val="16"/>
                <w:b w:val="1"/>
                <w:bCs w:val="1"/>
                <w:color w:val="auto"/>
              </w:rPr>
              <w:t>FY25 Range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(Midpoint)</w:t>
            </w:r>
          </w:p>
        </w:tc>
        <w:tc>
          <w:tcPr>
            <w:tcW w:w="0" w:type="dxa"/>
            <w:vAlign w:val="bottom"/>
          </w:tcPr>
          <w:p>
            <w:pPr>
              <w:spacing w:after="0"/>
              <w:rPr>
                <w:sz w:val="1"/>
                <w:szCs w:val="1"/>
                <w:color w:val="auto"/>
              </w:rPr>
            </w:pPr>
          </w:p>
        </w:tc>
      </w:tr>
      <w:tr>
        <w:trPr>
          <w:trHeight w:val="210"/>
        </w:trPr>
        <w:tc>
          <w:tcPr>
            <w:tcW w:w="6160" w:type="dxa"/>
            <w:vAlign w:val="bottom"/>
            <w:gridSpan w:val="2"/>
          </w:tcPr>
          <w:p>
            <w:pPr>
              <w:ind w:left="20"/>
              <w:spacing w:after="0"/>
              <w:rPr>
                <w:sz w:val="20"/>
                <w:szCs w:val="20"/>
                <w:color w:val="auto"/>
              </w:rPr>
            </w:pPr>
            <w:r>
              <w:rPr>
                <w:rFonts w:ascii="Arial" w:cs="Arial" w:eastAsia="Arial" w:hAnsi="Arial"/>
                <w:sz w:val="16"/>
                <w:szCs w:val="16"/>
                <w:b w:val="1"/>
                <w:bCs w:val="1"/>
                <w:color w:val="auto"/>
              </w:rPr>
              <w:t>User Metrics (in millions)</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FY24</w:t>
            </w:r>
          </w:p>
        </w:tc>
        <w:tc>
          <w:tcPr>
            <w:tcW w:w="1300" w:type="dxa"/>
            <w:vAlign w:val="bottom"/>
            <w:tcBorders>
              <w:top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Low</w:t>
            </w:r>
          </w:p>
        </w:tc>
        <w:tc>
          <w:tcPr>
            <w:tcW w:w="118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Y/Y</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2.98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2.68</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2.75</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0.55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0.60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6160" w:type="dxa"/>
            <w:vAlign w:val="bottom"/>
            <w:gridSpan w:val="2"/>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Total Revenue</w:t>
            </w:r>
          </w:p>
        </w:tc>
        <w:tc>
          <w:tcPr>
            <w:tcW w:w="1200" w:type="dxa"/>
            <w:vAlign w:val="bottom"/>
          </w:tcPr>
          <w:p>
            <w:pPr>
              <w:jc w:val="center"/>
              <w:spacing w:after="0"/>
              <w:rPr>
                <w:sz w:val="20"/>
                <w:szCs w:val="20"/>
                <w:color w:val="auto"/>
              </w:rPr>
            </w:pPr>
            <w:r>
              <w:rPr>
                <w:rFonts w:ascii="Arial" w:cs="Arial" w:eastAsia="Arial" w:hAnsi="Arial"/>
                <w:sz w:val="16"/>
                <w:szCs w:val="16"/>
                <w:color w:val="auto"/>
              </w:rPr>
              <w:t>$2,700.5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$2,400.0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$2,500.0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1"/>
        </w:trPr>
        <w:tc>
          <w:tcPr>
            <w:tcW w:w="6160" w:type="dxa"/>
            <w:vAlign w:val="bottom"/>
            <w:gridSpan w:val="2"/>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Total Gross Margin</w:t>
            </w:r>
          </w:p>
        </w:tc>
        <w:tc>
          <w:tcPr>
            <w:tcW w:w="1200" w:type="dxa"/>
            <w:vAlign w:val="bottom"/>
          </w:tcPr>
          <w:p>
            <w:pPr>
              <w:jc w:val="center"/>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432 bps</w:t>
            </w:r>
          </w:p>
        </w:tc>
        <w:tc>
          <w:tcPr>
            <w:tcW w:w="0" w:type="dxa"/>
            <w:vAlign w:val="bottom"/>
          </w:tcPr>
          <w:p>
            <w:pPr>
              <w:spacing w:after="0"/>
              <w:rPr>
                <w:sz w:val="1"/>
                <w:szCs w:val="1"/>
                <w:color w:val="auto"/>
              </w:rPr>
            </w:pPr>
          </w:p>
        </w:tc>
      </w:tr>
      <w:tr>
        <w:trPr>
          <w:trHeight w:val="271"/>
        </w:trPr>
        <w:tc>
          <w:tcPr>
            <w:tcW w:w="6160" w:type="dxa"/>
            <w:vAlign w:val="bottom"/>
            <w:gridSpan w:val="2"/>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1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200" w:type="dxa"/>
            <w:vAlign w:val="bottom"/>
          </w:tcPr>
          <w:p>
            <w:pPr>
              <w:jc w:val="center"/>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$240.0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7,398%</w:t>
            </w: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Year Outlook</w:t>
      </w:r>
    </w:p>
    <w:p>
      <w:pPr>
        <w:spacing w:after="0" w:line="59"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Our Full Year FY25 guidance reflects the expectation that hardware sales will decline Y/Y, as well as an expectation that Average Net Monthly Paid Connected Fitness Churn will continue to increase modestly Y/Y and follow our historical seasonal pattern.</w:t>
      </w:r>
    </w:p>
    <w:p>
      <w:pPr>
        <w:spacing w:after="0" w:line="22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Full Year guidance range for Paid Connected Fitness Subscriptions of 2.68 to 2.75 million remains unchanged and reflects a broad range of outcomes. We will continue to refine our strategy to improve unit economics over the course of FY25, which may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66" w:right="3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6"/>
          <w:szCs w:val="16"/>
          <w:color w:val="auto"/>
        </w:rPr>
        <w:t>include additional changes in pricing, promotional strategy, or other levers available to achieve our financial targets. Any changes in these areas may affect our gross additions for Paid Connected Fitness Subscriptions across the fiscal year.</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Full Year guidance range for Paid App Subscriptions of 550 thousand to 600 thousand, a 20 thousand reduction versus our prior guidance, reflects our decision to limit App media spend as we invest in product development to improve the Member experience.</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Additionally, as we continue to improve our Member experience, we see clear opportunities to improve engagement, which could result in favorability to churn for both Connected Fitness and App. While we are optimistic we can improve engagement through product and content innovation and evolving our marketing strategy, the timing of when we will start to see meaningful impact from these efforts is uncertain, and therefore not reflected in our guidance.</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primary focus for FY25 is delivering on our key financial results, which include Total Revenue, Total Gross Margin, and Adjusted EBITDA. We are prioritizing these metrics along with achieving our Free Cash Flow target. Our FY25 outlook for Revenue remains unchanged at $2,400 million to $2,500 million, as well as our outlook for Total Gross Margin, which remains unchanged at 49.0%.</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raising our FY25 Adjusted EBITDA guidance by $40 million to $240 million to $290 million, which reflects our continued improvements in profitability, largely due to Y/Y gross margin expansion, the operating cost savings we expect to achieve related to our previously announced cost restructuring plan, and reduced Y/Y media spend.</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also raising our FY25 Free Cash Flow target to $125 million+, up $50 million from our previous guidance, primarily from lower inventory production that we expect to create a greater working capital tailwind, as well as continued operating expense efficiencies. Following our Q1 Free Cash Flow result of $11 million, we do expect to achieve positive Free Cash Flow in all four quarters of the fiscal year. We expect to make meaningful progress in deleveraging our balance sheet throughout FY25 and beyond.</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proud of what our Peloton team members have accomplished already in FY25, knowing we still have meaningful work ahead of us. As we approach the holiday season, we will continue executing on our goals to maximize this important sales period for our business. We look forward to welcoming Peter Stern in January and continuing to execute our fiscal year goals under his leadership. Thank you to Chris Bruzzo, who will be stepping down and returning to his role on the Board of Directors effective November 1, for his leadership as Interim co-CEO. Karen Boone will remain in her role as Interim-CEO until January 1, when she will return to her role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773"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Webcast</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will host a call at 8:30 a.m. ET on Thursday, October 31, 2024 to discuss our financial results. A live webcast of the call will be available at </w:t>
      </w:r>
      <w:r>
        <w:rPr>
          <w:rFonts w:ascii="Arial" w:cs="Arial" w:eastAsia="Arial" w:hAnsi="Arial"/>
          <w:sz w:val="16"/>
          <w:szCs w:val="16"/>
          <w:u w:val="single" w:color="auto"/>
          <w:color w:val="3051F2"/>
        </w:rPr>
        <w:t>https://investor.onepeloton.com/news-and-events/events</w:t>
      </w:r>
      <w:r>
        <w:rPr>
          <w:rFonts w:ascii="Arial" w:cs="Arial" w:eastAsia="Arial" w:hAnsi="Arial"/>
          <w:sz w:val="16"/>
          <w:szCs w:val="16"/>
          <w:color w:val="3051F2"/>
        </w:rPr>
        <w:t xml:space="preserve"> </w:t>
      </w:r>
      <w:r>
        <w:rPr>
          <w:rFonts w:ascii="Arial" w:cs="Arial" w:eastAsia="Arial" w:hAnsi="Arial"/>
          <w:sz w:val="16"/>
          <w:szCs w:val="16"/>
          <w:color w:val="000000"/>
        </w:rPr>
        <w:t>and a replay will be available on the investor relations page of the Company's website for 30 days.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shareholder letter other than statements of historical fact, including, without limitation, statements regarding our expected financial results for the first quarter of and full fiscal year 2025;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in the future; our future operating results and financial position, including our ability to achieve and maintain our Free Cash Flow, revenue, gross margin and adjusted EBITDA targets; our profitability;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of our products and services and adequately manage our inventory; our ability to execute and achieve the expected benefits of our restructuring initiatives and other cost-saving measures and whether our efforts will result in further actions or additional asset impairment charges that adversely affect our business;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Market; our ability to maintain the value and reputation of the Peloton brand; disruptions or failures of our information technology systems or websites; our reliance on a limited number of suppliers, contract manufacturers, and logistics partners for our Connected Fitness Products; our lack of control over suppliers, contract manufacturers, and logistics partners for our Connected Fitness Products; our ability to predict our long-term performance and changes to our revenue as our business matures; any declines in sales of our Connected Fitness Products; the effects of increased competition in our markets and our ability to compete effectively; our dependence on third-party licenses for use of music in our content; actual or perceived defects in, or safety of, our products, including any impact of product recalls or legal or regulatory claims, proceedings or investigations involving our products; increases in component costs, long lead times, supply shortages or other supply chain disruptions; accidents, safety incidents or workforce disruptions; seasonality or other fluctuations in our quarterly results; our ability to generate class content; risks related to acquisitions or dispositions, including the acquisition of Precor, and our ability to integrate any such acquired companies into our operations and control environment; risks related to expansion into international markets; risks related to payment processing, cybersecurity, or data privacy; risks related to the Peloton App and its ability to work with a range of mobile and streaming technologies, systems, networks, and standards; our ability to effectively price and market our Connected Fitness Products and subscriptions and our limited operating history with which to predict the profitability of our subscription model; any inaccuracies in, or failure to achieve, operational and business metrics or forecasts of market growth; our ability to maintain effective internal control over financial and management systems and remediate material weaknesses, including with respect to Precor; impacts from warranty claims or product returns; our ability to maintain, protect, and enhance our intellectual property; our ability to comply with laws and regulations that currently apply or become applicable to our business both in the United States and internationally; our reliance on third parties for computing, storage, processing and similar services and delivery and installation of our products; our ability to attract and retain highly skilled personnel and maintain our culture; risks related to our common stock and indebtedness; and those risks and uncertainties described in the Company’s Annual Report on Form 10-K, Quarterly Reports on Form 10-Q and Current Reports on Form 8-K filed with the Securities and Exchange Commission, as such risks and uncertainties may be updated in our filings with the Securities and Exchange Commission, which are available on the Investor Relations page of our website at </w:t>
      </w:r>
      <w:r>
        <w:rPr>
          <w:rFonts w:ascii="Arial" w:cs="Arial" w:eastAsia="Arial" w:hAnsi="Arial"/>
          <w:sz w:val="16"/>
          <w:szCs w:val="16"/>
          <w:u w:val="single" w:color="auto"/>
          <w:color w:val="3051F2"/>
        </w:rPr>
        <w:t>https://investor.onepeloton.com/investor-relations</w:t>
      </w:r>
      <w:r>
        <w:rPr>
          <w:rFonts w:ascii="Arial" w:cs="Arial" w:eastAsia="Arial" w:hAnsi="Arial"/>
          <w:sz w:val="16"/>
          <w:szCs w:val="16"/>
          <w:color w:val="3051F2"/>
        </w:rPr>
        <w:t xml:space="preserve"> </w:t>
      </w:r>
      <w:r>
        <w:rPr>
          <w:rFonts w:ascii="Arial" w:cs="Arial" w:eastAsia="Arial" w:hAnsi="Arial"/>
          <w:sz w:val="16"/>
          <w:szCs w:val="16"/>
          <w:color w:val="000000"/>
        </w:rPr>
        <w:t>and on the SEC website at</w:t>
      </w:r>
      <w:r>
        <w:rPr>
          <w:rFonts w:ascii="Arial" w:cs="Arial" w:eastAsia="Arial" w:hAnsi="Arial"/>
          <w:sz w:val="16"/>
          <w:szCs w:val="16"/>
          <w:color w:val="3051F2"/>
        </w:rPr>
        <w:t xml:space="preserve"> </w:t>
      </w:r>
      <w:r>
        <w:rPr>
          <w:rFonts w:ascii="Arial" w:cs="Arial" w:eastAsia="Arial" w:hAnsi="Arial"/>
          <w:sz w:val="16"/>
          <w:szCs w:val="16"/>
          <w:u w:val="single" w:color="auto"/>
          <w:color w:val="3051F2"/>
        </w:rPr>
        <w:t>www.sec.gov</w:t>
      </w:r>
      <w:r>
        <w:rPr>
          <w:rFonts w:ascii="Arial" w:cs="Arial" w:eastAsia="Arial" w:hAnsi="Arial"/>
          <w:sz w:val="16"/>
          <w:szCs w:val="16"/>
          <w:color w:val="000000"/>
        </w:rPr>
        <w:t>.You should not rely upon forward-looking statements as predictions of future events. The events and</w:t>
      </w:r>
      <w:r>
        <w:rPr>
          <w:rFonts w:ascii="Arial" w:cs="Arial" w:eastAsia="Arial" w:hAnsi="Arial"/>
          <w:sz w:val="16"/>
          <w:szCs w:val="16"/>
          <w:color w:val="3051F2"/>
        </w:rPr>
        <w:t xml:space="preserve"> </w:t>
      </w:r>
      <w:r>
        <w:rPr>
          <w:rFonts w:ascii="Arial" w:cs="Arial" w:eastAsia="Arial" w:hAnsi="Arial"/>
          <w:sz w:val="16"/>
          <w:szCs w:val="16"/>
          <w:color w:val="000000"/>
        </w:rPr>
        <w:t>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FINANCIAL TABLES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9"/>
                <w:szCs w:val="19"/>
                <w:color w:val="auto"/>
              </w:rPr>
            </w:pPr>
          </w:p>
        </w:tc>
        <w:tc>
          <w:tcPr>
            <w:tcW w:w="15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center"/>
              <w:ind w:right="159"/>
              <w:spacing w:after="0"/>
              <w:rPr>
                <w:sz w:val="20"/>
                <w:szCs w:val="20"/>
                <w:color w:val="auto"/>
              </w:rPr>
            </w:pPr>
            <w:r>
              <w:rPr>
                <w:rFonts w:ascii="Arial" w:cs="Arial" w:eastAsia="Arial" w:hAnsi="Arial"/>
                <w:sz w:val="16"/>
                <w:szCs w:val="16"/>
                <w:b w:val="1"/>
                <w:bCs w:val="1"/>
                <w:color w:val="auto"/>
              </w:rPr>
              <w:t>(unaudited)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5"/>
        </w:trPr>
        <w:tc>
          <w:tcPr>
            <w:tcW w:w="73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101.8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15"/>
        </w:trPr>
        <w:tc>
          <w:tcPr>
            <w:tcW w:w="7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1,285.1</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330.5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416.9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73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2,157.1</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15"/>
        </w:trPr>
        <w:tc>
          <w:tcPr>
            <w:tcW w:w="73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154.5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3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0" w:type="dxa"/>
            <w:vAlign w:val="bottom"/>
          </w:tcPr>
          <w:p>
            <w:pPr>
              <w:spacing w:after="0"/>
              <w:rPr>
                <w:sz w:val="1"/>
                <w:szCs w:val="1"/>
                <w:color w:val="auto"/>
              </w:rPr>
            </w:pP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949.1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15"/>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w:t>
            </w:r>
          </w:p>
        </w:tc>
        <w:tc>
          <w:tcPr>
            <w:tcW w:w="0" w:type="dxa"/>
            <w:vAlign w:val="bottom"/>
          </w:tcPr>
          <w:p>
            <w:pPr>
              <w:spacing w:after="0"/>
              <w:rPr>
                <w:sz w:val="1"/>
                <w:szCs w:val="1"/>
                <w:color w:val="auto"/>
              </w:rPr>
            </w:pPr>
          </w:p>
        </w:tc>
      </w:tr>
      <w:tr>
        <w:trPr>
          <w:trHeight w:val="195"/>
        </w:trPr>
        <w:tc>
          <w:tcPr>
            <w:tcW w:w="7300" w:type="dxa"/>
            <w:vAlign w:val="bottom"/>
          </w:tcPr>
          <w:p>
            <w:pPr>
              <w:ind w:left="180"/>
              <w:spacing w:after="0"/>
              <w:rPr>
                <w:sz w:val="20"/>
                <w:szCs w:val="20"/>
                <w:color w:val="auto"/>
              </w:rPr>
            </w:pPr>
            <w:r>
              <w:rPr>
                <w:rFonts w:ascii="Arial" w:cs="Arial" w:eastAsia="Arial" w:hAnsi="Arial"/>
                <w:sz w:val="16"/>
                <w:szCs w:val="16"/>
                <w:color w:val="auto"/>
              </w:rPr>
              <w:t>Commitments and contingencies (Note 8)</w:t>
            </w: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shares of Class A</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common stock authorized, 363,136,266 and 358,120,105 shares of Class A common stock</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issued and outstanding as of September 30, 2024 and June 30, 2024, respectively;</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2,500,000,000 and 2,500,000,000 shares of Class B common stock authorized, 18,141,608 and</w:t>
            </w: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18,141,608 shares of Class B common stock issued and outstanding as of September 30, 2024</w:t>
            </w:r>
          </w:p>
        </w:tc>
        <w:tc>
          <w:tcPr>
            <w:tcW w:w="240" w:type="dxa"/>
            <w:vAlign w:val="bottom"/>
          </w:tcPr>
          <w:p>
            <w:pPr>
              <w:spacing w:after="0"/>
              <w:rPr>
                <w:sz w:val="14"/>
                <w:szCs w:val="14"/>
                <w:color w:val="auto"/>
              </w:rPr>
            </w:pPr>
          </w:p>
        </w:tc>
        <w:tc>
          <w:tcPr>
            <w:tcW w:w="18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300" w:type="dxa"/>
            <w:vAlign w:val="bottom"/>
          </w:tcPr>
          <w:p>
            <w:pPr>
              <w:ind w:left="360"/>
              <w:spacing w:after="0"/>
              <w:rPr>
                <w:sz w:val="20"/>
                <w:szCs w:val="20"/>
                <w:color w:val="auto"/>
              </w:rPr>
            </w:pPr>
            <w:r>
              <w:rPr>
                <w:rFonts w:ascii="Arial" w:cs="Arial" w:eastAsia="Arial" w:hAnsi="Arial"/>
                <w:sz w:val="16"/>
                <w:szCs w:val="16"/>
                <w:color w:val="auto"/>
              </w:rPr>
              <w:t>and June 30, 2024, respectively.</w:t>
            </w:r>
          </w:p>
        </w:tc>
        <w:tc>
          <w:tcPr>
            <w:tcW w:w="24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4,948.6</w:t>
            </w:r>
          </w:p>
        </w:tc>
        <w:tc>
          <w:tcPr>
            <w:tcW w:w="0" w:type="dxa"/>
            <w:vAlign w:val="bottom"/>
          </w:tcPr>
          <w:p>
            <w:pPr>
              <w:spacing w:after="0"/>
              <w:rPr>
                <w:sz w:val="1"/>
                <w:szCs w:val="1"/>
                <w:color w:val="auto"/>
              </w:rPr>
            </w:pPr>
          </w:p>
        </w:tc>
      </w:tr>
      <w:tr>
        <w:trPr>
          <w:trHeight w:val="215"/>
        </w:trPr>
        <w:tc>
          <w:tcPr>
            <w:tcW w:w="73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7"/>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(5,484.6)</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35"/>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2,157.1</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86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9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7920" w:type="dxa"/>
            <w:vAlign w:val="bottom"/>
          </w:tcPr>
          <w:p>
            <w:pPr>
              <w:ind w:left="34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159.6</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w:t>
            </w:r>
          </w:p>
        </w:tc>
      </w:tr>
      <w:tr>
        <w:trPr>
          <w:trHeight w:val="209"/>
        </w:trPr>
        <w:tc>
          <w:tcPr>
            <w:tcW w:w="79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595.5</w:t>
            </w:r>
          </w:p>
        </w:tc>
      </w:tr>
      <w:tr>
        <w:trPr>
          <w:trHeight w:val="197"/>
        </w:trPr>
        <w:tc>
          <w:tcPr>
            <w:tcW w:w="79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7920" w:type="dxa"/>
            <w:vAlign w:val="bottom"/>
          </w:tcPr>
          <w:p>
            <w:pPr>
              <w:ind w:left="340"/>
              <w:spacing w:after="0"/>
              <w:rPr>
                <w:sz w:val="20"/>
                <w:szCs w:val="20"/>
                <w:color w:val="auto"/>
              </w:rPr>
            </w:pPr>
            <w:r>
              <w:rPr>
                <w:rFonts w:ascii="Arial" w:cs="Arial" w:eastAsia="Arial" w:hAnsi="Arial"/>
                <w:sz w:val="16"/>
                <w:szCs w:val="16"/>
                <w:color w:val="auto"/>
              </w:rPr>
              <w:t>Connected Fitness Products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174.9</w:t>
            </w: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Subscription</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r>
      <w:tr>
        <w:trPr>
          <w:trHeight w:val="209"/>
        </w:trPr>
        <w:tc>
          <w:tcPr>
            <w:tcW w:w="79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r>
      <w:tr>
        <w:trPr>
          <w:trHeight w:val="215"/>
        </w:trPr>
        <w:tc>
          <w:tcPr>
            <w:tcW w:w="7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r>
      <w:tr>
        <w:trPr>
          <w:trHeight w:val="215"/>
        </w:trPr>
        <w:tc>
          <w:tcPr>
            <w:tcW w:w="792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151.1</w:t>
            </w: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r>
      <w:tr>
        <w:trPr>
          <w:trHeight w:val="215"/>
        </w:trPr>
        <w:tc>
          <w:tcPr>
            <w:tcW w:w="7920" w:type="dxa"/>
            <w:vAlign w:val="bottom"/>
          </w:tcPr>
          <w:p>
            <w:pPr>
              <w:ind w:left="340"/>
              <w:spacing w:after="0"/>
              <w:rPr>
                <w:sz w:val="20"/>
                <w:szCs w:val="20"/>
                <w:color w:val="auto"/>
              </w:rPr>
            </w:pPr>
            <w:r>
              <w:rPr>
                <w:rFonts w:ascii="Arial" w:cs="Arial" w:eastAsia="Arial" w:hAnsi="Arial"/>
                <w:sz w:val="16"/>
                <w:szCs w:val="16"/>
                <w:color w:val="auto"/>
              </w:rPr>
              <w:t>Impairment expense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expense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5"/>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Supplier settlements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w:t>
            </w:r>
          </w:p>
        </w:tc>
      </w:tr>
      <w:tr>
        <w:trPr>
          <w:trHeight w:val="209"/>
        </w:trPr>
        <w:tc>
          <w:tcPr>
            <w:tcW w:w="792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9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15"/>
        </w:trPr>
        <w:tc>
          <w:tcPr>
            <w:tcW w:w="7920" w:type="dxa"/>
            <w:vAlign w:val="bottom"/>
          </w:tcPr>
          <w:p>
            <w:pPr>
              <w:ind w:left="340"/>
              <w:spacing w:after="0"/>
              <w:rPr>
                <w:sz w:val="20"/>
                <w:szCs w:val="20"/>
                <w:color w:val="auto"/>
              </w:rPr>
            </w:pPr>
            <w:r>
              <w:rPr>
                <w:rFonts w:ascii="Arial" w:cs="Arial" w:eastAsia="Arial" w:hAnsi="Arial"/>
                <w:sz w:val="16"/>
                <w:szCs w:val="16"/>
                <w:color w:val="auto"/>
              </w:rPr>
              <w:t>Foreign exchange gain (loss)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7"/>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(expense) income, net</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79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other expense, net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10"/>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1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920" w:type="dxa"/>
            <w:vAlign w:val="bottom"/>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4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920" w:type="dxa"/>
            <w:vAlign w:val="bottom"/>
          </w:tcPr>
          <w:p>
            <w:pPr>
              <w:ind w:left="20"/>
              <w:spacing w:after="0"/>
              <w:rPr>
                <w:sz w:val="20"/>
                <w:szCs w:val="20"/>
                <w:color w:val="auto"/>
              </w:rPr>
            </w:pPr>
            <w:r>
              <w:rPr>
                <w:rFonts w:ascii="Arial" w:cs="Arial" w:eastAsia="Arial" w:hAnsi="Arial"/>
                <w:sz w:val="16"/>
                <w:szCs w:val="16"/>
                <w:color w:val="auto"/>
              </w:rPr>
              <w:t>Weighted-average of shares of Class A and Class B common stock outstanding, basic and diluted</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378,776,423</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358,547,563</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income:</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5"/>
        </w:trPr>
        <w:tc>
          <w:tcPr>
            <w:tcW w:w="79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w:t>
            </w: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40" w:top="769"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Net loss</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Foreign exchange (gain) loss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12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7340" w:type="dxa"/>
            <w:vAlign w:val="bottom"/>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operating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195"/>
        </w:trPr>
        <w:tc>
          <w:tcPr>
            <w:tcW w:w="73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Proceeds from sale of Peloton Output Park</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(used in) investing activities</w:t>
            </w:r>
          </w:p>
        </w:tc>
        <w:tc>
          <w:tcPr>
            <w:tcW w:w="1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5"/>
        </w:trPr>
        <w:tc>
          <w:tcPr>
            <w:tcW w:w="73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repayment of Term Loan</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Proceeds, net from employee stock purchase plan withholdings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plans</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7340" w:type="dxa"/>
            <w:vAlign w:val="bottom"/>
          </w:tcPr>
          <w:p>
            <w:pPr>
              <w:ind w:left="340"/>
              <w:spacing w:after="0"/>
              <w:rPr>
                <w:sz w:val="20"/>
                <w:szCs w:val="20"/>
                <w:color w:val="auto"/>
              </w:rPr>
            </w:pPr>
            <w:r>
              <w:rPr>
                <w:rFonts w:ascii="Arial" w:cs="Arial" w:eastAsia="Arial" w:hAnsi="Arial"/>
                <w:sz w:val="16"/>
                <w:szCs w:val="16"/>
                <w:color w:val="auto"/>
              </w:rPr>
              <w:t>Principal repayments of finance leases</w:t>
            </w:r>
          </w:p>
        </w:tc>
        <w:tc>
          <w:tcPr>
            <w:tcW w:w="12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734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809.9</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7340" w:type="dxa"/>
            <w:vAlign w:val="bottom"/>
            <w:tcBorders>
              <w:bottom w:val="single" w:sz="8" w:color="CCEEFF"/>
            </w:tcBorders>
            <w:vMerge w:val="continue"/>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4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12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340"/>
              <w:spacing w:after="0"/>
              <w:rPr>
                <w:sz w:val="20"/>
                <w:szCs w:val="20"/>
                <w:color w:val="auto"/>
              </w:rPr>
            </w:pPr>
            <w:r>
              <w:rPr>
                <w:rFonts w:ascii="Arial" w:cs="Arial" w:eastAsia="Arial" w:hAnsi="Arial"/>
                <w:sz w:val="16"/>
                <w:szCs w:val="16"/>
                <w:color w:val="auto"/>
              </w:rPr>
              <w:t>Accrued and unpaid capital expenditures, including software</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40" w:top="769"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 These non-GAAP financial measures have limitations as analytical tools in that they do not reflect all of the amounts associated with our results of operations as determined in accordance with GAAP. Because of these limitations, Adjusted EBITDA, Subscription Contribution, Subscription Contribution Margin, and Free Cash Flow should be considered along with other operating and financial performance measures presented in accordance with GAAP.</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or as a substitute for, or superior to, financial information prepared and presented in accordance with GAAP. Investors are encouraged to review the reconciliation of these non-GAAP financial measures to their most directly comparable GAAP financial measures. A reconciliation of the non-GAAP financial measures to such GAAP measures can be found below.</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 reconciliation of the Company’s Adjusted EBITDA and Free Cash Flow guidance to the most directly comparable GAAP financial measures cannot be provided without unreasonable efforts and is not provided herein because of the inherent difficulty in forecasting and quantifying certain amounts that are necessary for such reconciliations, including net income (loss) and adjustments that are made for other expense (income), net, income tax expense (benefit), depreciation and amortization expense, stock-based compensation expense, restructuring expense, impairment expense, supplier settlements, product recall related matters, litigation and settlement expenses, transaction and integration costs, and other adjustments reflected in our reconciliation of historical Adjusted EBITDA, the amounts of which could be material.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04"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68" w:lineRule="exact"/>
        <w:rPr>
          <w:sz w:val="20"/>
          <w:szCs w:val="20"/>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spacing w:after="0" w:line="2"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w:t>
      </w:r>
    </w:p>
    <w:p>
      <w:pPr>
        <w:sectPr>
          <w:pgSz w:w="11900" w:h="16838" w:orient="portrait"/>
          <w:cols w:equalWidth="0" w:num="1">
            <w:col w:w="11240"/>
          </w:cols>
          <w:pgMar w:left="320" w:top="8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14" w:right="339" w:bottom="1440" w:gutter="0" w:footer="0" w:header="0"/>
          <w:type w:val="continuous"/>
        </w:sectPr>
      </w:pPr>
    </w:p>
    <w:bookmarkStart w:id="16" w:name="page17"/>
    <w:bookmarkEnd w:id="16"/>
    <w:p>
      <w:pPr>
        <w:jc w:val="both"/>
        <w:ind w:left="660"/>
        <w:spacing w:after="0" w:line="275" w:lineRule="auto"/>
        <w:rPr>
          <w:sz w:val="20"/>
          <w:szCs w:val="20"/>
          <w:color w:val="auto"/>
        </w:rPr>
      </w:pPr>
      <w:r>
        <w:rPr>
          <w:rFonts w:ascii="Arial" w:cs="Arial" w:eastAsia="Arial" w:hAnsi="Arial"/>
          <w:sz w:val="16"/>
          <w:szCs w:val="16"/>
          <w:color w:val="auto"/>
        </w:rPr>
        <w:t>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spacing w:after="0" w:line="2"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59"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spacing w:after="0" w:line="11"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59" w:lineRule="exact"/>
        <w:rPr>
          <w:rFonts w:ascii="Arial" w:cs="Arial" w:eastAsia="Arial" w:hAnsi="Arial"/>
          <w:sz w:val="16"/>
          <w:szCs w:val="16"/>
          <w:b w:val="1"/>
          <w:bCs w:val="1"/>
          <w:color w:val="auto"/>
        </w:rPr>
      </w:pPr>
    </w:p>
    <w:p>
      <w:pPr>
        <w:jc w:val="both"/>
        <w:ind w:left="660" w:hanging="328"/>
        <w:spacing w:after="0" w:line="275" w:lineRule="auto"/>
        <w:tabs>
          <w:tab w:leader="none" w:pos="649" w:val="left"/>
        </w:tabs>
        <w:numPr>
          <w:ilvl w:val="0"/>
          <w:numId w:val="7"/>
        </w:numPr>
        <w:rPr>
          <w:rFonts w:ascii="Arial" w:cs="Arial" w:eastAsia="Arial" w:hAnsi="Arial"/>
          <w:sz w:val="16"/>
          <w:szCs w:val="16"/>
          <w:color w:val="050505"/>
        </w:rPr>
      </w:pPr>
      <w:r>
        <w:rPr>
          <w:rFonts w:ascii="Arial" w:cs="Arial" w:eastAsia="Arial" w:hAnsi="Arial"/>
          <w:sz w:val="16"/>
          <w:szCs w:val="16"/>
          <w:color w:val="050505"/>
        </w:rPr>
        <w:t xml:space="preserve">Adjusted EBITDA does not reflect nonrecurring supplier settlements that are </w:t>
      </w:r>
      <w:r>
        <w:rPr>
          <w:rFonts w:ascii="Arial" w:cs="Arial" w:eastAsia="Arial" w:hAnsi="Arial"/>
          <w:sz w:val="16"/>
          <w:szCs w:val="16"/>
          <w:color w:val="000000"/>
        </w:rPr>
        <w:t>outside of the ordinary course of business and are nonrecurring,</w:t>
      </w:r>
      <w:r>
        <w:rPr>
          <w:rFonts w:ascii="Arial" w:cs="Arial" w:eastAsia="Arial" w:hAnsi="Arial"/>
          <w:sz w:val="16"/>
          <w:szCs w:val="16"/>
          <w:color w:val="050505"/>
        </w:rPr>
        <w:t xml:space="preserve"> </w:t>
      </w:r>
      <w:r>
        <w:rPr>
          <w:rFonts w:ascii="Arial" w:cs="Arial" w:eastAsia="Arial" w:hAnsi="Arial"/>
          <w:sz w:val="16"/>
          <w:szCs w:val="16"/>
          <w:color w:val="000000"/>
        </w:rPr>
        <w:t>infrequent or unusual based on factors such as the nature of the settlements, as well as our frequency and past practice of performing refinancing activities</w:t>
      </w:r>
      <w:r>
        <w:rPr>
          <w:rFonts w:ascii="Arial" w:cs="Arial" w:eastAsia="Arial" w:hAnsi="Arial"/>
          <w:sz w:val="16"/>
          <w:szCs w:val="16"/>
          <w:color w:val="050505"/>
        </w:rPr>
        <w:t>; and</w:t>
      </w:r>
    </w:p>
    <w:p>
      <w:pPr>
        <w:spacing w:after="0" w:line="15" w:lineRule="exact"/>
        <w:rPr>
          <w:rFonts w:ascii="Arial" w:cs="Arial" w:eastAsia="Arial" w:hAnsi="Arial"/>
          <w:sz w:val="16"/>
          <w:szCs w:val="16"/>
          <w:color w:val="050505"/>
        </w:rPr>
      </w:pPr>
    </w:p>
    <w:p>
      <w:pPr>
        <w:jc w:val="both"/>
        <w:ind w:left="66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0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20" w:type="dxa"/>
            <w:vAlign w:val="bottom"/>
          </w:tcPr>
          <w:p>
            <w:pPr>
              <w:spacing w:after="0"/>
              <w:rPr>
                <w:sz w:val="19"/>
                <w:szCs w:val="19"/>
                <w:color w:val="auto"/>
              </w:rPr>
            </w:pPr>
          </w:p>
        </w:tc>
        <w:tc>
          <w:tcPr>
            <w:tcW w:w="2920" w:type="dxa"/>
            <w:vAlign w:val="bottom"/>
            <w:gridSpan w:val="6"/>
            <w:vMerge w:val="restart"/>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Three Months and Fiscal Year</w:t>
            </w:r>
          </w:p>
        </w:tc>
        <w:tc>
          <w:tcPr>
            <w:tcW w:w="140" w:type="dxa"/>
            <w:vAlign w:val="bottom"/>
          </w:tcPr>
          <w:p>
            <w:pPr>
              <w:spacing w:after="0"/>
              <w:rPr>
                <w:sz w:val="19"/>
                <w:szCs w:val="19"/>
                <w:color w:val="auto"/>
              </w:rPr>
            </w:pPr>
          </w:p>
        </w:tc>
        <w:tc>
          <w:tcPr>
            <w:tcW w:w="1760" w:type="dxa"/>
            <w:vAlign w:val="bottom"/>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920" w:type="dxa"/>
            <w:vAlign w:val="bottom"/>
            <w:gridSpan w:val="6"/>
            <w:vMerge w:val="continue"/>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Ended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June 30, 2024</w:t>
            </w:r>
          </w:p>
        </w:tc>
        <w:tc>
          <w:tcPr>
            <w:tcW w:w="7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(in millions)</w:t>
            </w: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Net gain on debt refinancing</w:t>
            </w: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Supplier settlements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recall related matters</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3520" w:type="dxa"/>
            <w:vAlign w:val="bottom"/>
          </w:tcPr>
          <w:p>
            <w:pPr>
              <w:ind w:left="20"/>
              <w:spacing w:after="0"/>
              <w:rPr>
                <w:sz w:val="20"/>
                <w:szCs w:val="20"/>
                <w:color w:val="auto"/>
              </w:rPr>
            </w:pPr>
            <w:r>
              <w:rPr>
                <w:rFonts w:ascii="Arial" w:cs="Arial" w:eastAsia="Arial" w:hAnsi="Arial"/>
                <w:sz w:val="16"/>
                <w:szCs w:val="16"/>
                <w:color w:val="auto"/>
              </w:rPr>
              <w:t>Litigation and settlement expenses</w:t>
            </w: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5"/>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8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115.8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7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“Subscription Contribution” as Subscription Revenue less Subscription Cost of revenue, adjusted to exclude from Subscription Cost of revenue, depreciation and amortization expense, and stock-based compensation expense. Subscription Contribution Margin is calculated by dividing Subscription Contribution by Subscription Revenue.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3520" w:type="dxa"/>
            <w:vAlign w:val="bottom"/>
            <w:gridSpan w:val="6"/>
            <w:vMerge w:val="restart"/>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3520" w:type="dxa"/>
            <w:vAlign w:val="bottom"/>
            <w:gridSpan w:val="6"/>
            <w:vMerge w:val="continue"/>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6"/>
        </w:trPr>
        <w:tc>
          <w:tcPr>
            <w:tcW w:w="6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3"/>
          </w:tcPr>
          <w:p>
            <w:pPr>
              <w:ind w:left="80"/>
              <w:spacing w:after="0"/>
              <w:rPr>
                <w:sz w:val="20"/>
                <w:szCs w:val="20"/>
                <w:color w:val="auto"/>
              </w:rPr>
            </w:pPr>
            <w:r>
              <w:rPr>
                <w:rFonts w:ascii="Arial" w:cs="Arial" w:eastAsia="Arial" w:hAnsi="Arial"/>
                <w:sz w:val="16"/>
                <w:szCs w:val="16"/>
                <w:b w:val="1"/>
                <w:bCs w:val="1"/>
                <w:color w:val="auto"/>
              </w:rPr>
              <w:t>(dollars in millions)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426.3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Subscription Cost of revenue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137.2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3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289.1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8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67.4 %</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68.2 %</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305.7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298.7</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312.3</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ectPr>
          <w:pgSz w:w="11900" w:h="16838" w:orient="portrait"/>
          <w:cols w:equalWidth="0" w:num="1">
            <w:col w:w="11240"/>
          </w:cols>
          <w:pgMar w:left="32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68" w:right="339" w:bottom="1440" w:gutter="0" w:footer="0" w:header="0"/>
          <w:type w:val="continuous"/>
        </w:sectPr>
      </w:pPr>
    </w:p>
    <w:bookmarkStart w:id="18" w:name="page19"/>
    <w:bookmarkEnd w:id="18"/>
    <w:p>
      <w:pPr>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3320" w:type="dxa"/>
            <w:vAlign w:val="bottom"/>
            <w:gridSpan w:val="6"/>
            <w:vMerge w:val="restart"/>
          </w:tcPr>
          <w:p>
            <w:pPr>
              <w:ind w:left="2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6"/>
                <w:szCs w:val="16"/>
                <w:color w:val="auto"/>
              </w:rPr>
            </w:pPr>
          </w:p>
        </w:tc>
        <w:tc>
          <w:tcPr>
            <w:tcW w:w="1400" w:type="dxa"/>
            <w:vAlign w:val="bottom"/>
          </w:tcPr>
          <w:p>
            <w:pPr>
              <w:jc w:val="center"/>
              <w:ind w:right="59"/>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3320" w:type="dxa"/>
            <w:vAlign w:val="bottom"/>
            <w:gridSpan w:val="6"/>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79"/>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(in millions)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60" w:type="dxa"/>
            <w:vAlign w:val="bottom"/>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sectPr>
      <w:pgSz w:w="11900" w:h="16838" w:orient="portrait"/>
      <w:cols w:equalWidth="0" w:num="1">
        <w:col w:w="11240"/>
      </w:cols>
      <w:pgMar w:left="320" w:top="7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2024-10-31T06:11:09Z</dcterms:created>
  <dcterms:modified xsi:type="dcterms:W3CDTF">2024-10-31T06:11:09Z</dcterms:modified>
</cp:coreProperties>
</file>