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333"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spacing w:lineRule="auto" w:line="333"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spacing w:lineRule="auto" w:line="333"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spacing w:lineRule="auto" w:line="333" w:before="180" w:after="283"/>
        <w:jc w:val="center"/>
        <w:rPr>
          <w:rFonts w:ascii="Roboto;sans-serif" w:hAnsi="Roboto;sans-serif"/>
          <w:b/>
          <w:color w:val="000000"/>
          <w:sz w:val="36"/>
        </w:rPr>
      </w:pPr>
      <w:r>
        <w:rPr>
          <w:rFonts w:ascii="Roboto;sans-serif" w:hAnsi="Roboto;sans-serif"/>
          <w:b/>
          <w:color w:val="000000"/>
          <w:sz w:val="36"/>
        </w:rPr>
        <w:t>FORM 8-K</w:t>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spacing w:lineRule="auto" w:line="333" w:before="200" w:after="283"/>
        <w:jc w:val="center"/>
        <w:rPr>
          <w:rFonts w:ascii="Roboto;sans-serif" w:hAnsi="Roboto;sans-serif"/>
          <w:b/>
          <w:color w:val="000000"/>
          <w:sz w:val="24"/>
        </w:rPr>
      </w:pPr>
      <w:r>
        <w:rPr>
          <w:rFonts w:ascii="Roboto;sans-serif" w:hAnsi="Roboto;sans-serif"/>
          <w:b/>
          <w:color w:val="000000"/>
          <w:sz w:val="24"/>
        </w:rPr>
        <w:t>CURRENT REPORT</w:t>
      </w:r>
    </w:p>
    <w:p>
      <w:pPr>
        <w:pStyle w:val="TextBody"/>
        <w:spacing w:lineRule="auto" w:line="333" w:before="0" w:after="0"/>
        <w:jc w:val="center"/>
        <w:rPr>
          <w:rFonts w:ascii="Roboto;sans-serif" w:hAnsi="Roboto;sans-serif"/>
          <w:b/>
          <w:color w:val="000000"/>
          <w:sz w:val="24"/>
        </w:rPr>
      </w:pPr>
      <w:r>
        <w:rPr>
          <w:rFonts w:ascii="Roboto;sans-serif" w:hAnsi="Roboto;sans-serif"/>
          <w:b/>
          <w:color w:val="000000"/>
          <w:sz w:val="24"/>
        </w:rPr>
        <w:t>Pursuant to Section 13 or 15(d) of the</w:t>
      </w:r>
    </w:p>
    <w:p>
      <w:pPr>
        <w:pStyle w:val="TextBody"/>
        <w:spacing w:lineRule="auto" w:line="333" w:before="0" w:after="0"/>
        <w:jc w:val="center"/>
        <w:rPr>
          <w:rFonts w:ascii="Roboto;sans-serif" w:hAnsi="Roboto;sans-serif"/>
          <w:b/>
          <w:color w:val="000000"/>
          <w:sz w:val="24"/>
        </w:rPr>
      </w:pPr>
      <w:r>
        <w:rPr>
          <w:rFonts w:ascii="Roboto;sans-serif" w:hAnsi="Roboto;sans-serif"/>
          <w:b/>
          <w:color w:val="000000"/>
          <w:sz w:val="24"/>
        </w:rPr>
        <w:t>Securities Exchange Act of 1934</w:t>
      </w:r>
    </w:p>
    <w:p>
      <w:pPr>
        <w:pStyle w:val="TextBody"/>
        <w:spacing w:lineRule="auto" w:line="333" w:before="180" w:after="283"/>
        <w:jc w:val="center"/>
        <w:rPr>
          <w:rFonts w:ascii="Roboto;sans-serif" w:hAnsi="Roboto;sans-serif"/>
          <w:b/>
          <w:color w:val="000000"/>
          <w:sz w:val="20"/>
        </w:rPr>
      </w:pPr>
      <w:r>
        <w:rPr>
          <w:rFonts w:ascii="Roboto;sans-serif" w:hAnsi="Roboto;sans-serif"/>
          <w:b/>
          <w:color w:val="000000"/>
          <w:sz w:val="20"/>
        </w:rPr>
        <w:t>Date of Report (Date of earliest event reported): May 4, 2023</w:t>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spacing w:before="0" w:after="0"/>
        <w:rPr/>
      </w:pPr>
      <w:r>
        <w:rPr/>
      </w:r>
    </w:p>
    <w:p>
      <w:pPr>
        <w:pStyle w:val="TextBody"/>
        <w:spacing w:lineRule="auto" w:line="333" w:before="0" w:after="0"/>
        <w:jc w:val="center"/>
        <w:rPr>
          <w:rFonts w:ascii="Roboto;sans-serif" w:hAnsi="Roboto;sans-serif"/>
          <w:b/>
          <w:color w:val="000000"/>
          <w:sz w:val="44"/>
        </w:rPr>
      </w:pPr>
      <w:r>
        <w:rPr>
          <w:rFonts w:ascii="Roboto;sans-serif" w:hAnsi="Roboto;sans-serif"/>
          <w:b/>
          <w:color w:val="000000"/>
          <w:sz w:val="44"/>
        </w:rPr>
        <w:t>Peloton Interactive, Inc.</w:t>
      </w:r>
    </w:p>
    <w:p>
      <w:pPr>
        <w:pStyle w:val="TextBody"/>
        <w:spacing w:lineRule="auto" w:line="333" w:before="0" w:after="0"/>
        <w:jc w:val="center"/>
        <w:rPr>
          <w:rFonts w:ascii="Roboto;sans-serif" w:hAnsi="Roboto;sans-serif"/>
          <w:b/>
          <w:color w:val="000000"/>
          <w:sz w:val="14"/>
        </w:rPr>
      </w:pPr>
      <w:r>
        <w:rPr>
          <w:rFonts w:ascii="Roboto;sans-serif" w:hAnsi="Roboto;sans-serif"/>
          <w:b/>
          <w:color w:val="000000"/>
          <w:sz w:val="14"/>
        </w:rPr>
        <w:t>(Exact name of Registrant as Specified in Its Charter)</w:t>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tbl>
      <w:tblPr>
        <w:tblW w:w="7244" w:type="dxa"/>
        <w:jc w:val="center"/>
        <w:tblInd w:w="0" w:type="dxa"/>
        <w:tblCellMar>
          <w:top w:w="28" w:type="dxa"/>
          <w:left w:w="28" w:type="dxa"/>
          <w:bottom w:w="28" w:type="dxa"/>
          <w:right w:w="28" w:type="dxa"/>
        </w:tblCellMar>
      </w:tblPr>
      <w:tblGrid>
        <w:gridCol w:w="1256"/>
        <w:gridCol w:w="1103"/>
        <w:gridCol w:w="1105"/>
        <w:gridCol w:w="764"/>
        <w:gridCol w:w="764"/>
        <w:gridCol w:w="767"/>
        <w:gridCol w:w="435"/>
        <w:gridCol w:w="435"/>
        <w:gridCol w:w="615"/>
      </w:tblGrid>
      <w:tr>
        <w:trPr/>
        <w:tc>
          <w:tcPr>
            <w:tcW w:w="125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001-39058</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88" w:before="40" w:after="283"/>
              <w:jc w:val="center"/>
              <w:rPr>
                <w:rFonts w:ascii="Roboto;sans-serif" w:hAnsi="Roboto;sans-serif"/>
                <w:b/>
                <w:color w:val="000000"/>
                <w:sz w:val="14"/>
              </w:rPr>
            </w:pPr>
            <w:r>
              <w:rPr>
                <w:rFonts w:ascii="Roboto;sans-serif" w:hAnsi="Roboto;sans-serif"/>
                <w:b/>
                <w:color w:val="000000"/>
                <w:sz w:val="14"/>
              </w:rPr>
              <w:t>(State or Other Jurisdiction</w:t>
            </w:r>
          </w:p>
          <w:p>
            <w:pPr>
              <w:pStyle w:val="TableContents"/>
              <w:spacing w:lineRule="auto" w:line="288" w:before="0" w:after="40"/>
              <w:jc w:val="center"/>
              <w:rPr>
                <w:rFonts w:ascii="Roboto;sans-serif" w:hAnsi="Roboto;sans-serif"/>
                <w:b/>
                <w:color w:val="000000"/>
                <w:sz w:val="14"/>
              </w:rPr>
            </w:pPr>
            <w:r>
              <w:rPr>
                <w:rFonts w:ascii="Roboto;sans-serif" w:hAnsi="Roboto;sans-serif"/>
                <w:b/>
                <w:color w:val="000000"/>
                <w:sz w:val="14"/>
              </w:rPr>
              <w:t>of Incorporation)</w:t>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5"/>
              </w:rPr>
            </w:pPr>
            <w:r>
              <w:rPr>
                <w:rFonts w:ascii="Roboto;sans-serif" w:hAnsi="Roboto;sans-serif"/>
                <w:b/>
                <w:color w:val="000000"/>
                <w:sz w:val="15"/>
              </w:rPr>
              <w:t>(Commission File Number)</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40" w:after="283"/>
              <w:jc w:val="center"/>
              <w:rPr>
                <w:rFonts w:ascii="Roboto;sans-serif" w:hAnsi="Roboto;sans-serif"/>
                <w:b/>
                <w:color w:val="000000"/>
                <w:sz w:val="14"/>
              </w:rPr>
            </w:pPr>
            <w:r>
              <w:rPr>
                <w:rFonts w:ascii="Roboto;sans-serif" w:hAnsi="Roboto;sans-serif"/>
                <w:b/>
                <w:color w:val="000000"/>
                <w:sz w:val="14"/>
              </w:rPr>
              <w:t>(IRS Employer</w:t>
            </w:r>
          </w:p>
          <w:p>
            <w:pPr>
              <w:pStyle w:val="TableContents"/>
              <w:spacing w:lineRule="auto" w:line="288" w:before="0" w:after="40"/>
              <w:jc w:val="center"/>
              <w:rPr>
                <w:rFonts w:ascii="Roboto;sans-serif" w:hAnsi="Roboto;sans-serif"/>
                <w:b/>
                <w:color w:val="000000"/>
                <w:sz w:val="14"/>
              </w:rPr>
            </w:pPr>
            <w:r>
              <w:rPr>
                <w:rFonts w:ascii="Roboto;sans-serif" w:hAnsi="Roboto;sans-serif"/>
                <w:b/>
                <w:color w:val="000000"/>
                <w:sz w:val="14"/>
              </w:rPr>
              <w:t>Identification No.)</w:t>
            </w:r>
          </w:p>
        </w:tc>
      </w:tr>
      <w:tr>
        <w:trPr/>
        <w:tc>
          <w:tcPr>
            <w:tcW w:w="3464"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2295"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485" w:type="dxa"/>
            <w:gridSpan w:val="3"/>
            <w:tcBorders/>
            <w:shd w:fill="auto" w:val="clear"/>
            <w:tcMar>
              <w:top w:w="0" w:type="dxa"/>
              <w:left w:w="0" w:type="dxa"/>
              <w:bottom w:w="0" w:type="dxa"/>
              <w:right w:w="0" w:type="dxa"/>
            </w:tcMar>
            <w:vAlign w:val="center"/>
          </w:tcPr>
          <w:p>
            <w:pPr>
              <w:pStyle w:val="TableContents"/>
              <w:spacing w:before="40" w:after="40"/>
              <w:rPr/>
            </w:pPr>
            <w:r>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441 Ninth Avenue, Sixth Floor </w:t>
            </w:r>
          </w:p>
          <w:p>
            <w:pPr>
              <w:pStyle w:val="TableContents"/>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New York, New York </w:t>
            </w:r>
          </w:p>
        </w:tc>
        <w:tc>
          <w:tcPr>
            <w:tcW w:w="2295"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5"/>
              </w:rPr>
            </w:pPr>
            <w:r>
              <w:rPr>
                <w:rFonts w:ascii="Roboto;sans-serif" w:hAnsi="Roboto;sans-serif"/>
                <w:b/>
                <w:color w:val="000000"/>
                <w:sz w:val="15"/>
              </w:rPr>
              <w:t>(Address of Principal Executive Offices)</w:t>
            </w:r>
          </w:p>
        </w:tc>
        <w:tc>
          <w:tcPr>
            <w:tcW w:w="2295"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5"/>
              </w:rPr>
            </w:pPr>
            <w:r>
              <w:rPr>
                <w:rFonts w:ascii="Roboto;sans-serif" w:hAnsi="Roboto;sans-serif"/>
                <w:b/>
                <w:color w:val="000000"/>
                <w:sz w:val="15"/>
              </w:rPr>
              <w:t>(Zip Code)</w:t>
            </w:r>
          </w:p>
        </w:tc>
      </w:tr>
    </w:tbl>
    <w:p>
      <w:pPr>
        <w:pStyle w:val="TextBody"/>
        <w:spacing w:lineRule="auto" w:line="333" w:before="240" w:after="283"/>
        <w:jc w:val="center"/>
        <w:rPr>
          <w:rFonts w:ascii="Roboto;sans-serif" w:hAnsi="Roboto;sans-serif"/>
          <w:b/>
          <w:color w:val="000000"/>
          <w:sz w:val="20"/>
        </w:rPr>
      </w:pPr>
      <w:r>
        <w:rPr>
          <w:rFonts w:ascii="Roboto;sans-serif" w:hAnsi="Roboto;sans-serif"/>
          <w:b/>
          <w:color w:val="000000"/>
          <w:sz w:val="20"/>
        </w:rPr>
        <w:t>Registrant’s Telephone Number, Including Area Code: (929) 567-0006</w:t>
      </w:r>
    </w:p>
    <w:p>
      <w:pPr>
        <w:pStyle w:val="TextBody"/>
        <w:spacing w:before="0" w:after="0"/>
        <w:jc w:val="center"/>
        <w:rPr/>
      </w:pPr>
      <w:r>
        <w:rPr/>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Not Applicable</w:t>
      </w:r>
    </w:p>
    <w:p>
      <w:pPr>
        <w:pStyle w:val="TextBody"/>
        <w:spacing w:lineRule="auto" w:line="333" w:before="0" w:after="0"/>
        <w:jc w:val="center"/>
        <w:rPr>
          <w:rFonts w:ascii="Roboto;sans-serif" w:hAnsi="Roboto;sans-serif"/>
          <w:b/>
          <w:color w:val="000000"/>
          <w:sz w:val="14"/>
        </w:rPr>
      </w:pPr>
      <w:r>
        <w:rPr>
          <w:rFonts w:ascii="Roboto;sans-serif" w:hAnsi="Roboto;sans-serif"/>
          <w:b/>
          <w:color w:val="000000"/>
          <w:sz w:val="14"/>
        </w:rPr>
        <w:t>(Former Name or Former Address, if Changed Since Last Report)</w:t>
      </w:r>
    </w:p>
    <w:p>
      <w:pPr>
        <w:pStyle w:val="TextBody"/>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spacing w:lineRule="auto" w:line="333" w:before="180" w:after="283"/>
        <w:rPr>
          <w:rFonts w:ascii="Roboto;sans-serif" w:hAnsi="Roboto;sans-serif"/>
          <w:b w:val="false"/>
          <w:color w:val="000000"/>
          <w:sz w:val="20"/>
        </w:rPr>
      </w:pPr>
      <w:r>
        <w:rPr>
          <w:rFonts w:ascii="Roboto;sans-serif" w:hAnsi="Roboto;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333" w:before="120" w:after="283"/>
        <w:ind w:left="0" w:right="0" w:hanging="500"/>
        <w:rPr/>
      </w:pPr>
      <w:r>
        <w:rPr>
          <w:color w:val="000000"/>
        </w:rPr>
        <w:t>☐    </w:t>
      </w:r>
      <w:r>
        <w:rPr>
          <w:rFonts w:ascii="Roboto;sans-serif" w:hAnsi="Roboto;sans-serif"/>
          <w:b w:val="false"/>
          <w:color w:val="000000"/>
          <w:sz w:val="20"/>
        </w:rPr>
        <w:t>Written communications pursuant to Rule 425 under the Securities Act (17 CFR 230.425)</w:t>
      </w:r>
    </w:p>
    <w:p>
      <w:pPr>
        <w:pStyle w:val="TextBody"/>
        <w:spacing w:lineRule="auto" w:line="333" w:before="120" w:after="283"/>
        <w:ind w:left="0" w:right="0" w:hanging="500"/>
        <w:rPr/>
      </w:pPr>
      <w:r>
        <w:rPr>
          <w:color w:val="000000"/>
        </w:rPr>
        <w:t>☐    </w:t>
      </w:r>
      <w:r>
        <w:rPr>
          <w:rFonts w:ascii="Roboto;sans-serif" w:hAnsi="Roboto;sans-serif"/>
          <w:b w:val="false"/>
          <w:color w:val="000000"/>
          <w:sz w:val="20"/>
        </w:rPr>
        <w:t>Soliciting material pursuant to Rule 14a-12 under the Exchange Act (17 CFR 240.14a-12)</w:t>
      </w:r>
    </w:p>
    <w:p>
      <w:pPr>
        <w:pStyle w:val="TextBody"/>
        <w:spacing w:lineRule="auto" w:line="333" w:before="180" w:after="283"/>
        <w:ind w:left="0" w:right="0" w:hanging="500"/>
        <w:rPr/>
      </w:pPr>
      <w:r>
        <w:rPr>
          <w:color w:val="000000"/>
        </w:rPr>
        <w:t>☐    </w:t>
      </w:r>
      <w:r>
        <w:rPr>
          <w:rFonts w:ascii="Roboto;sans-serif" w:hAnsi="Roboto;sans-serif"/>
          <w:b w:val="false"/>
          <w:color w:val="000000"/>
          <w:sz w:val="20"/>
        </w:rPr>
        <w:t>Pre-commencement communications pursuant to Rule 14d-2(b) under the Exchange Act (17 CFR 240.14d-2(b))</w:t>
      </w:r>
    </w:p>
    <w:p>
      <w:pPr>
        <w:pStyle w:val="TextBody"/>
        <w:spacing w:lineRule="auto" w:line="333" w:before="120" w:after="283"/>
        <w:ind w:left="0" w:right="0" w:hanging="500"/>
        <w:rPr/>
      </w:pPr>
      <w:r>
        <w:rPr>
          <w:color w:val="000000"/>
        </w:rPr>
        <w:t>☐    </w:t>
      </w:r>
      <w:r>
        <w:rPr>
          <w:rFonts w:ascii="Roboto;sans-serif" w:hAnsi="Roboto;sans-serif"/>
          <w:b w:val="false"/>
          <w:color w:val="000000"/>
          <w:sz w:val="20"/>
        </w:rPr>
        <w:t>Pre-commencement communications pursuant to Rule 13e-4(c) under the Exchange Act (17 CFR 240.13e-4(c))</w:t>
      </w:r>
    </w:p>
    <w:p>
      <w:pPr>
        <w:pStyle w:val="TextBody"/>
        <w:spacing w:lineRule="auto" w:line="288" w:before="120" w:after="260"/>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1871"/>
        <w:gridCol w:w="1546"/>
        <w:gridCol w:w="1561"/>
        <w:gridCol w:w="481"/>
        <w:gridCol w:w="481"/>
        <w:gridCol w:w="482"/>
        <w:gridCol w:w="1104"/>
        <w:gridCol w:w="1104"/>
        <w:gridCol w:w="1575"/>
      </w:tblGrid>
      <w:tr>
        <w:trPr/>
        <w:tc>
          <w:tcPr>
            <w:tcW w:w="1871"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r>
      <w:tr>
        <w:trPr/>
        <w:tc>
          <w:tcPr>
            <w:tcW w:w="497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Title of Each Class</w:t>
            </w:r>
          </w:p>
        </w:tc>
        <w:tc>
          <w:tcPr>
            <w:tcW w:w="14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w:t>
            </w:r>
          </w:p>
        </w:tc>
        <w:tc>
          <w:tcPr>
            <w:tcW w:w="378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97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Roboto;sans-serif" w:hAnsi="Roboto;sans-serif"/>
                <w:b/>
                <w:color w:val="000000"/>
                <w:sz w:val="20"/>
              </w:rPr>
            </w:pPr>
            <w:r>
              <w:rPr>
                <w:rFonts w:ascii="Roboto;sans-serif" w:hAnsi="Roboto;sans-serif"/>
                <w:b/>
                <w:color w:val="000000"/>
                <w:sz w:val="20"/>
              </w:rPr>
              <w:t>Class A Common Stock, $0.000025 par value per share</w:t>
            </w:r>
          </w:p>
        </w:tc>
        <w:tc>
          <w:tcPr>
            <w:tcW w:w="144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PTON</w:t>
            </w:r>
          </w:p>
        </w:tc>
        <w:tc>
          <w:tcPr>
            <w:tcW w:w="378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The Nasdaq Stock Market LLC</w:t>
            </w:r>
          </w:p>
        </w:tc>
      </w:tr>
    </w:tbl>
    <w:p>
      <w:pPr>
        <w:pStyle w:val="TextBody"/>
        <w:spacing w:lineRule="auto" w:line="333" w:before="180" w:after="283"/>
        <w:rPr>
          <w:rFonts w:ascii="Roboto;sans-serif" w:hAnsi="Roboto;sans-serif"/>
          <w:b w:val="false"/>
          <w:color w:val="000000"/>
          <w:sz w:val="20"/>
        </w:rPr>
      </w:pPr>
      <w:r>
        <w:rPr>
          <w:rFonts w:ascii="Roboto;sans-serif" w:hAnsi="Roboto;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lineRule="auto" w:line="333" w:before="120" w:after="283"/>
        <w:rPr/>
      </w:pPr>
      <w:r>
        <w:rPr>
          <w:rFonts w:ascii="Roboto;sans-serif" w:hAnsi="Roboto;sans-serif"/>
          <w:b w:val="false"/>
          <w:color w:val="000000"/>
          <w:sz w:val="20"/>
        </w:rPr>
        <w:t>Emerging growth company </w:t>
      </w:r>
      <w:r>
        <w:rPr>
          <w:color w:val="000000"/>
        </w:rPr>
        <w:t>☐</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33" w:before="180" w:after="283"/>
        <w:rPr/>
      </w:pPr>
      <w:r>
        <w:rPr>
          <w:rFonts w:ascii="Roboto;sans-serif" w:hAnsi="Roboto;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33" w:before="0" w:after="0"/>
        <w:rPr>
          <w:rFonts w:ascii="Roboto;sans-serif" w:hAnsi="Roboto;sans-serif"/>
          <w:b/>
          <w:color w:val="000000"/>
          <w:sz w:val="20"/>
        </w:rPr>
      </w:pPr>
      <w:r>
        <w:rPr>
          <w:rFonts w:ascii="Roboto;sans-serif" w:hAnsi="Roboto;sans-serif"/>
          <w:b/>
          <w:color w:val="000000"/>
          <w:sz w:val="20"/>
        </w:rPr>
        <w:t>Item 2.02.    Results of Operations and Financial Condition.</w:t>
      </w:r>
    </w:p>
    <w:p>
      <w:pPr>
        <w:pStyle w:val="TextBody"/>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 xml:space="preserve">On May 4, 2023, Peloton Interactive, Inc. (“Peloton” or the “Company”) will hold a conference call regarding its financial results for the quarter ended March 31, 2023. </w:t>
      </w:r>
    </w:p>
    <w:p>
      <w:pPr>
        <w:pStyle w:val="TextBody"/>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Peloton also issued a letter to its stockholders announcing its financial results for the quarterly period ended March 31, 2023 (the “Shareholder Letter”). A copy of the Shareholder Letter is furnished as Exhibit 99.1 to this Current Report on Form 8-K.</w:t>
      </w:r>
    </w:p>
    <w:p>
      <w:pPr>
        <w:pStyle w:val="TextBody"/>
        <w:spacing w:before="0" w:after="0"/>
        <w:rPr/>
      </w:pPr>
      <w:r>
        <w:rPr/>
      </w:r>
    </w:p>
    <w:p>
      <w:pPr>
        <w:pStyle w:val="TextBody"/>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Peloton is making reference to non-GAAP financial information in both the Shareholder Letter and the conference call. A reconciliation of GAAP to non-GAAP results is provided in the Shareholder Letter, as attached to this Current Report on Form 8-K.</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Peloton uses its Investor Relations website (https://investor.onepeloton.com/investor-relations) as well as its Twitter feed (@onepeloton) and Press Newsroom (https://www.onepeloton.com/press) as means of disclosing material non-public information and for complying with its disclosure obligations under Regulation FD.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The information furnished with Item 2.02 to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spacing w:before="0" w:after="0"/>
        <w:rPr/>
      </w:pPr>
      <w:r>
        <w:rPr/>
      </w:r>
    </w:p>
    <w:p>
      <w:pPr>
        <w:pStyle w:val="TextBody"/>
        <w:spacing w:lineRule="auto" w:line="26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(d) Exhibits.</w:t>
      </w:r>
    </w:p>
    <w:tbl>
      <w:tblPr>
        <w:tblW w:w="8187" w:type="dxa"/>
        <w:jc w:val="left"/>
        <w:tblInd w:w="0" w:type="dxa"/>
        <w:tblCellMar>
          <w:top w:w="28" w:type="dxa"/>
          <w:left w:w="28" w:type="dxa"/>
          <w:bottom w:w="28" w:type="dxa"/>
          <w:right w:w="28" w:type="dxa"/>
        </w:tblCellMar>
      </w:tblPr>
      <w:tblGrid>
        <w:gridCol w:w="310"/>
        <w:gridCol w:w="272"/>
        <w:gridCol w:w="274"/>
        <w:gridCol w:w="109"/>
        <w:gridCol w:w="109"/>
        <w:gridCol w:w="109"/>
        <w:gridCol w:w="2050"/>
        <w:gridCol w:w="2050"/>
        <w:gridCol w:w="290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90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88" w:before="40" w:after="283"/>
              <w:jc w:val="center"/>
              <w:rPr>
                <w:rFonts w:ascii="Arial;sans-serif" w:hAnsi="Arial;sans-serif"/>
                <w:b/>
                <w:color w:val="000000"/>
                <w:sz w:val="20"/>
              </w:rPr>
            </w:pPr>
            <w:r>
              <w:rPr>
                <w:rFonts w:ascii="Arial;sans-serif" w:hAnsi="Arial;sans-serif"/>
                <w:b/>
                <w:color w:val="000000"/>
                <w:sz w:val="20"/>
              </w:rPr>
              <w:t>Exhibit</w:t>
            </w:r>
          </w:p>
          <w:p>
            <w:pPr>
              <w:pStyle w:val="TableContents"/>
              <w:spacing w:lineRule="auto" w:line="288" w:before="0" w:after="4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Exhibit Title or Description</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7004" w:type="dxa"/>
            <w:gridSpan w:val="3"/>
            <w:tcBorders/>
            <w:shd w:fill="auto" w:val="clear"/>
            <w:tcMar>
              <w:top w:w="0" w:type="dxa"/>
              <w:left w:w="0" w:type="dxa"/>
              <w:bottom w:w="0" w:type="dxa"/>
              <w:right w:w="0" w:type="dxa"/>
            </w:tcMar>
            <w:vAlign w:val="center"/>
          </w:tcPr>
          <w:p>
            <w:pPr>
              <w:pStyle w:val="TableContents"/>
              <w:spacing w:lineRule="auto" w:line="288" w:before="40" w:after="40"/>
              <w:jc w:val="left"/>
              <w:rPr/>
            </w:pPr>
            <w:hyperlink w:anchor="q32023shareholderletter.htm">
              <w:r>
                <w:rPr>
                  <w:rStyle w:val="InternetLink"/>
                </w:rPr>
                <w:t xml:space="preserve">Letter to Shareholders, dated </w:t>
              </w:r>
            </w:hyperlink>
            <w:hyperlink w:anchor="q32023shareholderletter.htm">
              <w:r>
                <w:rPr>
                  <w:rStyle w:val="InternetLink"/>
                </w:rPr>
                <w:t>May 4</w:t>
              </w:r>
            </w:hyperlink>
            <w:hyperlink w:anchor="q32023shareholderletter.htm">
              <w:r>
                <w:rPr>
                  <w:rStyle w:val="InternetLink"/>
                </w:rPr>
                <w:t>, 2023</w:t>
              </w:r>
            </w:hyperlink>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33"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333" w:before="24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780" w:type="dxa"/>
        <w:jc w:val="left"/>
        <w:tblInd w:w="0" w:type="dxa"/>
        <w:tblCellMar>
          <w:top w:w="28" w:type="dxa"/>
          <w:left w:w="28" w:type="dxa"/>
          <w:bottom w:w="28" w:type="dxa"/>
          <w:right w:w="28" w:type="dxa"/>
        </w:tblCellMar>
      </w:tblPr>
      <w:tblGrid>
        <w:gridCol w:w="624"/>
        <w:gridCol w:w="547"/>
        <w:gridCol w:w="553"/>
        <w:gridCol w:w="462"/>
        <w:gridCol w:w="462"/>
        <w:gridCol w:w="462"/>
        <w:gridCol w:w="780"/>
        <w:gridCol w:w="780"/>
        <w:gridCol w:w="1110"/>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405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PELOTON INTERACTIVE, INC.</w:t>
            </w:r>
          </w:p>
        </w:tc>
      </w:tr>
      <w:tr>
        <w:trPr/>
        <w:tc>
          <w:tcPr>
            <w:tcW w:w="1724"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386"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2670" w:type="dxa"/>
            <w:gridSpan w:val="3"/>
            <w:tcBorders/>
            <w:shd w:fill="auto" w:val="clear"/>
            <w:tcMar>
              <w:top w:w="0" w:type="dxa"/>
              <w:left w:w="0" w:type="dxa"/>
              <w:bottom w:w="0" w:type="dxa"/>
              <w:right w:w="0" w:type="dxa"/>
            </w:tcMar>
            <w:vAlign w:val="center"/>
          </w:tcPr>
          <w:p>
            <w:pPr>
              <w:pStyle w:val="TableContents"/>
              <w:spacing w:before="40" w:after="40"/>
              <w:rPr/>
            </w:pPr>
            <w:r>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4, 2023</w:t>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 </w:t>
            </w:r>
            <w:r>
              <w:rPr>
                <w:rFonts w:ascii="Roboto;sans-serif" w:hAnsi="Roboto;sans-serif"/>
                <w:b w:val="false"/>
                <w:color w:val="000000"/>
                <w:sz w:val="20"/>
              </w:rPr>
              <w:t>Elizabeth F Coddington</w:t>
            </w:r>
          </w:p>
        </w:tc>
      </w:tr>
      <w:tr>
        <w:trPr/>
        <w:tc>
          <w:tcPr>
            <w:tcW w:w="1724"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386"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Elizabeth F Coddington</w:t>
            </w:r>
          </w:p>
        </w:tc>
      </w:tr>
      <w:tr>
        <w:trPr/>
        <w:tc>
          <w:tcPr>
            <w:tcW w:w="1724"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1386" w:type="dxa"/>
            <w:gridSpan w:val="3"/>
            <w:tcBorders/>
            <w:shd w:fill="auto" w:val="clear"/>
            <w:tcMar>
              <w:top w:w="0" w:type="dxa"/>
              <w:left w:w="0" w:type="dxa"/>
              <w:bottom w:w="0" w:type="dxa"/>
              <w:right w:w="0" w:type="dxa"/>
            </w:tcMar>
            <w:vAlign w:val="center"/>
          </w:tcPr>
          <w:p>
            <w:pPr>
              <w:pStyle w:val="TableContents"/>
              <w:spacing w:before="40" w:after="40"/>
              <w:rPr/>
            </w:pPr>
            <w:r>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spacing w:before="30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ind w:left="0" w:right="0" w:firstLine="720"/>
        <w:rPr/>
      </w:pPr>
      <w:r>
        <w:rPr/>
      </w:r>
    </w:p>
    <w:p>
      <w:pPr>
        <w:pStyle w:val="TextBody"/>
        <w:spacing w:before="0" w:after="0"/>
        <w:rPr/>
      </w:pPr>
      <w:r>
        <w:rPr/>
        <w:drawing>
          <wp:inline distT="0" distB="63500" distL="0" distR="0">
            <wp:extent cx="1828800" cy="7905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828800" cy="790575"/>
                    </a:xfrm>
                    <a:prstGeom prst="rect">
                      <a:avLst/>
                    </a:prstGeom>
                  </pic:spPr>
                </pic:pic>
              </a:graphicData>
            </a:graphic>
          </wp:inline>
        </w:drawing>
      </w:r>
    </w:p>
    <w:p>
      <w:pPr>
        <w:pStyle w:val="TextBody"/>
        <w:spacing w:before="0" w:after="0"/>
        <w:jc w:val="both"/>
        <w:rPr/>
      </w:pPr>
      <w:r>
        <w:rPr/>
      </w:r>
    </w:p>
    <w:p>
      <w:pPr>
        <w:pStyle w:val="TextBody"/>
        <w:spacing w:lineRule="auto" w:line="288" w:before="0" w:after="0"/>
        <w:jc w:val="both"/>
        <w:rPr>
          <w:rFonts w:ascii="Roboto;sans-serif" w:hAnsi="Roboto;sans-serif"/>
          <w:b/>
          <w:color w:val="000000"/>
          <w:sz w:val="24"/>
        </w:rPr>
      </w:pPr>
      <w:r>
        <w:rPr>
          <w:rFonts w:ascii="Roboto;sans-serif" w:hAnsi="Roboto;sans-serif"/>
          <w:b/>
          <w:color w:val="000000"/>
          <w:sz w:val="24"/>
        </w:rPr>
        <w:t xml:space="preserve">3Q FY2023 Shareholder Letter </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May 4, 2023</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Dear Shareholders,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Last quarter I described our performance as the best in my twelve months with Peloton. Our Q3 performance was even better.</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Y/Y we grew our connected fitness subs by 5%, grew gross profit by 47%, decreased our Adjusted EBITDA loss Y/Y by $175M, reduced our FCF</w:t>
      </w:r>
      <w:r>
        <w:rPr>
          <w:rFonts w:ascii="Roboto;sans-serif" w:hAnsi="Roboto;sans-serif"/>
          <w:b w:val="false"/>
          <w:color w:val="000000"/>
          <w:sz w:val="12"/>
        </w:rPr>
        <w:t>(*)</w:t>
      </w:r>
      <w:r>
        <w:rPr>
          <w:color w:val="000000"/>
        </w:rPr>
        <w:t xml:space="preserve"> </w:t>
      </w:r>
      <w:r>
        <w:rPr>
          <w:rFonts w:ascii="Roboto;sans-serif" w:hAnsi="Roboto;sans-serif"/>
          <w:b w:val="false"/>
          <w:color w:val="000000"/>
          <w:sz w:val="18"/>
        </w:rPr>
        <w:t>loss Y/Y by $691M, and increased our ending cash balance Q/Q. Liz will cover our financial performance in more detail in her comments on the Q3 performance.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Earlier this morning we announced a settlement and patent license agreement with DISH Technologies. The cost of the settlement ($75M), plus other related expenses, will significantly pressure FCF for Q4. The settlement follows a recent International Trade Commission (“ITC”) determination that Peloton’s method of adaptive bit rate streaming infringes several DISH patents. We were expecting a different outcome and could have appealed the ITC decision. We believe our growth agenda is better served by the settlement because it eliminates a cloud of uncertainty and an enormous distraction to the day-to-day operation of our business, despite its adverse impact on Q4 cash flow.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With this matter in the rearview mirror, we can focus again on growing our business.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Ten years ago we invented the connected fitness category with the introduction of the original Peloton Bike. Since then Peloton has become widely known as an at-home bike company for fitness enthusiasts. Our advertising reinforced that narrow positioning.</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But that’s not how today’s Members experience Peloton because the users and the user experiences have evolved considerably since 2013, even if our brand marketing has not. In Q3, by way of example, 57% of all workouts were not cycling related. 62% of active Members participated in non-cycling activities – strength training, yoga, meditation and other modalities – and 38% of all workouts involved no Peloton hardware of any kind. We empower people on their fitness journeys - from beginners to enthusiasts - at home, outdoors, or at the gym, morning, noon, and night.</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 what are we doing about that disconnect? Later this month we will relaunch our brand in order to better communicate the brand value proposition, and we will re-introduce the Peloton App with a tiered membership structure as a mobile gateway to our amazing fitness content from strength and meditation to outdoor running. Our goal in relaunching the App is to engage new categories of customers, drive top-of-the-funnel awareness for Peloton, and become a meaningful contributor of revenue for our business.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brand relaunch and the re-introduction of our Peloton App are two of our most important growth initiatives. Historically, we have experienced a seasonal decline in subscriber growth in Q4 FY. We’re expecting a decline this year as well. Notwithstanding the relaunch, Q4 will be among our most challenging from a growth perspective.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Speaking of growth, this past fiscal year we also launched several other initiatives to reach new customers and grow our business. These included our Fitness-As-A-Service (“FAAS”) rental program and our Peloton Certified Refurbished (“PCR”) bikes. Both are delivering strong growth.</w:t>
      </w:r>
    </w:p>
    <w:p>
      <w:pPr>
        <w:pStyle w:val="TextBody"/>
        <w:spacing w:before="0" w:after="0"/>
        <w:jc w:val="both"/>
        <w:rPr/>
      </w:pPr>
      <w:r>
        <w:rPr/>
      </w:r>
    </w:p>
    <w:p>
      <w:pPr>
        <w:pStyle w:val="TextBody"/>
        <w:spacing w:lineRule="auto" w:line="288" w:before="0" w:after="0"/>
        <w:jc w:val="both"/>
        <w:rPr/>
      </w:pPr>
      <w:r>
        <w:rPr>
          <w:rFonts w:ascii="Roboto;sans-serif" w:hAnsi="Roboto;sans-serif"/>
          <w:b w:val="false"/>
          <w:color w:val="000000"/>
          <w:sz w:val="18"/>
        </w:rPr>
        <w:t xml:space="preserve">We began testing FAAS with the original Peloton Bike in March 2022 and expanded to include Bike+ in August. In September, we rolled out marketing support for the program nationwide. We subsequently began utilizing PCR bikes for rentals in March 2023 and expanded the program into Canada last month. The program has grown to include 47 thousand subscribers (Q3 FY23) with an average monthly churn rate of 5.0% and with an average payback of </w:t>
      </w:r>
      <w:r>
        <w:rPr>
          <w:rFonts w:ascii="Arial;sans-serif" w:hAnsi="Arial;sans-serif"/>
          <w:b w:val="false"/>
          <w:color w:val="000000"/>
          <w:sz w:val="18"/>
        </w:rPr>
        <w:t>18-19 months</w:t>
      </w:r>
      <w:r>
        <w:rPr>
          <w:rFonts w:ascii="Roboto;sans-serif" w:hAnsi="Roboto;sans-serif"/>
          <w:b w:val="false"/>
          <w:color w:val="000000"/>
          <w:sz w:val="18"/>
        </w:rPr>
        <w:t>. FAAS subscribers grew 70% Q/Q in Q3. Consumer research tells us FAAS rentals are highly incremental, with 62% of respondents saying they wouldn’t have subscribed if it weren’t for the flexibility our new rental program offers.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also are having success with the sale of our PCR bikes which we launched in December of 2022, following several successful tests in FY23. The program currently includes Bike and Bike+. We’re exploring whether to extend the program to Tread and Row later this year. We sold a total of 7 thousand PCR bikes in Q3.</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37210"/>
                <wp:effectExtent l="0" t="0" r="0" b="0"/>
                <wp:wrapNone/>
                <wp:docPr id="6" name="Frame5"/>
                <a:graphic xmlns:a="http://schemas.openxmlformats.org/drawingml/2006/main">
                  <a:graphicData uri="http://schemas.microsoft.com/office/word/2010/wordprocessingShape">
                    <wps:wsp>
                      <wps:cNvSpPr txBox="1"/>
                      <wps:spPr>
                        <a:xfrm>
                          <a:off x="0" y="0"/>
                          <a:ext cx="6480175" cy="537210"/>
                        </a:xfrm>
                        <a:prstGeom prst="rect"/>
                      </wps:spPr>
                      <wps:txbx>
                        <w:txbxContent>
                          <w:p>
                            <w:pPr>
                              <w:pStyle w:val="TextBody"/>
                              <w:spacing w:lineRule="auto" w:line="319" w:before="0" w:after="0"/>
                              <w:rPr>
                                <w:rFonts w:ascii="Roboto;sans-serif" w:hAnsi="Roboto;sans-serif"/>
                                <w:b w:val="false"/>
                                <w:color w:val="000000"/>
                                <w:sz w:val="12"/>
                              </w:rPr>
                            </w:pPr>
                            <w:r>
                              <w:rPr>
                                <w:rFonts w:ascii="Roboto;sans-serif" w:hAnsi="Roboto;sans-serif"/>
                                <w:b w:val="false"/>
                                <w:color w:val="000000"/>
                                <w:sz w:val="12"/>
                              </w:rPr>
                              <w:t>(*) Adjusted EBITDA and Free Cash Flow are non-GAAP financial measures. For a reconciliation of each non-GAAP financial measure to the most directly comparable GAAP financial measure, and rationale for why we rely on these measures, please see the reconciliation tables located below.</w:t>
                            </w:r>
                          </w:p>
                          <w:p>
                            <w:pPr>
                              <w:pStyle w:val="TextBody"/>
                              <w:spacing w:before="0" w:after="0"/>
                              <w:rPr/>
                            </w:pPr>
                            <w:r>
                              <w:rPr/>
                            </w:r>
                          </w:p>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rPr>
                          <w:rFonts w:ascii="Roboto;sans-serif" w:hAnsi="Roboto;sans-serif"/>
                          <w:b w:val="false"/>
                          <w:color w:val="000000"/>
                          <w:sz w:val="12"/>
                        </w:rPr>
                      </w:pPr>
                      <w:r>
                        <w:rPr>
                          <w:rFonts w:ascii="Roboto;sans-serif" w:hAnsi="Roboto;sans-serif"/>
                          <w:b w:val="false"/>
                          <w:color w:val="000000"/>
                          <w:sz w:val="12"/>
                        </w:rPr>
                        <w:t>(*) Adjusted EBITDA and Free Cash Flow are non-GAAP financial measures. For a reconciliation of each non-GAAP financial measure to the most directly comparable GAAP financial measure, and rationale for why we rely on these measures, please see the reconciliation tables located below.</w:t>
                      </w:r>
                    </w:p>
                    <w:p>
                      <w:pPr>
                        <w:pStyle w:val="TextBody"/>
                        <w:spacing w:before="0" w:after="0"/>
                        <w:rPr/>
                      </w:pPr>
                      <w:r>
                        <w:rPr/>
                      </w:r>
                    </w:p>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w:t>
                      </w:r>
                    </w:p>
                  </w:txbxContent>
                </v:textbox>
              </v:rect>
            </w:pict>
          </mc:Fallback>
        </mc:AlternateConten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These two programs accounted for 24% of connected fitness hardware sales in Q3. We expect to continue to scale both programs in FY24.</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We’re also seeing strong sales in our 3P retail business with Amazon and our commercial business. We intend to build on our successful Amazon partnership by expanding our product assortment and participating in major promotional events like Prime Day, which we expect to deliver meaningful Y/Y growth in unit sales and revenue.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Peloton Bikes in commercial settings drive valuable discovery and trial for consumers unfamiliar with Peloton (contributing meaningfully to our consumer lead pool), while enabling existing Members to continue their Peloton routines while traveling. Last month, we expanded our Hilton partnership to bring Peloton to Hilton properties in Puerto Rico, Canada, the U.K., and Germany in addition to the commercial Bikes we placed across Hilton's portfolio of 5,400 U.S. hotels. You'll see us lean further into the hospitality channel. Overall, our commercial business is showing strong momentum, and I expect it to continue to grow in strategic importance in FY24.</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also will see us leaning into international growth in FY24. This past year we dramatically reduced our operating losses internationally, but it’s not enough to reduce operating losses. We have more work to do to unlock international growth and profit. We’ll have more to say about our international business next quarter. In Q3, international Connected Fitness Subscriptions grew faster than the U.S.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also continue to see strong growth in secondary market activations. These new subscribers join as All-Access Members after purchasing a used Peloton hardware device in the secondary market (think eBay) from a former Peloton owner. In Q3 we added 33.5 thousand new Connected Fitness Subscriptions thanks to this secondary market, up 18% Q/Q and 40% Y/Y. We expect continued strong Y/Y growth in this category, although we do expect secondary market activations to decline seasonally Q/Q in Q4.</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always, on behalf of the Peloton team, I want to express our sincere thanks to our Member community for making this journey possible and giving our work meaning and purpose.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 also want to thank our Peloton team members for their dedication and hard work which has made possible the transformation in Peloton’s performance these past twelve months. There will be challenges and opportunities ahead, but if we continue to perform over the next twelve months like we performed over the past twelve, we will have accomplished something truly special. </w:t>
      </w:r>
    </w:p>
    <w:p>
      <w:pPr>
        <w:pStyle w:val="TextBody"/>
        <w:spacing w:before="0" w:after="0"/>
        <w:rPr/>
      </w:pPr>
      <w:r>
        <w:rPr/>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Barry McCarthy</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CEO &amp; President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w:t>
                      </w:r>
                    </w:p>
                  </w:txbxContent>
                </v:textbox>
              </v:rect>
            </w:pict>
          </mc:Fallback>
        </mc:AlternateContent>
      </w:r>
    </w:p>
    <w:p>
      <w:pPr>
        <w:pStyle w:val="TextBody"/>
        <w:spacing w:lineRule="auto" w:line="319" w:before="0" w:after="0"/>
        <w:rPr>
          <w:rFonts w:ascii="Roboto;sans-serif" w:hAnsi="Roboto;sans-serif"/>
          <w:b/>
          <w:color w:val="000000"/>
          <w:sz w:val="18"/>
        </w:rPr>
      </w:pPr>
      <w:r>
        <w:rPr>
          <w:rFonts w:ascii="Roboto;sans-serif" w:hAnsi="Roboto;sans-serif"/>
          <w:b/>
          <w:color w:val="000000"/>
          <w:sz w:val="18"/>
        </w:rPr>
        <w:t>FY 2023 Q3 Operating Metrics and Financial Summary</w:t>
      </w:r>
    </w:p>
    <w:tbl>
      <w:tblPr>
        <w:tblW w:w="10205" w:type="dxa"/>
        <w:jc w:val="left"/>
        <w:tblInd w:w="0" w:type="dxa"/>
        <w:tblCellMar>
          <w:top w:w="28" w:type="dxa"/>
          <w:left w:w="28" w:type="dxa"/>
          <w:bottom w:w="28" w:type="dxa"/>
          <w:right w:w="28" w:type="dxa"/>
        </w:tblCellMar>
      </w:tblPr>
      <w:tblGrid>
        <w:gridCol w:w="1364"/>
        <w:gridCol w:w="1043"/>
        <w:gridCol w:w="1027"/>
        <w:gridCol w:w="226"/>
        <w:gridCol w:w="759"/>
        <w:gridCol w:w="271"/>
        <w:gridCol w:w="109"/>
        <w:gridCol w:w="109"/>
        <w:gridCol w:w="109"/>
        <w:gridCol w:w="226"/>
        <w:gridCol w:w="759"/>
        <w:gridCol w:w="271"/>
        <w:gridCol w:w="109"/>
        <w:gridCol w:w="109"/>
        <w:gridCol w:w="109"/>
        <w:gridCol w:w="226"/>
        <w:gridCol w:w="759"/>
        <w:gridCol w:w="271"/>
        <w:gridCol w:w="109"/>
        <w:gridCol w:w="109"/>
        <w:gridCol w:w="109"/>
        <w:gridCol w:w="272"/>
        <w:gridCol w:w="276"/>
        <w:gridCol w:w="320"/>
        <w:gridCol w:w="109"/>
        <w:gridCol w:w="109"/>
        <w:gridCol w:w="109"/>
        <w:gridCol w:w="243"/>
        <w:gridCol w:w="244"/>
        <w:gridCol w:w="340"/>
      </w:tblGrid>
      <w:tr>
        <w:trPr/>
        <w:tc>
          <w:tcPr>
            <w:tcW w:w="136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User Metrics</w:t>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Q3 FY'22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Q2 FY'23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Q3 FY'23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Y/Y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Q/Q</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Members (in millions)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Connected Fitness Subscriptions (in millions)</w:t>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Connected Fitness Subscription Additions (in millions)</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Average Net Monthly Connected Fitness Churn</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 bps</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App Subscriptions (in millions)</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Financial Results (dollars in millions)</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Revenue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Gross Profit</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Gross Margin</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580 bps</w:t>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bps</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Subscription Contribution Margin </w:t>
            </w:r>
            <w:r>
              <w:rPr>
                <w:rFonts w:ascii="Roboto;sans-serif" w:hAnsi="Roboto;sans-serif"/>
                <w:b w:val="false"/>
                <w:color w:val="000000"/>
                <w:sz w:val="12"/>
              </w:rPr>
              <w:t>(1)</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bps</w:t>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Margin</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640 bps</w:t>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Expenses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 xml:space="preserve">Adjusted EBITDA </w:t>
            </w:r>
            <w:r>
              <w:rPr>
                <w:rFonts w:ascii="Roboto;sans-serif" w:hAnsi="Roboto;sans-serif"/>
                <w:b w:val="false"/>
                <w:color w:val="000000"/>
                <w:sz w:val="12"/>
              </w:rPr>
              <w:t>(1)</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54 </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Free Cash Flow</w:t>
            </w:r>
            <w:r>
              <w:rPr>
                <w:color w:val="000000"/>
              </w:rPr>
              <w:t xml:space="preserve">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(746.7)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spacing w:before="0" w:after="0"/>
        <w:rPr/>
      </w:pPr>
      <w:r>
        <w:rPr/>
      </w:r>
    </w:p>
    <w:p>
      <w:pPr>
        <w:pStyle w:val="TextBody"/>
        <w:spacing w:lineRule="auto" w:line="288" w:before="0" w:after="0"/>
        <w:rPr>
          <w:rFonts w:ascii="Roboto;sans-serif" w:hAnsi="Roboto;sans-serif"/>
          <w:b w:val="false"/>
          <w:color w:val="000000"/>
          <w:sz w:val="12"/>
        </w:rPr>
      </w:pPr>
      <w:r>
        <w:rPr>
          <w:rFonts w:ascii="Roboto;sans-serif" w:hAnsi="Roboto;sans-serif"/>
          <w:b w:val="false"/>
          <w:color w:val="000000"/>
          <w:sz w:val="12"/>
        </w:rPr>
        <w:t>(1) For a reconciliation of each non-GAAP financial measure to the most directly comparable GAAP financial measure, please refer to the reconciliation tables in the section titled “Non-GAAP Financial Measures.”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v:rect>
            </w:pict>
          </mc:Fallback>
        </mc:AlternateContent>
      </w:r>
    </w:p>
    <w:p>
      <w:pPr>
        <w:pStyle w:val="TextBody"/>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OPERATING METRICS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Connected Fitness Subscriptions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ended the quarter with 3.11 million Connected Fitness subscriptions, reflecting net additions of 74 thousand in the quarter. Gross additions were ahead of expectations, driven by stronger than expected hardware sales and bike rentals, higher than anticipated secondary market activations, and faster than average forecasted deliveries.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Connected Fitness Subscription Churn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Average Net Monthly Connected Fitness Churn for the quarter was 1.1%, in-line with our expectations. </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Peloton App </w:t>
      </w:r>
    </w:p>
    <w:p>
      <w:pPr>
        <w:pStyle w:val="TextBody"/>
        <w:spacing w:lineRule="auto" w:line="288" w:before="0" w:after="0"/>
        <w:jc w:val="both"/>
        <w:rPr/>
      </w:pPr>
      <w:r>
        <w:rPr>
          <w:rFonts w:ascii="Roboto;sans-serif" w:hAnsi="Roboto;sans-serif"/>
          <w:b w:val="false"/>
          <w:color w:val="000000"/>
          <w:sz w:val="18"/>
        </w:rPr>
        <w:t>We ended the quarter with 853 thousand Peloton App subscribers, exceeding our expectations. As noted in prior quarters, we expect continued pressure on our App subscription count as we balance our effort to grow our current App subscription offering with our work toward the debut of a new Peloton App strategy, which we expect to laun</w:t>
      </w:r>
      <w:r>
        <w:rPr>
          <w:rFonts w:ascii="Roboto;sans-serif" w:hAnsi="Roboto;sans-serif"/>
          <w:b w:val="false"/>
          <w:color w:val="000000"/>
          <w:sz w:val="18"/>
          <w:highlight w:val="white"/>
        </w:rPr>
        <w:t xml:space="preserve">ch later in May. </w:t>
      </w:r>
      <w:r>
        <w:rPr>
          <w:rFonts w:ascii="Roboto;sans-serif" w:hAnsi="Roboto;sans-serif"/>
          <w:b w:val="false"/>
          <w:color w:val="000000"/>
          <w:sz w:val="18"/>
        </w:rPr>
        <w:t>Although our current App has continued to outperform our expectations, we see potential for near-term pressure on our App subscriber base as we introduce our new long-term strategy into the market, which will include a new tiered subscription format and price adjustments.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Quarterly and Recent Highlights</w:t>
      </w:r>
    </w:p>
    <w:p>
      <w:pPr>
        <w:pStyle w:val="TextBody"/>
        <w:spacing w:lineRule="auto" w:line="288" w:before="0" w:after="0"/>
        <w:jc w:val="both"/>
        <w:rPr/>
      </w:pPr>
      <w:r>
        <w:rPr>
          <w:rFonts w:ascii="Roboto;sans-serif" w:hAnsi="Roboto;sans-serif"/>
          <w:b/>
          <w:color w:val="000000"/>
          <w:sz w:val="18"/>
        </w:rPr>
        <w:t xml:space="preserve">Hardware/Software: </w:t>
      </w:r>
      <w:r>
        <w:rPr>
          <w:rFonts w:ascii="Roboto;sans-serif" w:hAnsi="Roboto;sans-serif"/>
          <w:b w:val="false"/>
          <w:color w:val="000000"/>
          <w:sz w:val="18"/>
        </w:rPr>
        <w:t>In February we were pleased to introduce our Peloton Tread to the Australian market, completing our international roll-out. Our software investments across the Peloton platform continue to make it easier for Members to navigate our thousands of diverse classes and more easily find a great workout. In Q3, we improved class search query results on Bike, Tread, and Row and continued to streamline the experience of taking multiple consecutive classes. We have also invested in further personalization of the Peloton home-screen, so that each Member sees content they are likely to enjoy based on their workout history.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Tread, Row, and Guide are delivering the best user experience for their respective modalities. On Tread, we launched Run Achievements, celebrating running and walking specific milestones like your fastest mile, and improved Auto-Incline to make it easier to follow hill workouts. On Row, we launched the innovative Tips and Praise features, which leverages our deep hardware-software integration to give rowers actionable feedback on their rowing form in real time. And on Guide, we paired our ongoing improvement of Rep and Weight Tracking with some of the most Member-requested fixes, including more Rep Tracking classes and improved remote connectivity.</w:t>
      </w:r>
    </w:p>
    <w:p>
      <w:pPr>
        <w:pStyle w:val="TextBody"/>
        <w:spacing w:before="0" w:after="0"/>
        <w:rPr/>
      </w:pPr>
      <w:r>
        <w:rPr/>
      </w:r>
    </w:p>
    <w:p>
      <w:pPr>
        <w:pStyle w:val="TextBody"/>
        <w:spacing w:lineRule="auto" w:line="288" w:before="0" w:after="0"/>
        <w:jc w:val="both"/>
        <w:rPr/>
      </w:pPr>
      <w:r>
        <w:rPr>
          <w:rFonts w:ascii="Roboto;sans-serif" w:hAnsi="Roboto;sans-serif"/>
          <w:b/>
          <w:color w:val="000000"/>
          <w:sz w:val="18"/>
        </w:rPr>
        <w:t xml:space="preserve">Content: </w:t>
      </w:r>
      <w:r>
        <w:rPr>
          <w:rFonts w:ascii="Roboto;sans-serif" w:hAnsi="Roboto;sans-serif"/>
          <w:b w:val="false"/>
          <w:color w:val="000000"/>
          <w:sz w:val="18"/>
        </w:rPr>
        <w:t>Peloton Programs offer structured class collections designed to meet specific Member goals and have been enthusiastically embraced by our Members. Program exclusive workouts were up 97% over Q2 across over 625 Program-exclusive classes. Leveraging this success and in pursuit of greater levels of content personalization, during Q3 we launched Beginner Pilates with Kristin McGee, German language versions of Beginner Yoga and You Can Ride, Straight to the Core with Rebecca Kennedy, and Ben Alldis's Stronger You. Looking ahead, the focus of our Program development will be further expansion of our Strength &amp; Floor fitness modalities. In support of our new Peloton Row, in Q3 we launched Live Row classes and Guided Scenic classes in San Diego.</w:t>
      </w:r>
    </w:p>
    <w:p>
      <w:pPr>
        <w:pStyle w:val="TextBody"/>
        <w:spacing w:before="0" w:after="0"/>
        <w:jc w:val="both"/>
        <w:rPr/>
      </w:pPr>
      <w:r>
        <w:rPr/>
      </w:r>
    </w:p>
    <w:p>
      <w:pPr>
        <w:pStyle w:val="TextBody"/>
        <w:spacing w:lineRule="auto" w:line="288" w:before="0" w:after="0"/>
        <w:jc w:val="both"/>
        <w:rPr/>
      </w:pPr>
      <w:r>
        <w:rPr>
          <w:rFonts w:ascii="Roboto;sans-serif" w:hAnsi="Roboto;sans-serif"/>
          <w:b/>
          <w:color w:val="000000"/>
          <w:sz w:val="18"/>
        </w:rPr>
        <w:t xml:space="preserve">Since quarter's end: </w:t>
      </w:r>
      <w:r>
        <w:rPr>
          <w:rFonts w:ascii="Roboto;sans-serif" w:hAnsi="Roboto;sans-serif"/>
          <w:b w:val="false"/>
          <w:color w:val="000000"/>
          <w:sz w:val="18"/>
        </w:rPr>
        <w:t>We continue our work on third-party device integrations, and in April, we announced that Peloton Connected Fitness hardware will now automatically integrate with smartwatches from Samsung, Google, Fossil, and other manufacturers using Wear OS 3. That includes not only Peloton’s bikes and treadmill but also our rower and Guide strength training system.</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April 5th, we announced the expansion of our industry-first partnership with Hilton to equip nearly every Hilton portfolio hotel in Canada, Germany and the U.K. with Peloton Bikes. In addition, Hilton Honors members will receive special limited time offers for an extended Peloton App free trial and partnership pricing on Peloton Connected Fitness hardware.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Most recently, we extended our popular bike rental offering to Canada on April 25th, representing the first international expansion market for our rental program.</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u w:val="single"/>
        </w:rPr>
      </w:pPr>
      <w:r>
        <w:rPr>
          <w:rFonts w:ascii="Roboto;sans-serif" w:hAnsi="Roboto;sans-serif"/>
          <w:b/>
          <w:color w:val="000000"/>
          <w:sz w:val="18"/>
          <w:u w:val="single"/>
        </w:rPr>
        <w:t>Q3 FINANCIAL RESULTS</w:t>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Revenue</w:t>
      </w:r>
    </w:p>
    <w:p>
      <w:pPr>
        <w:pStyle w:val="TextBody"/>
        <w:spacing w:lineRule="auto" w:line="288" w:before="0" w:after="0"/>
        <w:jc w:val="both"/>
        <w:rPr/>
      </w:pPr>
      <w:r>
        <w:rPr>
          <w:rFonts w:ascii="Roboto;sans-serif" w:hAnsi="Roboto;sans-serif"/>
          <w:b w:val="false"/>
          <w:color w:val="000000"/>
          <w:sz w:val="18"/>
        </w:rPr>
        <w:t xml:space="preserve">Total revenue of $748.9 million for the three months ended March 31, 2023, comprised of $324.1 million of Connected Fitness segment revenue and $424.7 million of Subscription revenue, exceeded our expectations of $690 million to $715 million. Our Connected Fitness segment was positively impacted by an </w:t>
      </w:r>
      <w:r>
        <w:rPr>
          <w:rFonts w:ascii="Roboto;sans-serif" w:hAnsi="Roboto;sans-serif"/>
          <w:b w:val="false"/>
          <w:color w:val="000000"/>
          <w:sz w:val="18"/>
          <w:highlight w:val="white"/>
        </w:rPr>
        <w:t>$11.9 million</w:t>
      </w:r>
      <w:r>
        <w:rPr>
          <w:color w:val="000000"/>
        </w:rPr>
        <w:t xml:space="preserve"> </w:t>
      </w:r>
      <w:r>
        <w:rPr>
          <w:rFonts w:ascii="Roboto;sans-serif" w:hAnsi="Roboto;sans-serif"/>
          <w:b w:val="false"/>
          <w:color w:val="000000"/>
          <w:sz w:val="18"/>
        </w:rPr>
        <w:t>benefit relating to an adjustment in our Tread+ recall returns reserve, as we experienced lower than forecasted actual returns in the quarter and have accordingly updated our assumptions for future expected returns.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Gross Profit and Margin</w:t>
      </w:r>
    </w:p>
    <w:p>
      <w:pPr>
        <w:pStyle w:val="TextBody"/>
        <w:spacing w:lineRule="auto" w:line="288"/>
        <w:jc w:val="both"/>
        <w:rPr/>
      </w:pPr>
      <w:r>
        <w:rPr>
          <w:rFonts w:ascii="Roboto;sans-serif" w:hAnsi="Roboto;sans-serif"/>
          <w:b w:val="false"/>
          <w:color w:val="000000"/>
          <w:sz w:val="18"/>
          <w:highlight w:val="white"/>
        </w:rPr>
        <w:t>Total Gross profit was $270.2 million for the three months ended March 31, 2023, yielding a gross margin of 36.1% (versus our 39% guidance). Our Connected Fitness segment gross margin wa</w:t>
      </w:r>
      <w:r>
        <w:rPr>
          <w:rFonts w:ascii="Roboto;sans-serif" w:hAnsi="Roboto;sans-serif"/>
          <w:b w:val="false"/>
          <w:color w:val="000000"/>
          <w:sz w:val="18"/>
        </w:rPr>
        <w:t>s (5.4)%</w:t>
      </w:r>
      <w:r>
        <w:rPr>
          <w:rFonts w:ascii="Roboto;sans-serif" w:hAnsi="Roboto;sans-serif"/>
          <w:b w:val="false"/>
          <w:color w:val="000000"/>
          <w:sz w:val="18"/>
          <w:highlight w:val="white"/>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segment gross margin was negatively impacted by $9.7 million due to adjustments and charges related to product recall related matters as the revenue benefit described above was offset by probable and reasonably estimable costs associated with product recall related matters. We also observed higher than anticipated Connected Fitness segment revenue as a percent of total revenue.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segment gross margin of 67.8% was in-line with our expectations.</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Operating Expenses</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operating expenses were $536.2 million. G&amp;A expense increased $6.8 million versus the year ago period, primarily driven by a $75.0 million accrual related to the settlement of our DISH litigation, partially offset by year-over-year reductions in professional fees and personnel related expenses. Sales and marketing expense declined $73.1 million versus the year ago period, reflecting lower media spending as well as reductions in personnel related expenses. R&amp;D expenses increased $1.1 million versus the year ago period. Increases in product development and research costs were partially offset by lower personnel related expenses.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 we recognized $51.3 million of impairment and restructuring expense, of which $40.1 million was non-cash. The non-cash charges were primarily related to asset write-downs and write-offs in relation to Peloton Output Park, the closure of retail showroom locations, and other manufacturing assets. The cash charges were comprised of $6.9 million of severance payments as well as $4.4 million relating to other items including facility exit costs. Lastly, we recognized approximately $2.9 million of additional supplier settlements expense during the period.</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Free Cash Flow &amp; Cash Balance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operating activities was $(40.9) million, including $18.5 million of supplier settlement payments and payment of $19.1 million related to a previously announced CPSC civil penalty. Free cash flow was $(55.3) million. We ended Q3 with $873.6 million in unrestricted cash and cash equivalents. We also have a $400.0 million revolving credit facility, which remains undrawn to date.</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Q4 FY'23 OUTLOOK</w:t>
      </w:r>
    </w:p>
    <w:tbl>
      <w:tblPr>
        <w:tblW w:w="10205" w:type="dxa"/>
        <w:jc w:val="left"/>
        <w:tblInd w:w="0" w:type="dxa"/>
        <w:tblCellMar>
          <w:top w:w="28" w:type="dxa"/>
          <w:left w:w="28" w:type="dxa"/>
          <w:bottom w:w="28" w:type="dxa"/>
          <w:right w:w="28" w:type="dxa"/>
        </w:tblCellMar>
      </w:tblPr>
      <w:tblGrid>
        <w:gridCol w:w="1241"/>
        <w:gridCol w:w="993"/>
        <w:gridCol w:w="1000"/>
        <w:gridCol w:w="329"/>
        <w:gridCol w:w="329"/>
        <w:gridCol w:w="294"/>
        <w:gridCol w:w="109"/>
        <w:gridCol w:w="109"/>
        <w:gridCol w:w="109"/>
        <w:gridCol w:w="329"/>
        <w:gridCol w:w="320"/>
        <w:gridCol w:w="284"/>
        <w:gridCol w:w="109"/>
        <w:gridCol w:w="109"/>
        <w:gridCol w:w="109"/>
        <w:gridCol w:w="211"/>
        <w:gridCol w:w="211"/>
        <w:gridCol w:w="185"/>
        <w:gridCol w:w="168"/>
        <w:gridCol w:w="168"/>
        <w:gridCol w:w="168"/>
        <w:gridCol w:w="201"/>
        <w:gridCol w:w="201"/>
        <w:gridCol w:w="203"/>
        <w:gridCol w:w="109"/>
        <w:gridCol w:w="109"/>
        <w:gridCol w:w="109"/>
        <w:gridCol w:w="319"/>
        <w:gridCol w:w="319"/>
        <w:gridCol w:w="299"/>
        <w:gridCol w:w="213"/>
        <w:gridCol w:w="213"/>
        <w:gridCol w:w="213"/>
        <w:gridCol w:w="247"/>
        <w:gridCol w:w="227"/>
        <w:gridCol w:w="339"/>
      </w:tblGrid>
      <w:tr>
        <w:trPr/>
        <w:tc>
          <w:tcPr>
            <w:tcW w:w="1241"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Q4 FY'23 Range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 Change (Midpoint)</w:t>
            </w:r>
          </w:p>
        </w:tc>
      </w:tr>
      <w:tr>
        <w:trPr/>
        <w:tc>
          <w:tcPr>
            <w:tcW w:w="3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User Metrics (in millions)</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Q4 FY'22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Q3 FY'23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Low</w:t>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Y/Y</w:t>
            </w:r>
          </w:p>
        </w:tc>
        <w:tc>
          <w:tcPr>
            <w:tcW w:w="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Q/Q</w:t>
            </w:r>
          </w:p>
        </w:tc>
      </w:tr>
      <w:tr>
        <w:trPr/>
        <w:tc>
          <w:tcPr>
            <w:tcW w:w="3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Connected Fitness Subscriptions</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3.08</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w:t>
            </w:r>
          </w:p>
        </w:tc>
      </w:tr>
      <w:tr>
        <w:trPr/>
        <w:tc>
          <w:tcPr>
            <w:tcW w:w="3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Financial Results (dollars in millions)</w:t>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$678.7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$748.9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$630</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(15)%</w:t>
            </w:r>
          </w:p>
        </w:tc>
      </w:tr>
      <w:tr>
        <w:trPr/>
        <w:tc>
          <w:tcPr>
            <w:tcW w:w="3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Margin</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4,539 bps</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492 bps</w:t>
            </w:r>
          </w:p>
        </w:tc>
      </w:tr>
      <w:tr>
        <w:trPr/>
        <w:tc>
          <w:tcPr>
            <w:tcW w:w="3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$(288.7)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94%</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w:t>
            </w:r>
          </w:p>
        </w:tc>
      </w:tr>
    </w:tbl>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highlight w:val="white"/>
        </w:rPr>
      </w:pPr>
      <w:r>
        <w:rPr>
          <w:rFonts w:ascii="Roboto;sans-serif" w:hAnsi="Roboto;sans-serif"/>
          <w:b w:val="false"/>
          <w:color w:val="000000"/>
          <w:sz w:val="18"/>
          <w:highlight w:val="white"/>
        </w:rPr>
        <w:t>Our guidance range for end of period Connected Fitness Subscriptions and revenue for Q4 reflects lower near-term visibility as we enter what is typically the lowest volume quarter of our fiscal year. We expect our sequential gross margin improvement will be driven by a continued mix-shift of total revenues toward our Subscription segment. Consistent with seasonality in prior years, we anticipate a modest sequential increase in Connected Fitness subscription churn.</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I close in on my first year at Peloton, I am pleased to see the continued great work of our Peloton team members result in strong progress toward achieving our financial targets for FY23, especially the progress on free cash flow which improved $691 million compared to one year ago. While driving operational and cost efficiency remains an important business objective, accelerating subscriber growth is our north star goal at Peloton and remains a challenge that we are fully embracing. </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Liz Coddington</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CFO</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v:rect>
            </w:pict>
          </mc:Fallback>
        </mc:AlternateContent>
      </w:r>
    </w:p>
    <w:p>
      <w:pPr>
        <w:pStyle w:val="TextBody"/>
        <w:spacing w:lineRule="auto" w:line="319" w:before="0" w:after="0"/>
        <w:jc w:val="both"/>
        <w:rPr>
          <w:rFonts w:ascii="Roboto;sans-serif" w:hAnsi="Roboto;sans-serif"/>
          <w:b/>
          <w:color w:val="000000"/>
          <w:sz w:val="18"/>
        </w:rPr>
      </w:pPr>
      <w:r>
        <w:rPr>
          <w:rFonts w:ascii="Roboto;sans-serif" w:hAnsi="Roboto;sans-serif"/>
          <w:b/>
          <w:color w:val="000000"/>
          <w:sz w:val="18"/>
        </w:rPr>
        <w:t>Webcast</w:t>
      </w:r>
    </w:p>
    <w:p>
      <w:pPr>
        <w:pStyle w:val="TextBody"/>
        <w:spacing w:lineRule="auto" w:line="288" w:before="0" w:after="0"/>
        <w:jc w:val="both"/>
        <w:rPr/>
      </w:pPr>
      <w:r>
        <w:rPr>
          <w:rFonts w:ascii="Roboto;sans-serif" w:hAnsi="Roboto;sans-serif"/>
          <w:b w:val="false"/>
          <w:color w:val="000000"/>
          <w:sz w:val="18"/>
        </w:rPr>
        <w:t>We will host a Q&amp;A session at 8:30 a.m. ET on Thursday, May 4, 2023 to discuss our financial results. To participate in the live call by phone, please go to this link to register (</w:t>
      </w:r>
      <w:r>
        <w:rPr>
          <w:rFonts w:ascii="Roboto;sans-serif" w:hAnsi="Roboto;sans-serif"/>
          <w:b w:val="false"/>
          <w:color w:val="0E32E1"/>
          <w:sz w:val="18"/>
        </w:rPr>
        <w:t>phone registration link</w:t>
      </w:r>
      <w:r>
        <w:rPr>
          <w:rFonts w:ascii="Roboto;sans-serif" w:hAnsi="Roboto;sans-serif"/>
          <w:b w:val="false"/>
          <w:color w:val="000000"/>
          <w:sz w:val="18"/>
        </w:rPr>
        <w:t>), and you will be provided with dial in details. To avoid delays, we encourage participants to register at a minimum 15 minutes before the start of the call. A live webcast of the call will be available at https://investor.onepeloton.com/news-and-events/events and a replay will be available on the investor relations page of the Company's website for 30 days.</w:t>
      </w:r>
    </w:p>
    <w:p>
      <w:pPr>
        <w:pStyle w:val="TextBody"/>
        <w:spacing w:before="0" w:after="0"/>
        <w:jc w:val="both"/>
        <w:rPr/>
      </w:pPr>
      <w:r>
        <w:rPr/>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Safe Harbor Statement </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shareholder letter other than statements of historical fact, including, without limitation, statements regarding our expected financial results for the fourth quarter and full year of our fiscal year 2023; our execution and timing of and the expected benefits from our restructuring initiative and cost-saving measures; our supply chain management initiatives; details regarding and the timing of the launch of new products and services; the prices of our products and services in the future; our future operating results and financial position; our profitability; our business strategy and plans, market growth; our objectives for future operations; statements regarding our future performance and our market opportunity.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of our products and services and adequately maintain our inventory; our ability to execute and achieve the expected benefits of our restructuring initiative and other cost-saving measures; our ability to effectively manage our growth;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industry; our reliance on a limited number of suppliers, contract manufacturers, and logistics partners for our connected fitness products; our reliance on and lack of control over suppliers, contract manufacturers, and logistics partners; our ability to predict our long-term performance and declines in our revenue growth as our business matures; the effects of increased competition in our markets and our ability to compete effectively; declines in sales of our Bike and Bike+; the direct and indirect impacts to our business and financial performance from the COVID-19 pandemic;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those risks and uncertainties described under the caption “Risk Factors” in our Annual Report on Form 10-K for the fiscal year ended June 30, 2022, as such factors may be updated in our filings with the Securities and Exchange Commission, which are available on the Investor Relations page of our website at https://investor.onepeloton.com/investor-relations and on the SEC website at www.sec.gov.</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v:rect>
            </w:pict>
          </mc:Fallback>
        </mc:AlternateContent>
      </w:r>
    </w:p>
    <w:p>
      <w:pPr>
        <w:pStyle w:val="TextBody"/>
        <w:spacing w:lineRule="auto" w:line="556" w:before="0" w:after="0"/>
        <w:rPr>
          <w:rFonts w:ascii="Roboto;sans-serif" w:hAnsi="Roboto;sans-serif"/>
          <w:b/>
          <w:color w:val="000000"/>
          <w:sz w:val="20"/>
          <w:u w:val="single"/>
        </w:rPr>
      </w:pPr>
      <w:r>
        <w:rPr>
          <w:rFonts w:ascii="Roboto;sans-serif" w:hAnsi="Roboto;sans-serif"/>
          <w:b/>
          <w:color w:val="000000"/>
          <w:sz w:val="20"/>
          <w:u w:val="single"/>
        </w:rPr>
        <w:t>FINANCIAL TABLES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CellMar>
          <w:top w:w="28" w:type="dxa"/>
          <w:left w:w="28" w:type="dxa"/>
          <w:bottom w:w="28" w:type="dxa"/>
          <w:right w:w="28" w:type="dxa"/>
        </w:tblCellMar>
      </w:tblPr>
      <w:tblGrid>
        <w:gridCol w:w="3129"/>
        <w:gridCol w:w="2127"/>
        <w:gridCol w:w="2097"/>
        <w:gridCol w:w="232"/>
        <w:gridCol w:w="912"/>
        <w:gridCol w:w="112"/>
        <w:gridCol w:w="109"/>
        <w:gridCol w:w="109"/>
        <w:gridCol w:w="109"/>
        <w:gridCol w:w="226"/>
        <w:gridCol w:w="886"/>
        <w:gridCol w:w="157"/>
      </w:tblGrid>
      <w:tr>
        <w:trPr/>
        <w:tc>
          <w:tcPr>
            <w:tcW w:w="3129"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53"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53" w:type="dxa"/>
            <w:gridSpan w:val="3"/>
            <w:vMerge w:val="continue"/>
            <w:tcBorders/>
            <w:shd w:fill="auto" w:val="clear"/>
            <w:tcMar>
              <w:top w:w="0" w:type="dxa"/>
              <w:left w:w="0" w:type="dxa"/>
              <w:bottom w:w="0" w:type="dxa"/>
              <w:right w:w="0" w:type="dxa"/>
            </w:tcMar>
            <w:vAlign w:val="center"/>
          </w:tcPr>
          <w:p>
            <w:pPr>
              <w:pStyle w:val="Normal"/>
              <w:rPr/>
            </w:pPr>
            <w:r>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7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ASSETS</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1,104.5 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 EQUITY</w:t>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797.4 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201.1 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long-term debt and other bank borrowings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 Convertible senior notes, net</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619.5 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Commitments and contingencies</w:t>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Stockholders’ (deficit) equity</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Class A shares authorized, 336,026,041 and 308,241,938 shares issued and outstanding as of March 31, 2023 and June 30, 2022, respectively; 2,500,000,000 and 2,500,000,000 Class B shares authorized, 18,209,460 and 30,032,078 shares issued and outstanding as of March 31, 2023 and June 30, 2022, respectively.</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4,543.0 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4,291.3 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(3,710.6)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3,016.3 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4,028.5 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496"/>
        <w:gridCol w:w="866"/>
        <w:gridCol w:w="871"/>
        <w:gridCol w:w="325"/>
        <w:gridCol w:w="1041"/>
        <w:gridCol w:w="115"/>
        <w:gridCol w:w="115"/>
        <w:gridCol w:w="115"/>
        <w:gridCol w:w="115"/>
        <w:gridCol w:w="325"/>
        <w:gridCol w:w="1041"/>
        <w:gridCol w:w="115"/>
        <w:gridCol w:w="109"/>
        <w:gridCol w:w="109"/>
        <w:gridCol w:w="109"/>
        <w:gridCol w:w="273"/>
        <w:gridCol w:w="1093"/>
        <w:gridCol w:w="110"/>
        <w:gridCol w:w="110"/>
        <w:gridCol w:w="110"/>
        <w:gridCol w:w="110"/>
        <w:gridCol w:w="273"/>
        <w:gridCol w:w="1093"/>
        <w:gridCol w:w="166"/>
      </w:tblGrid>
      <w:tr>
        <w:trPr/>
        <w:tc>
          <w:tcPr>
            <w:tcW w:w="149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594.4 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510.4 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2,249.4 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(735.8)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(971.3)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(1,521.2)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income, net:</w:t>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(755.0)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(1,565.0)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(0.79)</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(4.96)</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Class A and Class B common shares outstanding, basic and diluted</w:t>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350,426,631 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333,864,579 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343,753,996 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317,245,844 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 income:</w:t>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unrealized losses on marketable securities</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Derivative adjustments:</w:t>
            </w:r>
          </w:p>
        </w:tc>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unrealized loss on hedging derivatives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Reclassification for derivative adjustments included in Net loss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(loss) income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(765.0)</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(1,580.2)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jc w:val="center"/>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75"/>
        <w:gridCol w:w="2156"/>
        <w:gridCol w:w="2162"/>
        <w:gridCol w:w="258"/>
        <w:gridCol w:w="1111"/>
        <w:gridCol w:w="124"/>
        <w:gridCol w:w="124"/>
        <w:gridCol w:w="124"/>
        <w:gridCol w:w="124"/>
        <w:gridCol w:w="258"/>
        <w:gridCol w:w="1111"/>
        <w:gridCol w:w="178"/>
      </w:tblGrid>
      <w:tr>
        <w:trPr/>
        <w:tc>
          <w:tcPr>
            <w:tcW w:w="2475"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20"/>
              </w:rPr>
            </w:pPr>
            <w:r>
              <w:rPr>
                <w:rFonts w:ascii="Roboto;sans-serif" w:hAnsi="Roboto;sans-serif"/>
                <w:b/>
                <w:color w:val="000000"/>
                <w:sz w:val="20"/>
              </w:rPr>
              <w:t>Nine Months Ended March 31,</w:t>
            </w:r>
          </w:p>
        </w:tc>
      </w:tr>
      <w:tr>
        <w:trPr/>
        <w:tc>
          <w:tcPr>
            <w:tcW w:w="6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used in operating activities:</w:t>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premium from marketable securities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4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435.1 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(473.3)</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(260.4)</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Customer deposits and deferred revenue</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(1,677.8)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Maturities of marketable securities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of marketable securities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(267.7)</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 net of cash acquired</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acquisitions, net of cash acquired</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sales of net assets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public offering, net of issuance costs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1,218.8 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exercise of stock options</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1,309.0 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(169.4)</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1,257.6 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1,135.7 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966.2 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v:rect>
            </w:pict>
          </mc:Fallback>
        </mc:AlternateContent>
      </w:r>
    </w:p>
    <w:tbl>
      <w:tblPr>
        <w:tblW w:w="9219" w:type="dxa"/>
        <w:jc w:val="center"/>
        <w:tblInd w:w="0" w:type="dxa"/>
        <w:tblCellMar>
          <w:top w:w="28" w:type="dxa"/>
          <w:left w:w="28" w:type="dxa"/>
          <w:bottom w:w="28" w:type="dxa"/>
          <w:right w:w="28" w:type="dxa"/>
        </w:tblCellMar>
      </w:tblPr>
      <w:tblGrid>
        <w:gridCol w:w="2540"/>
        <w:gridCol w:w="2228"/>
        <w:gridCol w:w="2237"/>
        <w:gridCol w:w="226"/>
        <w:gridCol w:w="586"/>
        <w:gridCol w:w="109"/>
        <w:gridCol w:w="109"/>
        <w:gridCol w:w="109"/>
        <w:gridCol w:w="109"/>
        <w:gridCol w:w="226"/>
        <w:gridCol w:w="586"/>
        <w:gridCol w:w="154"/>
      </w:tblGrid>
      <w:tr>
        <w:trPr/>
        <w:tc>
          <w:tcPr>
            <w:tcW w:w="2540"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capitalized for software development costs</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before="0" w:after="0"/>
        <w:jc w:val="center"/>
        <w:rPr/>
      </w:pPr>
      <w:r>
        <w:rPr/>
      </w:r>
    </w:p>
    <w:p>
      <w:pPr>
        <w:pStyle w:val="TextBody"/>
        <w:spacing w:lineRule="auto" w:line="417" w:before="0" w:after="0"/>
        <w:rPr>
          <w:rFonts w:ascii="Roboto;sans-serif" w:hAnsi="Roboto;sans-serif"/>
          <w:b/>
          <w:color w:val="000000"/>
          <w:sz w:val="18"/>
          <w:u w:val="single"/>
        </w:rPr>
      </w:pPr>
      <w:r>
        <w:rPr>
          <w:rFonts w:ascii="Roboto;sans-serif" w:hAnsi="Roboto;sans-serif"/>
          <w:b/>
          <w:color w:val="000000"/>
          <w:sz w:val="18"/>
          <w:u w:val="single"/>
        </w:rPr>
        <w:t>NON-GAAP FINANCIAL MEASURES</w: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and Free Cash Flow should be considered along with other operating and financial performance measures presented in accordance with GAAP.</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pStyle w:val="TextBody"/>
        <w:spacing w:before="0" w:after="0"/>
        <w:rPr/>
      </w:pPr>
      <w:r>
        <w:rPr/>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transaction and integration costs, and other adjustments reflected in our reconciliation of historical Adjusted EBITDA, the amounts of which could be material.</w:t>
      </w:r>
    </w:p>
    <w:p>
      <w:pPr>
        <w:pStyle w:val="TextBody"/>
        <w:spacing w:before="0" w:after="0"/>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 xml:space="preserve">Adjusted EBITDA </w:t>
      </w:r>
    </w:p>
    <w:p>
      <w:pPr>
        <w:pStyle w:val="TextBody"/>
        <w:spacing w:lineRule="auto" w:line="288" w:before="0" w:after="240"/>
        <w:jc w:val="both"/>
        <w:rPr>
          <w:rFonts w:ascii="Roboto;sans-serif" w:hAnsi="Roboto;sans-serif"/>
          <w:b w:val="false"/>
          <w:color w:val="050505"/>
          <w:sz w:val="18"/>
          <w:highlight w:val="white"/>
        </w:rPr>
      </w:pPr>
      <w:r>
        <w:rPr>
          <w:rFonts w:ascii="Roboto;sans-serif" w:hAnsi="Roboto;sans-serif"/>
          <w:b w:val="false"/>
          <w:color w:val="050505"/>
          <w:sz w:val="18"/>
          <w:highlight w:val="white"/>
        </w:rPr>
        <w:t xml:space="preserve">We calculate Adjusted EBITDA as net (loss) income adjusted to exclude: other expense (income), net; income tax expense (benefit); depreciation and amortization expense; stock-based compensation expense; goodwill impairment; impairment expense; costs associated with product recall related matters; litigation and settlement expenses; transaction and integration costs; reorganization, severance, exit, disposal and other costs associated with restructuring plans; supplier settlements; and other adjustment items that arise outside the ordinary course of our business. </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substitutes for analysis of our financial results as reported under GAAP. Some of these limitations are, or may in the future be, as follows: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v:rect>
            </w:pict>
          </mc:Fallback>
        </mc:AlternateConten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transaction and integration costs related to acquisitions; </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for goodwill and fixed assets, and gains (losses) on disposals for fixed assets;</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the impact of purchase accounting adjustments to inventory related to the Precor acquisition;</w:t>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pStyle w:val="TextBody"/>
        <w:spacing w:lineRule="auto" w:line="288" w:before="0" w:after="60"/>
        <w:ind w:left="0" w:right="0" w:hanging="360"/>
        <w:jc w:val="both"/>
        <w:rPr/>
      </w:pPr>
      <w:r>
        <w:rPr>
          <w:color w:val="000000"/>
          <w:highlight w:val="white"/>
        </w:rPr>
        <w:t>•</w:t>
      </w:r>
      <w:r>
        <w:rPr>
          <w:rFonts w:ascii="Roboto;sans-serif" w:hAnsi="Roboto;sans-serif"/>
          <w:b w:val="false"/>
          <w:color w:val="000000"/>
          <w:sz w:val="18"/>
        </w:rPr>
        <w:t xml:space="preserve">Adjusted EBITDA does not reflect </w:t>
      </w:r>
      <w:r>
        <w:rPr>
          <w:rFonts w:ascii="Roboto;sans-serif" w:hAnsi="Roboto;sans-serif"/>
          <w:b w:val="false"/>
          <w:color w:val="050505"/>
          <w:sz w:val="18"/>
          <w:highlight w:val="white"/>
        </w:rPr>
        <w:t>reorganization, severance, exit, disposal and other costs associated with restructuring plans;</w:t>
      </w:r>
    </w:p>
    <w:p>
      <w:pPr>
        <w:pStyle w:val="TextBody"/>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non-recurring supplier settlements;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p>
      <w:pPr>
        <w:pStyle w:val="TextBody"/>
        <w:spacing w:before="0" w:after="0"/>
        <w:jc w:val="both"/>
        <w:rPr/>
      </w:pPr>
      <w:r>
        <w:rPr/>
      </w:r>
    </w:p>
    <w:p>
      <w:pPr>
        <w:pStyle w:val="TextBody"/>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tbl>
      <w:tblPr>
        <w:tblW w:w="10205" w:type="dxa"/>
        <w:jc w:val="left"/>
        <w:tblInd w:w="0" w:type="dxa"/>
        <w:tblCellMar>
          <w:top w:w="28" w:type="dxa"/>
          <w:left w:w="28" w:type="dxa"/>
          <w:bottom w:w="28" w:type="dxa"/>
          <w:right w:w="28" w:type="dxa"/>
        </w:tblCellMar>
      </w:tblPr>
      <w:tblGrid>
        <w:gridCol w:w="829"/>
        <w:gridCol w:w="321"/>
        <w:gridCol w:w="327"/>
        <w:gridCol w:w="228"/>
        <w:gridCol w:w="731"/>
        <w:gridCol w:w="110"/>
        <w:gridCol w:w="110"/>
        <w:gridCol w:w="110"/>
        <w:gridCol w:w="110"/>
        <w:gridCol w:w="228"/>
        <w:gridCol w:w="731"/>
        <w:gridCol w:w="110"/>
        <w:gridCol w:w="109"/>
        <w:gridCol w:w="109"/>
        <w:gridCol w:w="109"/>
        <w:gridCol w:w="226"/>
        <w:gridCol w:w="906"/>
        <w:gridCol w:w="109"/>
        <w:gridCol w:w="109"/>
        <w:gridCol w:w="109"/>
        <w:gridCol w:w="109"/>
        <w:gridCol w:w="226"/>
        <w:gridCol w:w="906"/>
        <w:gridCol w:w="109"/>
        <w:gridCol w:w="109"/>
        <w:gridCol w:w="109"/>
        <w:gridCol w:w="109"/>
        <w:gridCol w:w="250"/>
        <w:gridCol w:w="802"/>
        <w:gridCol w:w="121"/>
        <w:gridCol w:w="109"/>
        <w:gridCol w:w="109"/>
        <w:gridCol w:w="109"/>
        <w:gridCol w:w="226"/>
        <w:gridCol w:w="907"/>
        <w:gridCol w:w="164"/>
      </w:tblGrid>
      <w:tr>
        <w:trPr/>
        <w:tc>
          <w:tcPr>
            <w:tcW w:w="82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w:t>
            </w:r>
          </w:p>
        </w:tc>
      </w:tr>
      <w:tr>
        <w:trPr/>
        <w:tc>
          <w:tcPr>
            <w:tcW w:w="147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June 30, 2022</w:t>
            </w:r>
          </w:p>
        </w:tc>
      </w:tr>
      <w:tr>
        <w:trPr/>
        <w:tc>
          <w:tcPr>
            <w:tcW w:w="147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72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(275.9)</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(757.1)</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(1,255.3)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348.0 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(1)</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(2)</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adjustment items</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(194.0)</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 xml:space="preserve">(1) Represents adjustments and charges associated with product recall related matters, as well as accrual adjustments. These include an adjustment to Connected Fitness Products revenue for actual and estimated future returns of $(11.9) million and $14.6 million, recorded costs in Connected Fitness Products cost of revenue associated with recall related matters of $21.6 million and $24.1 million, and operating expenses of zero and $2.3 million associated with recall-related hardware development costs, in each case for the three and nine months ended March 31, 2023, respectively. For the three and nine months ended March 31, 2022, these also include a reduction to Connected Fitness Products revenue for actual and estimated future returns of $17.5 million and $36.3 million, recorded costs in Connected Fitness Products cost of revenue associated with inventory write-downs and logistic costs of $2.0 million and $7.6 million, and operating expenses of $2.0 million and $5.0 million associated with recall-related hardware development costs, respectively. For the three months ended December 31, 2022, these include a reduction to Connected Fitness Products revenue for actual and estimated future returns of zero, recorded costs in Connected Fitness Products cost of revenue associated with inventory write-downs and logistic costs of zero, and operating expenses of $2.3 million associated with recall-related hardware development costs. For the three months ended June 30, 2022, these include a reduction to Connected Fitness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v:rect>
            </w:pict>
          </mc:Fallback>
        </mc:AlternateConten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Products revenue for actual and estimated future returns of $12.5 million, recorded costs in Connected Fitness Products cost of revenue associated with inventory write-downs and logistic costs of $0.5 million, and operating expenses of $0.4 million associated with recall-related hardware development costs.</w:t>
      </w:r>
    </w:p>
    <w:p>
      <w:pPr>
        <w:pStyle w:val="TextBody"/>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Includes Dish settlement accrual of $75.0 million and other litigation-related expenses and settlements for certain non-recurring patent infringement litigation, securities litigation, and consumer arbitration for the three and nine months ended March 31, 2023. Includes litigation-related expenses for certain non-recurring patent infringement litigation and consumer arbitration for the three and nine months ended March 31, 2022. Includes litigation-related expenses and settlements for certain non-recurring patent infringement litigation, securities litigation, and consumer arbitration for the three months ended December 31, 2022 and June 30, 2022.</w:t>
      </w:r>
    </w:p>
    <w:p>
      <w:pPr>
        <w:pStyle w:val="TextBody"/>
        <w:spacing w:before="60" w:after="60"/>
        <w:jc w:val="both"/>
        <w:rPr/>
      </w:pPr>
      <w:r>
        <w:rPr/>
      </w:r>
    </w:p>
    <w:p>
      <w:pPr>
        <w:pStyle w:val="TextBody"/>
        <w:spacing w:lineRule="auto" w:line="417" w:before="60" w:after="6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spacing w:before="0" w:after="0"/>
        <w:jc w:val="both"/>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spacing w:before="0" w:after="0"/>
        <w:jc w:val="both"/>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to Subscription Gross Profit, the most directly comparable financial measure prepared in accordance with GAAP, for each of the periods indicated:</w:t>
      </w:r>
    </w:p>
    <w:tbl>
      <w:tblPr>
        <w:tblW w:w="10205" w:type="dxa"/>
        <w:jc w:val="left"/>
        <w:tblInd w:w="0" w:type="dxa"/>
        <w:tblCellMar>
          <w:top w:w="28" w:type="dxa"/>
          <w:left w:w="28" w:type="dxa"/>
          <w:bottom w:w="28" w:type="dxa"/>
          <w:right w:w="28" w:type="dxa"/>
        </w:tblCellMar>
      </w:tblPr>
      <w:tblGrid>
        <w:gridCol w:w="740"/>
        <w:gridCol w:w="554"/>
        <w:gridCol w:w="557"/>
        <w:gridCol w:w="235"/>
        <w:gridCol w:w="734"/>
        <w:gridCol w:w="281"/>
        <w:gridCol w:w="113"/>
        <w:gridCol w:w="113"/>
        <w:gridCol w:w="113"/>
        <w:gridCol w:w="235"/>
        <w:gridCol w:w="734"/>
        <w:gridCol w:w="281"/>
        <w:gridCol w:w="109"/>
        <w:gridCol w:w="109"/>
        <w:gridCol w:w="109"/>
        <w:gridCol w:w="227"/>
        <w:gridCol w:w="890"/>
        <w:gridCol w:w="272"/>
        <w:gridCol w:w="109"/>
        <w:gridCol w:w="109"/>
        <w:gridCol w:w="109"/>
        <w:gridCol w:w="227"/>
        <w:gridCol w:w="890"/>
        <w:gridCol w:w="272"/>
        <w:gridCol w:w="109"/>
        <w:gridCol w:w="109"/>
        <w:gridCol w:w="109"/>
        <w:gridCol w:w="316"/>
        <w:gridCol w:w="989"/>
        <w:gridCol w:w="451"/>
      </w:tblGrid>
      <w:tr>
        <w:trPr/>
        <w:tc>
          <w:tcPr>
            <w:tcW w:w="74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185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8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r>
      <w:tr>
        <w:trPr/>
        <w:tc>
          <w:tcPr>
            <w:tcW w:w="185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185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35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1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369.9 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1,248.3 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1,011.6 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411.3 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Less: Cost of Subscription </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409.8 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327.2 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838.5 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684.4 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277.9 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67.8 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67.7 </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1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898.0 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718.1 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296.6 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9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2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71.7 </w:t>
            </w:r>
          </w:p>
        </w:tc>
        <w:tc>
          <w:tcPr>
            <w:tcW w:w="2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71.0 </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72.1 </w:t>
            </w:r>
          </w:p>
        </w:tc>
        <w:tc>
          <w:tcPr>
            <w:tcW w:w="4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pStyle w:val="TextBody"/>
        <w:spacing w:before="0" w:after="0"/>
        <w:jc w:val="both"/>
        <w:rPr/>
      </w:pPr>
      <w:r>
        <w:rPr/>
      </w:r>
    </w:p>
    <w:p>
      <w:pPr>
        <w:pStyle w:val="TextBody"/>
        <w:spacing w:lineRule="auto" w:line="417" w:before="0" w:after="0"/>
        <w:jc w:val="both"/>
        <w:rPr>
          <w:rFonts w:ascii="Roboto;sans-serif" w:hAnsi="Roboto;sans-serif"/>
          <w:b/>
          <w:color w:val="000000"/>
          <w:sz w:val="18"/>
        </w:rPr>
      </w:pPr>
      <w:r>
        <w:rPr>
          <w:rFonts w:ascii="Roboto;sans-serif" w:hAnsi="Roboto;sans-serif"/>
          <w:b/>
          <w:color w:val="000000"/>
          <w:sz w:val="18"/>
        </w:rPr>
        <w:t>Free Cash Flow</w:t>
      </w:r>
    </w:p>
    <w:p>
      <w:pPr>
        <w:pStyle w:val="TextBody"/>
        <w:spacing w:lineRule="auto" w:line="288"/>
        <w:rPr>
          <w:rFonts w:ascii="Roboto;sans-serif" w:hAnsi="Roboto;sans-serif"/>
          <w:b w:val="false"/>
          <w:color w:val="000000"/>
          <w:sz w:val="18"/>
        </w:rPr>
      </w:pPr>
      <w:r>
        <w:rPr>
          <w:rFonts w:ascii="Roboto;sans-serif" w:hAnsi="Roboto;sans-serif"/>
          <w:b w:val="false"/>
          <w:color w:val="000000"/>
          <w:sz w:val="18"/>
        </w:rPr>
        <w:t xml:space="preserve">We define Free Cash Flow as Net cash (used in) provided by operating activities less capital expenditures and capitalized internal-use software development costs. Free cash flow reflects an additional way of viewing our liquidity that, we believe, when viewed with our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v:rect>
            </w:pict>
          </mc:Fallback>
        </mc:AlternateContent>
      </w:r>
    </w:p>
    <w:p>
      <w:pPr>
        <w:pStyle w:val="TextBody"/>
        <w:spacing w:lineRule="auto" w:line="288" w:before="0" w:after="0"/>
        <w:rPr>
          <w:rFonts w:ascii="Roboto;sans-serif" w:hAnsi="Roboto;sans-serif"/>
          <w:b w:val="false"/>
          <w:color w:val="000000"/>
          <w:sz w:val="18"/>
        </w:rPr>
      </w:pPr>
      <w:r>
        <w:rPr>
          <w:rFonts w:ascii="Roboto;sans-serif" w:hAnsi="Roboto;sans-serif"/>
          <w:b w:val="false"/>
          <w:color w:val="000000"/>
          <w:sz w:val="18"/>
        </w:rPr>
        <w:t>GAAP results, provides management, investors and other users of our financial information with a more complete understanding of factors and trends affecting our cash flows.</w:t>
      </w:r>
    </w:p>
    <w:p>
      <w:pPr>
        <w:pStyle w:val="TextBody"/>
        <w:spacing w:before="0" w:after="0"/>
        <w:rPr/>
      </w:pPr>
      <w:r>
        <w:rPr/>
      </w:r>
    </w:p>
    <w:p>
      <w:pPr>
        <w:pStyle w:val="TextBody"/>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pStyle w:val="TextBody"/>
        <w:spacing w:before="0" w:after="0"/>
        <w:rPr/>
      </w:pPr>
      <w:r>
        <w:rPr/>
      </w:r>
    </w:p>
    <w:p>
      <w:pPr>
        <w:pStyle w:val="TextBody"/>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used in operating activities, the most directly comparable financial measure prepared in accordance with GAAP, for each of the periods indicated:</w:t>
      </w:r>
    </w:p>
    <w:tbl>
      <w:tblPr>
        <w:tblW w:w="10205" w:type="dxa"/>
        <w:jc w:val="left"/>
        <w:tblInd w:w="0" w:type="dxa"/>
        <w:tblCellMar>
          <w:top w:w="28" w:type="dxa"/>
          <w:left w:w="28" w:type="dxa"/>
          <w:bottom w:w="28" w:type="dxa"/>
          <w:right w:w="28" w:type="dxa"/>
        </w:tblCellMar>
      </w:tblPr>
      <w:tblGrid>
        <w:gridCol w:w="1083"/>
        <w:gridCol w:w="733"/>
        <w:gridCol w:w="738"/>
        <w:gridCol w:w="241"/>
        <w:gridCol w:w="665"/>
        <w:gridCol w:w="116"/>
        <w:gridCol w:w="116"/>
        <w:gridCol w:w="116"/>
        <w:gridCol w:w="116"/>
        <w:gridCol w:w="241"/>
        <w:gridCol w:w="793"/>
        <w:gridCol w:w="116"/>
        <w:gridCol w:w="109"/>
        <w:gridCol w:w="109"/>
        <w:gridCol w:w="109"/>
        <w:gridCol w:w="232"/>
        <w:gridCol w:w="761"/>
        <w:gridCol w:w="112"/>
        <w:gridCol w:w="112"/>
        <w:gridCol w:w="112"/>
        <w:gridCol w:w="112"/>
        <w:gridCol w:w="232"/>
        <w:gridCol w:w="946"/>
        <w:gridCol w:w="112"/>
        <w:gridCol w:w="109"/>
        <w:gridCol w:w="109"/>
        <w:gridCol w:w="109"/>
        <w:gridCol w:w="398"/>
        <w:gridCol w:w="1061"/>
        <w:gridCol w:w="287"/>
      </w:tblGrid>
      <w:tr>
        <w:trPr/>
        <w:tc>
          <w:tcPr>
            <w:tcW w:w="108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December 31,</w:t>
            </w:r>
          </w:p>
        </w:tc>
      </w:tr>
      <w:tr>
        <w:trPr/>
        <w:tc>
          <w:tcPr>
            <w:tcW w:w="2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2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8"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(1,677.8)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(746.7)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(396.0)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(1,945.5)</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ind w:left="0" w:right="0" w:firstLine="720"/>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wps:spPr>
                      <wps:txb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Roboto">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7421</Words>
  <CharactersWithSpaces>48937</CharactersWithSpaces>
  <Paragraphs>1126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