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5818.xml.htm"/>
      <w:bookmarkStart w:id="1" w:name="kswkform4_17792258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Caldwell Nick V.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9TH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119,331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1,000,287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5.29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936,095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119,331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119,331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119,332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cover the Reporting Person's tax liability with respect to the settlement of RSUs that vested on May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as to 12.50% of the total shares quarterly, commencing November 15, 2024, with 100% of the total shares vested on August 15, 2026,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Nick V. Caldwell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8934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689</Words>
  <Characters>3667</Characters>
  <CharactersWithSpaces>4276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