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19050</wp:posOffset>
            </wp:positionV>
            <wp:extent cx="7047230" cy="4618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RENDICH ANDREW S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PELOTON INTERACTIVE, INC.</w:t>
            </w:r>
          </w:p>
        </w:tc>
      </w:tr>
      <w:tr>
        <w:trPr>
          <w:trHeight w:val="255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441 NINTH AVENUE, SIXTH FLOOR</w:t>
            </w:r>
          </w:p>
        </w:tc>
      </w:tr>
      <w:tr>
        <w:trPr>
          <w:trHeight w:val="423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10001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PELOTON INTERACTIVE,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PTON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Supply Chain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720,000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represents a contingent right to receive one share of the Issuer's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44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vest as to 6.25% of the total shares quarterly, commencing November 15, 2023, with 100% of the total shares vested on August 15, 2027, subject to the reporting person's provision of service to the issuer on each vesting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Bart Goldstein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in-fact for Andrew S. Rendich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810" TargetMode="External"/><Relationship Id="rId13" Type="http://schemas.openxmlformats.org/officeDocument/2006/relationships/hyperlink" Target="http://www.sec.gov/cgi-bin/browse-edgar?action=getcompany&amp;CIK=00016398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2023-09-06T15:34:04Z</dcterms:created>
  <dcterms:modified xsi:type="dcterms:W3CDTF">2023-09-06T15:34:04Z</dcterms:modified>
</cp:coreProperties>
</file>