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38404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3840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40480" cy="8255"/>
                    </a:xfrm>
                    <a:prstGeom prst="rect">
                      <a:avLst/>
                    </a:prstGeom>
                    <a:noFill/>
                  </pic:spPr>
                </pic:pic>
              </a:graphicData>
            </a:graphic>
          </wp:anchor>
        </w:drawing>
        <w:t>UNITED STATES</w:t>
      </w: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40" w:hanging="377"/>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51" w:lineRule="exact"/>
        <w:rPr>
          <w:sz w:val="24"/>
          <w:szCs w:val="24"/>
          <w:color w:val="auto"/>
        </w:rPr>
      </w:pPr>
    </w:p>
    <w:p>
      <w:pPr>
        <w:ind w:left="540" w:hanging="377"/>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001-39058</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Peloton Interactive, Inc.</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37465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88" w:lineRule="exact"/>
        <w:rPr>
          <w:sz w:val="24"/>
          <w:szCs w:val="24"/>
          <w:color w:val="auto"/>
        </w:rPr>
      </w:pPr>
    </w:p>
    <w:tbl>
      <w:tblPr>
        <w:tblLayout w:type="fixed"/>
        <w:tblInd w:w="1120" w:type="dxa"/>
        <w:tblCellMar>
          <w:top w:w="0" w:type="dxa"/>
          <w:left w:w="0" w:type="dxa"/>
          <w:bottom w:w="0" w:type="dxa"/>
          <w:right w:w="0" w:type="dxa"/>
        </w:tblCellMar>
      </w:tblPr>
      <w:tr>
        <w:trPr>
          <w:trHeight w:val="247"/>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rPr>
              <w:t>Delaware</w:t>
            </w:r>
          </w:p>
        </w:tc>
        <w:tc>
          <w:tcPr>
            <w:tcW w:w="560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r>
      <w:tr>
        <w:trPr>
          <w:trHeight w:val="183"/>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(State or other jurisdiction of</w:t>
            </w:r>
          </w:p>
        </w:tc>
        <w:tc>
          <w:tcPr>
            <w:tcW w:w="5600" w:type="dxa"/>
            <w:vAlign w:val="bottom"/>
          </w:tcPr>
          <w:p>
            <w:pPr>
              <w:jc w:val="center"/>
              <w:ind w:left="4380"/>
              <w:spacing w:after="0"/>
              <w:rPr>
                <w:sz w:val="20"/>
                <w:szCs w:val="20"/>
                <w:color w:val="auto"/>
              </w:rPr>
            </w:pPr>
            <w:r>
              <w:rPr>
                <w:rFonts w:ascii="Arial" w:cs="Arial" w:eastAsia="Arial" w:hAnsi="Arial"/>
                <w:sz w:val="14"/>
                <w:szCs w:val="14"/>
                <w:i w:val="1"/>
                <w:iCs w:val="1"/>
                <w:color w:val="auto"/>
              </w:rPr>
              <w:t>(I.R.S. Employer</w:t>
            </w:r>
          </w:p>
        </w:tc>
      </w:tr>
      <w:tr>
        <w:trPr>
          <w:trHeight w:val="188"/>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incorporation or organization)</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Identification No.)</w:t>
            </w:r>
          </w:p>
        </w:tc>
      </w:tr>
      <w:tr>
        <w:trPr>
          <w:trHeight w:val="246"/>
        </w:trPr>
        <w:tc>
          <w:tcPr>
            <w:tcW w:w="2680" w:type="dxa"/>
            <w:vAlign w:val="bottom"/>
          </w:tcPr>
          <w:p>
            <w:pPr>
              <w:jc w:val="center"/>
              <w:ind w:right="59"/>
              <w:spacing w:after="0"/>
              <w:rPr>
                <w:sz w:val="20"/>
                <w:szCs w:val="20"/>
                <w:color w:val="auto"/>
              </w:rPr>
            </w:pPr>
            <w:r>
              <w:rPr>
                <w:rFonts w:ascii="Arial" w:cs="Arial" w:eastAsia="Arial" w:hAnsi="Arial"/>
                <w:sz w:val="18"/>
                <w:szCs w:val="18"/>
                <w:b w:val="1"/>
                <w:bCs w:val="1"/>
                <w:color w:val="auto"/>
                <w:w w:val="99"/>
              </w:rPr>
              <w:t>441 Ninth Avenue, Sixth Floor</w:t>
            </w:r>
          </w:p>
        </w:tc>
        <w:tc>
          <w:tcPr>
            <w:tcW w:w="5600" w:type="dxa"/>
            <w:vAlign w:val="bottom"/>
          </w:tcPr>
          <w:p>
            <w:pPr>
              <w:jc w:val="right"/>
              <w:ind w:right="240"/>
              <w:spacing w:after="0"/>
              <w:rPr>
                <w:sz w:val="20"/>
                <w:szCs w:val="20"/>
                <w:color w:val="auto"/>
              </w:rPr>
            </w:pPr>
            <w:r>
              <w:rPr>
                <w:rFonts w:ascii="Arial" w:cs="Arial" w:eastAsia="Arial" w:hAnsi="Arial"/>
                <w:sz w:val="18"/>
                <w:szCs w:val="18"/>
                <w:b w:val="1"/>
                <w:bCs w:val="1"/>
                <w:color w:val="auto"/>
              </w:rPr>
              <w:t>10001</w:t>
            </w:r>
          </w:p>
        </w:tc>
      </w:tr>
      <w:tr>
        <w:trPr>
          <w:trHeight w:val="241"/>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w w:val="98"/>
              </w:rPr>
              <w:t>New York, New York</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(Zip Code)</w:t>
            </w:r>
          </w:p>
        </w:tc>
      </w:tr>
      <w:tr>
        <w:trPr>
          <w:trHeight w:val="188"/>
        </w:trPr>
        <w:tc>
          <w:tcPr>
            <w:tcW w:w="2680" w:type="dxa"/>
            <w:vAlign w:val="bottom"/>
          </w:tcPr>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tc>
        <w:tc>
          <w:tcPr>
            <w:tcW w:w="5600" w:type="dxa"/>
            <w:vAlign w:val="bottom"/>
          </w:tcPr>
          <w:p>
            <w:pPr>
              <w:spacing w:after="0"/>
              <w:rPr>
                <w:sz w:val="16"/>
                <w:szCs w:val="16"/>
                <w:color w:val="auto"/>
              </w:rPr>
            </w:pPr>
          </w:p>
        </w:tc>
      </w:tr>
      <w:tr>
        <w:trPr>
          <w:trHeight w:val="190"/>
        </w:trPr>
        <w:tc>
          <w:tcPr>
            <w:tcW w:w="2680" w:type="dxa"/>
            <w:vAlign w:val="bottom"/>
          </w:tcPr>
          <w:p>
            <w:pPr>
              <w:spacing w:after="0"/>
              <w:rPr>
                <w:sz w:val="16"/>
                <w:szCs w:val="16"/>
                <w:color w:val="auto"/>
              </w:rPr>
            </w:pPr>
          </w:p>
        </w:tc>
        <w:tc>
          <w:tcPr>
            <w:tcW w:w="5600" w:type="dxa"/>
            <w:vAlign w:val="bottom"/>
          </w:tcPr>
          <w:p>
            <w:pPr>
              <w:jc w:val="right"/>
              <w:ind w:right="3080"/>
              <w:spacing w:after="0" w:line="190" w:lineRule="exact"/>
              <w:rPr>
                <w:sz w:val="20"/>
                <w:szCs w:val="20"/>
                <w:color w:val="auto"/>
              </w:rPr>
            </w:pPr>
            <w:r>
              <w:rPr>
                <w:rFonts w:ascii="Arial" w:cs="Arial" w:eastAsia="Arial" w:hAnsi="Arial"/>
                <w:sz w:val="18"/>
                <w:szCs w:val="18"/>
                <w:b w:val="1"/>
                <w:bCs w:val="1"/>
                <w:color w:val="auto"/>
              </w:rPr>
              <w:t>(917) 671-9198</w:t>
            </w:r>
          </w:p>
        </w:tc>
      </w:tr>
      <w:tr>
        <w:trPr>
          <w:trHeight w:val="188"/>
        </w:trPr>
        <w:tc>
          <w:tcPr>
            <w:tcW w:w="2680" w:type="dxa"/>
            <w:vAlign w:val="bottom"/>
          </w:tcPr>
          <w:p>
            <w:pPr>
              <w:spacing w:after="0"/>
              <w:rPr>
                <w:sz w:val="16"/>
                <w:szCs w:val="16"/>
                <w:color w:val="auto"/>
              </w:rPr>
            </w:pPr>
          </w:p>
        </w:tc>
        <w:tc>
          <w:tcPr>
            <w:tcW w:w="5600" w:type="dxa"/>
            <w:vAlign w:val="bottom"/>
          </w:tcPr>
          <w:p>
            <w:pPr>
              <w:jc w:val="center"/>
              <w:ind w:right="1860"/>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jc w:val="center"/>
        <w:ind w:right="-59"/>
        <w:spacing w:after="0" w:line="233" w:lineRule="auto"/>
        <w:rPr>
          <w:sz w:val="20"/>
          <w:szCs w:val="20"/>
          <w:color w:val="auto"/>
        </w:rPr>
      </w:pPr>
      <w:r>
        <w:rPr>
          <w:rFonts w:ascii="Arial" w:cs="Arial" w:eastAsia="Arial" w:hAnsi="Arial"/>
          <w:sz w:val="18"/>
          <w:szCs w:val="18"/>
          <w:color w:val="auto"/>
        </w:rPr>
        <w:t>Not Applicable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48895</wp:posOffset>
            </wp:positionV>
            <wp:extent cx="1045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37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 w:lineRule="exact"/>
        <w:rPr>
          <w:sz w:val="24"/>
          <w:szCs w:val="24"/>
          <w:color w:val="auto"/>
        </w:rPr>
      </w:pPr>
    </w:p>
    <w:tbl>
      <w:tblPr>
        <w:tblLayout w:type="fixed"/>
        <w:tblInd w:w="650" w:type="dxa"/>
        <w:tblCellMar>
          <w:top w:w="0" w:type="dxa"/>
          <w:left w:w="0" w:type="dxa"/>
          <w:bottom w:w="0" w:type="dxa"/>
          <w:right w:w="0" w:type="dxa"/>
        </w:tblCellMar>
      </w:tblPr>
      <w:tr>
        <w:trPr>
          <w:trHeight w:val="290"/>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4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Class A common stock, $0.000025 par</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PTON</w:t>
            </w: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53"/>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20" w:type="dxa"/>
            <w:vAlign w:val="bottom"/>
            <w:tcBorders>
              <w:right w:val="single" w:sz="8" w:color="auto"/>
            </w:tcBorders>
            <w:vMerge w:val="continue"/>
          </w:tcPr>
          <w:p>
            <w:pPr>
              <w:spacing w:after="0"/>
              <w:rPr>
                <w:sz w:val="13"/>
                <w:szCs w:val="13"/>
                <w:color w:val="auto"/>
              </w:rPr>
            </w:pPr>
          </w:p>
        </w:tc>
        <w:tc>
          <w:tcPr>
            <w:tcW w:w="4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4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4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line="21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87" w:lineRule="exact"/>
        <w:rPr>
          <w:sz w:val="24"/>
          <w:szCs w:val="24"/>
          <w:color w:val="auto"/>
        </w:rPr>
      </w:pPr>
    </w:p>
    <w:p>
      <w:pPr>
        <w:ind w:right="200"/>
        <w:spacing w:after="0" w:line="21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87" w:lineRule="exact"/>
        <w:rPr>
          <w:sz w:val="24"/>
          <w:szCs w:val="24"/>
          <w:color w:val="auto"/>
        </w:rPr>
      </w:pPr>
    </w:p>
    <w:p>
      <w:pPr>
        <w:ind w:right="280"/>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1680" w:type="dxa"/>
        <w:tblCellMar>
          <w:top w:w="0" w:type="dxa"/>
          <w:left w:w="0" w:type="dxa"/>
          <w:bottom w:w="0" w:type="dxa"/>
          <w:right w:w="0" w:type="dxa"/>
        </w:tblCellMar>
      </w:tblPr>
      <w:tr>
        <w:trPr>
          <w:trHeight w:val="256"/>
        </w:trPr>
        <w:tc>
          <w:tcPr>
            <w:tcW w:w="2200" w:type="dxa"/>
            <w:vAlign w:val="bottom"/>
          </w:tcPr>
          <w:p>
            <w:pPr>
              <w:jc w:val="center"/>
              <w:ind w:right="330"/>
              <w:spacing w:after="0"/>
              <w:rPr>
                <w:sz w:val="20"/>
                <w:szCs w:val="20"/>
                <w:color w:val="auto"/>
              </w:rPr>
            </w:pPr>
            <w:r>
              <w:rPr>
                <w:rFonts w:ascii="Arial" w:cs="Arial" w:eastAsia="Arial" w:hAnsi="Arial"/>
                <w:sz w:val="18"/>
                <w:szCs w:val="18"/>
                <w:color w:val="auto"/>
                <w:w w:val="99"/>
              </w:rPr>
              <w:t>Large 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200" w:type="dxa"/>
            <w:vAlign w:val="bottom"/>
          </w:tcPr>
          <w:p>
            <w:pPr>
              <w:jc w:val="center"/>
              <w:ind w:right="370"/>
              <w:spacing w:after="0"/>
              <w:rPr>
                <w:sz w:val="20"/>
                <w:szCs w:val="20"/>
                <w:color w:val="auto"/>
              </w:rPr>
            </w:pPr>
            <w:r>
              <w:rPr>
                <w:rFonts w:ascii="Arial" w:cs="Arial" w:eastAsia="Arial" w:hAnsi="Arial"/>
                <w:sz w:val="18"/>
                <w:szCs w:val="18"/>
                <w:color w:val="auto"/>
                <w:w w:val="99"/>
              </w:rPr>
              <w:t>Non-accelerated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4"/>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326" w:lineRule="exact"/>
        <w:rPr>
          <w:sz w:val="24"/>
          <w:szCs w:val="24"/>
          <w:color w:val="auto"/>
        </w:rPr>
      </w:pPr>
    </w:p>
    <w:p>
      <w:pPr>
        <w:ind w:right="140"/>
        <w:spacing w:after="0" w:line="22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36" w:lineRule="exact"/>
        <w:rPr>
          <w:sz w:val="24"/>
          <w:szCs w:val="24"/>
          <w:color w:val="auto"/>
        </w:rPr>
      </w:pPr>
    </w:p>
    <w:p>
      <w:pPr>
        <w:spacing w:after="0" w:line="207" w:lineRule="exact"/>
        <w:tabs>
          <w:tab w:leader="none" w:pos="9220" w:val="left"/>
          <w:tab w:leader="none" w:pos="100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highlight w:val="black"/>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1" w:name="page2"/>
    <w:bookmarkEnd w:id="1"/>
    <w:p>
      <w:pPr>
        <w:ind w:right="60"/>
        <w:spacing w:after="0"/>
        <w:rPr>
          <w:sz w:val="20"/>
          <w:szCs w:val="20"/>
          <w:color w:val="auto"/>
        </w:rPr>
      </w:pPr>
      <w:r>
        <w:rPr>
          <w:rFonts w:ascii="Arial" w:cs="Arial" w:eastAsia="Arial" w:hAnsi="Arial"/>
          <w:sz w:val="18"/>
          <w:szCs w:val="18"/>
          <w:color w:val="auto"/>
        </w:rPr>
        <w:t>As of April 29, 2022, the number of shares of the registrant’s Class A common stock outstanding was 307,255,442 and the number of shares of the registrant’s Class B common stock outstanding was 30,101,340.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Special Note Regarding Forward Looking Statements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Part I. Financial Information</w:t>
      </w:r>
    </w:p>
    <w:p>
      <w:pPr>
        <w:spacing w:after="0" w:line="39"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1.</w:t>
      </w:r>
      <w:r>
        <w:rPr>
          <w:sz w:val="20"/>
          <w:szCs w:val="20"/>
          <w:color w:val="auto"/>
        </w:rPr>
        <w:tab/>
      </w:r>
      <w:r>
        <w:rPr>
          <w:rFonts w:ascii="Arial" w:cs="Arial" w:eastAsia="Arial" w:hAnsi="Arial"/>
          <w:sz w:val="16"/>
          <w:szCs w:val="16"/>
          <w:u w:val="single" w:color="auto"/>
          <w:color w:val="0000FF"/>
        </w:rPr>
        <w:t>Financial Statements</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Condensed Consolidated Balance Sheets as of March 31, 2022 and June 30, 2021 (unaudited)</w:t>
      </w:r>
    </w:p>
    <w:p>
      <w:pPr>
        <w:spacing w:after="0" w:line="32" w:lineRule="exact"/>
        <w:rPr>
          <w:sz w:val="20"/>
          <w:szCs w:val="20"/>
          <w:color w:val="auto"/>
        </w:rPr>
      </w:pPr>
    </w:p>
    <w:p>
      <w:pPr>
        <w:ind w:left="880"/>
        <w:spacing w:after="0" w:line="246" w:lineRule="auto"/>
        <w:rPr>
          <w:sz w:val="20"/>
          <w:szCs w:val="20"/>
          <w:color w:val="auto"/>
        </w:rPr>
      </w:pPr>
      <w:r>
        <w:rPr>
          <w:rFonts w:ascii="Arial" w:cs="Arial" w:eastAsia="Arial" w:hAnsi="Arial"/>
          <w:sz w:val="16"/>
          <w:szCs w:val="16"/>
          <w:u w:val="single" w:color="auto"/>
          <w:color w:val="0000FF"/>
        </w:rPr>
        <w:t>Condensed Consolidated Statements of Operations and Comprehensive (Loss) Income for the Three and Nine Months Ended March 31, 2022 and 2021 (unaudited)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Condensed Consolidated Statements of Cash Flows for the Nine Months Ended March 31, 2022 and 2021 (unaudited)</w:t>
      </w:r>
    </w:p>
    <w:p>
      <w:pPr>
        <w:spacing w:after="0" w:line="32" w:lineRule="exact"/>
        <w:rPr>
          <w:sz w:val="20"/>
          <w:szCs w:val="20"/>
          <w:color w:val="auto"/>
        </w:rPr>
      </w:pPr>
    </w:p>
    <w:p>
      <w:pPr>
        <w:ind w:left="880"/>
        <w:spacing w:after="0" w:line="246" w:lineRule="auto"/>
        <w:rPr>
          <w:sz w:val="20"/>
          <w:szCs w:val="20"/>
          <w:color w:val="auto"/>
        </w:rPr>
      </w:pPr>
      <w:r>
        <w:rPr>
          <w:rFonts w:ascii="Arial" w:cs="Arial" w:eastAsia="Arial" w:hAnsi="Arial"/>
          <w:sz w:val="16"/>
          <w:szCs w:val="16"/>
          <w:u w:val="single" w:color="auto"/>
          <w:color w:val="0000FF"/>
        </w:rPr>
        <w:t>Condensed Consolidated Statements of Stockholders’ Equity for the Three and Nine Months Ended March 31, 2022 and 2021 (unaudited)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Notes to Condensed Consolidated Financial Statements (unaudited)</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2.</w:t>
      </w:r>
      <w:r>
        <w:rPr>
          <w:sz w:val="20"/>
          <w:szCs w:val="20"/>
          <w:color w:val="auto"/>
        </w:rPr>
        <w:tab/>
      </w:r>
      <w:r>
        <w:rPr>
          <w:rFonts w:ascii="Arial" w:cs="Arial" w:eastAsia="Arial" w:hAnsi="Arial"/>
          <w:sz w:val="16"/>
          <w:szCs w:val="16"/>
          <w:u w:val="single" w:color="auto"/>
          <w:color w:val="0000FF"/>
        </w:rPr>
        <w:t>Management’s Discussion and Analysis of Financial Condition and Results of Operations</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302"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3</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4</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4</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5</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5</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8</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26</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41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42</w:t>
      </w:r>
    </w:p>
    <w:p>
      <w:pPr>
        <w:spacing w:after="0" w:line="510" w:lineRule="exact"/>
        <w:rPr>
          <w:sz w:val="20"/>
          <w:szCs w:val="20"/>
          <w:color w:val="auto"/>
        </w:rPr>
      </w:pPr>
    </w:p>
    <w:p>
      <w:pPr>
        <w:sectPr>
          <w:pgSz w:w="11900" w:h="16838" w:orient="portrait"/>
          <w:cols w:equalWidth="0" w:num="2">
            <w:col w:w="9900" w:space="680"/>
            <w:col w:w="660"/>
          </w:cols>
          <w:pgMar w:left="320" w:top="1079"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Legal Proceedings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44</w:t>
            </w:r>
          </w:p>
        </w:tc>
        <w:tc>
          <w:tcPr>
            <w:tcW w:w="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1A.</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Risk Factors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44</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140" w:type="dxa"/>
            <w:vAlign w:val="bottom"/>
          </w:tcPr>
          <w:p>
            <w:pPr>
              <w:spacing w:after="0"/>
              <w:rPr>
                <w:sz w:val="17"/>
                <w:szCs w:val="17"/>
                <w:color w:val="auto"/>
              </w:rPr>
            </w:pP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Unregistered Sales of Equity Securities and Use of Proceeds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45</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Defaults Upon Senior Securities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45</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4.</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Mine Safety Disclosures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45</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8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Other Information</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45</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560" w:type="dxa"/>
            <w:vAlign w:val="bottom"/>
            <w:gridSpan w:val="5"/>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6.</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Exhibits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46</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60" w:type="dxa"/>
            <w:vAlign w:val="bottom"/>
            <w:gridSpan w:val="7"/>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680" w:type="dxa"/>
            <w:vAlign w:val="bottom"/>
            <w:gridSpan w:val="13"/>
          </w:tcPr>
          <w:p>
            <w:pPr>
              <w:spacing w:after="0"/>
              <w:rPr>
                <w:sz w:val="20"/>
                <w:szCs w:val="20"/>
                <w:color w:val="auto"/>
              </w:rPr>
            </w:pPr>
            <w:r>
              <w:rPr>
                <w:rFonts w:ascii="Arial" w:cs="Arial" w:eastAsia="Arial" w:hAnsi="Arial"/>
                <w:sz w:val="16"/>
                <w:szCs w:val="16"/>
                <w:color w:val="0000FF"/>
              </w:rPr>
              <w:t>SIGNATURES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47</w:t>
            </w:r>
          </w:p>
        </w:tc>
        <w:tc>
          <w:tcPr>
            <w:tcW w:w="360" w:type="dxa"/>
            <w:vAlign w:val="bottom"/>
          </w:tcPr>
          <w:p>
            <w:pPr>
              <w:spacing w:after="0"/>
              <w:rPr>
                <w:sz w:val="24"/>
                <w:szCs w:val="24"/>
                <w:color w:val="auto"/>
              </w:rPr>
            </w:pPr>
          </w:p>
        </w:tc>
      </w:tr>
      <w:tr>
        <w:trPr>
          <w:trHeight w:val="959"/>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57"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without limitation, statements regarding our execution of and the expected benefits from our restructuring initiative and cost saving measures,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6"/>
          <w:szCs w:val="16"/>
          <w:color w:val="auto"/>
        </w:rPr>
        <w:t>our ability to achieve and maintain future profitability;</w:t>
      </w:r>
    </w:p>
    <w:p>
      <w:pPr>
        <w:spacing w:after="0" w:line="230"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maintain Subscribers;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effectively manage our growth over time;</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accurately forecast consumer demand of our products and services and adequately maintain our inventory;</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and achieve the benefits of our recent restructuring initiative and other cost saving measures;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anticipate consumer preferences and successfully develop and introduce new products and services;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demand for our products and services and growth of the connected fitness products industry;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anticipate appropriate pricing levels for our Connected Fitness Products and subscriptions;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predict our long-term performance and declines in our revenue growth as our business matures;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direct and indirect impacts to our business and financial performance from the COVID-19 pandemic;</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and our ability to partner with third parties such as music licensors, service providers, and suppliers;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declines in sales of our Bike and Bike+;</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and lack of control over third-party suppliers, contract manufacturers and logistics partners for our Connected Fitness Products;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third-party licenses for use of music in our content;</w:t>
      </w:r>
    </w:p>
    <w:p>
      <w:pPr>
        <w:spacing w:after="0" w:line="248"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actual or perceived defects in, or safety of, our products, including any impact of product recalls or legal or regulatory claims, proceedings or investigations involving our products;</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2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stay in compliance with laws and regulations that currently apply or become applicable to our business both in the United States and internationally; and</w:t>
      </w:r>
    </w:p>
    <w:p>
      <w:pPr>
        <w:spacing w:after="0" w:line="182" w:lineRule="exact"/>
        <w:rPr>
          <w:rFonts w:ascii="Arial" w:cs="Arial" w:eastAsia="Arial" w:hAnsi="Arial"/>
          <w:sz w:val="16"/>
          <w:szCs w:val="16"/>
          <w:color w:val="auto"/>
        </w:rPr>
      </w:pPr>
    </w:p>
    <w:p>
      <w:pPr>
        <w:ind w:left="660" w:right="220" w:hanging="328"/>
        <w:spacing w:after="0" w:line="26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those risks and uncertainties described in the sections titled “Management’s Discussion and Analysis of Financial Condition and Results of Operations” in Part I, Item 2 and “Risk Factors” in Part II, Item 1A of this Quarterly Report on Form 10-Q, the section titled “Management’s Discussion and Analysis of Financial Condition and Results of Operations” in Part II, Item 7 in our Annual Report on Form 10-K for the fiscal year ended June 30, 2021 and the section titled “Risk Factors” in Part II, Item 1A in our Quarterly Report on Form 10-Q for the quarterly period ended December 31, 2021 (the “Fiscal Q2 10-Q”), as such factors may be updated in our filings with the Securities and Exchange Commission (the “SEC”).</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sectPr>
          <w:pgSz w:w="11900" w:h="16838" w:orient="portrait"/>
          <w:cols w:equalWidth="0" w:num="1">
            <w:col w:w="11240"/>
          </w:cols>
          <w:pgMar w:left="320" w:top="607" w:right="339" w:bottom="0" w:gutter="0" w:footer="0" w:header="0"/>
        </w:sectPr>
      </w:pPr>
    </w:p>
    <w:bookmarkStart w:id="3" w:name="page4"/>
    <w:bookmarkEnd w:id="3"/>
    <w:p>
      <w:pPr>
        <w:jc w:val="both"/>
        <w:spacing w:after="0" w:line="265" w:lineRule="auto"/>
        <w:rPr>
          <w:sz w:val="20"/>
          <w:szCs w:val="20"/>
          <w:color w:val="auto"/>
        </w:rPr>
      </w:pPr>
      <w:r>
        <w:rPr>
          <w:rFonts w:ascii="Arial" w:cs="Arial" w:eastAsia="Arial" w:hAnsi="Arial"/>
          <w:sz w:val="16"/>
          <w:szCs w:val="16"/>
          <w:color w:val="auto"/>
        </w:rPr>
        <w:t>Our reports filed with or furnished to the SEC pursuant to Sections 13(a) and 15(d) of the Exchange Act are available, free of charge, on our Investor Relations website at https://investor.onepeloton.com as soon as reasonably practicable after we electronically file such material with, or furnish it to, the SEC. We use our Investor Relations website as a means of disclosing material information. Accordingly, investors should monitor our Investor Relations website, in addition to following our press releases, SEC filings, and public conference calls and webcasts.</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this Quarterly Report on Form 10-Q, the words “we,” “us,” “our,” and "Peloton" refer to Peloton Interactive, Inc. and its wholly owned subsidiaries, unless the context requires otherwise.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8"/>
                <w:szCs w:val="18"/>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center"/>
              <w:ind w:right="17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1,134.8</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472.0</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937.1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591.9</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net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580.1</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4,485.6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716.8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989.1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deposits and deferred revenue</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net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829.8</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736.0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620.4</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2,731.5</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60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Common stock, $0.000025 par value; 2,500,000,000 and 2,500,000,000 Class A shares authorized,</w:t>
            </w: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307,006,294 and 270,855,356 shares issued and outstanding as of March 31, 2022 and June 30,</w:t>
            </w: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2021, respectively; 2,500,000,000 and 2,500,000,000 Class B shares authorized, 30,103,216 and</w:t>
            </w:r>
          </w:p>
        </w:tc>
        <w:tc>
          <w:tcPr>
            <w:tcW w:w="28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29,291,774 shares issued and outstanding as of March 31, 2022 and June 30, 2021, respectively.</w:t>
            </w:r>
          </w:p>
        </w:tc>
        <w:tc>
          <w:tcPr>
            <w:tcW w:w="28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4,197.9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2,618.9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1,754.1</w:t>
            </w:r>
          </w:p>
        </w:tc>
        <w:tc>
          <w:tcPr>
            <w:tcW w:w="0" w:type="dxa"/>
            <w:vAlign w:val="bottom"/>
          </w:tcPr>
          <w:p>
            <w:pPr>
              <w:spacing w:after="0"/>
              <w:rPr>
                <w:sz w:val="1"/>
                <w:szCs w:val="1"/>
                <w:color w:val="auto"/>
              </w:rPr>
            </w:pPr>
          </w:p>
        </w:tc>
      </w:tr>
      <w:tr>
        <w:trPr>
          <w:trHeight w:val="210"/>
        </w:trPr>
        <w:tc>
          <w:tcPr>
            <w:tcW w:w="7600" w:type="dxa"/>
            <w:vAlign w:val="bottom"/>
          </w:tcPr>
          <w:p>
            <w:pPr>
              <w:ind w:left="6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4,485.6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7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594.4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1,891.9</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2,494.4</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590.6</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3,085.0</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1,848.1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1,659.5</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 of revenue</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1,886.6</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1,198.4</w:t>
            </w: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500.3</w:t>
            </w: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430.3</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Goodwill impairment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expense and loss on disposals on long-lived 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Restructuring expense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2,249.4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1,084.4</w:t>
            </w:r>
          </w:p>
        </w:tc>
        <w:tc>
          <w:tcPr>
            <w:tcW w:w="0" w:type="dxa"/>
            <w:vAlign w:val="bottom"/>
          </w:tcPr>
          <w:p>
            <w:pPr>
              <w:spacing w:after="0"/>
              <w:rPr>
                <w:sz w:val="1"/>
                <w:szCs w:val="1"/>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(Loss) income from operations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Foreign exchange losses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net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other expense, net</w:t>
            </w: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provision for income taxes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Net (loss) income attributable to Class A and Class B common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vMerge w:val="continue"/>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(757.1)</w:t>
            </w:r>
          </w:p>
        </w:tc>
        <w:tc>
          <w:tcPr>
            <w:tcW w:w="100" w:type="dxa"/>
            <w:vAlign w:val="bottom"/>
          </w:tcPr>
          <w:p>
            <w:pPr>
              <w:spacing w:after="0"/>
              <w:rPr>
                <w:sz w:val="9"/>
                <w:szCs w:val="9"/>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(1,572.4)</w:t>
            </w:r>
          </w:p>
        </w:tc>
        <w:tc>
          <w:tcPr>
            <w:tcW w:w="100" w:type="dxa"/>
            <w:vAlign w:val="bottom"/>
          </w:tcPr>
          <w:p>
            <w:pPr>
              <w:spacing w:after="0"/>
              <w:rPr>
                <w:sz w:val="9"/>
                <w:szCs w:val="9"/>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194"/>
        </w:trPr>
        <w:tc>
          <w:tcPr>
            <w:tcW w:w="5280" w:type="dxa"/>
            <w:vAlign w:val="bottom"/>
          </w:tcPr>
          <w:p>
            <w:pPr>
              <w:ind w:left="20"/>
              <w:spacing w:after="0"/>
              <w:rPr>
                <w:sz w:val="20"/>
                <w:szCs w:val="20"/>
                <w:color w:val="auto"/>
              </w:rPr>
            </w:pPr>
            <w:r>
              <w:rPr>
                <w:rFonts w:ascii="Arial" w:cs="Arial" w:eastAsia="Arial" w:hAnsi="Arial"/>
                <w:sz w:val="16"/>
                <w:szCs w:val="16"/>
                <w:color w:val="auto"/>
              </w:rPr>
              <w:t>stockholders</w:t>
            </w:r>
          </w:p>
        </w:tc>
        <w:tc>
          <w:tcPr>
            <w:tcW w:w="2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per share attributable to common stockholders, 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80" w:type="dxa"/>
            <w:vAlign w:val="bottom"/>
          </w:tcPr>
          <w:p>
            <w:pPr>
              <w:ind w:left="20"/>
              <w:spacing w:after="0"/>
              <w:rPr>
                <w:sz w:val="20"/>
                <w:szCs w:val="20"/>
                <w:color w:val="auto"/>
              </w:rPr>
            </w:pPr>
            <w:r>
              <w:rPr>
                <w:rFonts w:ascii="Arial" w:cs="Arial" w:eastAsia="Arial" w:hAnsi="Arial"/>
                <w:sz w:val="16"/>
                <w:szCs w:val="16"/>
                <w:color w:val="auto"/>
              </w:rPr>
              <w:t>Net (loss) income per share attributable to common stockholders, diluted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Weighted-average Class A and Class B common shares outstanding,</w:t>
            </w:r>
          </w:p>
        </w:tc>
        <w:tc>
          <w:tcPr>
            <w:tcW w:w="2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333,864,579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295,646,824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317,245,844</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292,276,299</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Weighted-average Class A and Class B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333,864,579</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295,646,824</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317,245,844</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348,094,379</w:t>
            </w:r>
          </w:p>
        </w:tc>
        <w:tc>
          <w:tcPr>
            <w:tcW w:w="0" w:type="dxa"/>
            <w:vAlign w:val="bottom"/>
          </w:tcPr>
          <w:p>
            <w:pPr>
              <w:spacing w:after="0"/>
              <w:rPr>
                <w:sz w:val="1"/>
                <w:szCs w:val="1"/>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40"/>
              <w:spacing w:after="0"/>
              <w:rPr>
                <w:sz w:val="20"/>
                <w:szCs w:val="20"/>
                <w:color w:val="auto"/>
              </w:rPr>
            </w:pPr>
            <w:r>
              <w:rPr>
                <w:rFonts w:ascii="Arial" w:cs="Arial" w:eastAsia="Arial" w:hAnsi="Arial"/>
                <w:sz w:val="16"/>
                <w:szCs w:val="16"/>
                <w:color w:val="auto"/>
              </w:rPr>
              <w:t>Net unrealized losses on marketable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5"/>
        </w:trPr>
        <w:tc>
          <w:tcPr>
            <w:tcW w:w="5280" w:type="dxa"/>
            <w:vAlign w:val="bottom"/>
          </w:tcPr>
          <w:p>
            <w:pPr>
              <w:ind w:left="240"/>
              <w:spacing w:after="0"/>
              <w:rPr>
                <w:sz w:val="20"/>
                <w:szCs w:val="20"/>
                <w:color w:val="auto"/>
              </w:rPr>
            </w:pPr>
            <w:r>
              <w:rPr>
                <w:rFonts w:ascii="Arial" w:cs="Arial" w:eastAsia="Arial" w:hAnsi="Arial"/>
                <w:sz w:val="16"/>
                <w:szCs w:val="16"/>
                <w:color w:val="auto"/>
              </w:rPr>
              <w:t>Derivative adjustments: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unrealized loss on hedging derivatives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5280" w:type="dxa"/>
            <w:vAlign w:val="bottom"/>
          </w:tcPr>
          <w:p>
            <w:pPr>
              <w:ind w:left="460"/>
              <w:spacing w:after="0" w:line="162" w:lineRule="exact"/>
              <w:rPr>
                <w:sz w:val="20"/>
                <w:szCs w:val="20"/>
                <w:color w:val="auto"/>
              </w:rPr>
            </w:pPr>
            <w:r>
              <w:rPr>
                <w:rFonts w:ascii="Arial" w:cs="Arial" w:eastAsia="Arial" w:hAnsi="Arial"/>
                <w:sz w:val="16"/>
                <w:szCs w:val="16"/>
                <w:color w:val="auto"/>
              </w:rPr>
              <w:t>Reclassification for derivative adjustments included in Net (loss)</w:t>
            </w:r>
          </w:p>
        </w:tc>
        <w:tc>
          <w:tcPr>
            <w:tcW w:w="2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280" w:type="dxa"/>
            <w:vAlign w:val="bottom"/>
          </w:tcPr>
          <w:p>
            <w:pPr>
              <w:ind w:left="460"/>
              <w:spacing w:after="0"/>
              <w:rPr>
                <w:sz w:val="20"/>
                <w:szCs w:val="20"/>
                <w:color w:val="auto"/>
              </w:rPr>
            </w:pPr>
            <w:r>
              <w:rPr>
                <w:rFonts w:ascii="Arial" w:cs="Arial" w:eastAsia="Arial" w:hAnsi="Arial"/>
                <w:sz w:val="16"/>
                <w:szCs w:val="16"/>
                <w:color w:val="auto"/>
              </w:rPr>
              <w:t>income</w:t>
            </w: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comprehensive (loss)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6"/>
                <w:szCs w:val="16"/>
                <w:color w:val="auto"/>
              </w:rPr>
              <w:t>Comprehensive (loss)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64"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Nine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Net (loss) income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(1,572.4)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income to net cash (used in) provided by operating activities: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premium from marketable securities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Impairment expense and loss on disposals on long-lived assets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Goodwill impairment</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foreign currency adjustments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receivable</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Inventories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(363.7)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Other assets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payable and accrued expenses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Customer deposits and deferred revenue</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Operating lease liabilities, net</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Other liabilities</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(used in) provided by operating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195"/>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marketable securities</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(449.1)</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Maturities of marketable securities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517.8</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of marketable securities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Purchases of property and equipment</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Business combinations, net of cash acquired</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Asset acquisitions, net of cash acquired</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Internal-use software costs</w:t>
            </w: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320"/>
              <w:spacing w:after="0"/>
              <w:rPr>
                <w:sz w:val="20"/>
                <w:szCs w:val="20"/>
                <w:color w:val="auto"/>
              </w:rPr>
            </w:pPr>
            <w:r>
              <w:rPr>
                <w:rFonts w:ascii="Arial" w:cs="Arial" w:eastAsia="Arial" w:hAnsi="Arial"/>
                <w:sz w:val="16"/>
                <w:szCs w:val="16"/>
                <w:color w:val="auto"/>
              </w:rPr>
              <w:t>Net cash provided by (used in) investing activities</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Proceeds from public offering, net of issuance costs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convertible notes, net of issuance costs</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977.2</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Purchase of capped calls</w:t>
            </w:r>
          </w:p>
        </w:tc>
        <w:tc>
          <w:tcPr>
            <w:tcW w:w="10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employee stock purchase plan withholdings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withheld and paid on employee stock awards</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Principal repayments of finance leases</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financing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890.5</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1,020.4</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1,037.0</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2,057.4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6"/>
                <w:szCs w:val="16"/>
                <w:color w:val="auto"/>
              </w:rPr>
              <w:t>6</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76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6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297815</wp:posOffset>
            </wp:positionV>
            <wp:extent cx="23056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7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41"/>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60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Non-Cash Investing and Financing Information:</w:t>
            </w:r>
          </w:p>
        </w:tc>
        <w:tc>
          <w:tcPr>
            <w:tcW w:w="7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6"/>
                <w:szCs w:val="16"/>
                <w:color w:val="auto"/>
              </w:rPr>
              <w:t>Property and equipment accrued but unpaid</w:t>
            </w:r>
          </w:p>
        </w:tc>
        <w:tc>
          <w:tcPr>
            <w:tcW w:w="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Stock-based compensation capitalized for software development costs</w:t>
            </w: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Pr>
          <w:p>
            <w:pPr>
              <w:spacing w:after="0"/>
              <w:rPr>
                <w:sz w:val="18"/>
                <w:szCs w:val="18"/>
                <w:color w:val="auto"/>
              </w:rPr>
            </w:pPr>
          </w:p>
        </w:tc>
        <w:tc>
          <w:tcPr>
            <w:tcW w:w="22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Class A and Class B</w:t>
            </w:r>
          </w:p>
        </w:tc>
        <w:tc>
          <w:tcPr>
            <w:tcW w:w="120" w:type="dxa"/>
            <w:vAlign w:val="bottom"/>
          </w:tcPr>
          <w:p>
            <w:pPr>
              <w:spacing w:after="0"/>
              <w:rPr>
                <w:sz w:val="18"/>
                <w:szCs w:val="18"/>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2260" w:type="dxa"/>
            <w:vAlign w:val="bottom"/>
            <w:gridSpan w:val="5"/>
          </w:tcPr>
          <w:p>
            <w:pPr>
              <w:jc w:val="center"/>
              <w:ind w:right="80"/>
              <w:spacing w:after="0" w:line="162" w:lineRule="exact"/>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20"/>
              <w:spacing w:after="0" w:line="108" w:lineRule="exact"/>
              <w:rPr>
                <w:sz w:val="20"/>
                <w:szCs w:val="20"/>
                <w:color w:val="auto"/>
              </w:rPr>
            </w:pPr>
            <w:r>
              <w:rPr>
                <w:rFonts w:ascii="Arial" w:cs="Arial" w:eastAsia="Arial" w:hAnsi="Arial"/>
                <w:sz w:val="12"/>
                <w:szCs w:val="12"/>
                <w:b w:val="1"/>
                <w:bCs w:val="1"/>
                <w:color w:val="auto"/>
              </w:rPr>
              <w:t>Paid-In</w:t>
            </w:r>
          </w:p>
        </w:tc>
        <w:tc>
          <w:tcPr>
            <w:tcW w:w="134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Comprehensive</w:t>
            </w:r>
          </w:p>
        </w:tc>
        <w:tc>
          <w:tcPr>
            <w:tcW w:w="116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114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4180" w:type="dxa"/>
            <w:vAlign w:val="bottom"/>
          </w:tcPr>
          <w:p>
            <w:pPr>
              <w:spacing w:after="0"/>
              <w:rPr>
                <w:sz w:val="2"/>
                <w:szCs w:val="2"/>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Income</w:t>
            </w:r>
          </w:p>
        </w:tc>
        <w:tc>
          <w:tcPr>
            <w:tcW w:w="20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920" w:type="dxa"/>
            <w:vAlign w:val="bottom"/>
          </w:tcPr>
          <w:p>
            <w:pPr>
              <w:jc w:val="center"/>
              <w:ind w:right="13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December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2,472.7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1,928.3</w:t>
            </w:r>
          </w:p>
        </w:tc>
        <w:tc>
          <w:tcPr>
            <w:tcW w:w="0" w:type="dxa"/>
            <w:vAlign w:val="bottom"/>
          </w:tcPr>
          <w:p>
            <w:pPr>
              <w:spacing w:after="0"/>
              <w:rPr>
                <w:sz w:val="1"/>
                <w:szCs w:val="1"/>
                <w:color w:val="auto"/>
              </w:rPr>
            </w:pPr>
          </w:p>
        </w:tc>
      </w:tr>
      <w:tr>
        <w:trPr>
          <w:trHeight w:val="215"/>
        </w:trPr>
        <w:tc>
          <w:tcPr>
            <w:tcW w:w="4180" w:type="dxa"/>
            <w:vAlign w:val="bottom"/>
          </w:tcPr>
          <w:p>
            <w:pPr>
              <w:ind w:left="240"/>
              <w:spacing w:after="0"/>
              <w:rPr>
                <w:sz w:val="20"/>
                <w:szCs w:val="20"/>
                <w:color w:val="auto"/>
              </w:rPr>
            </w:pPr>
            <w:r>
              <w:rPr>
                <w:rFonts w:ascii="Arial" w:cs="Arial" w:eastAsia="Arial" w:hAnsi="Arial"/>
                <w:sz w:val="16"/>
                <w:szCs w:val="16"/>
                <w:color w:val="auto"/>
              </w:rPr>
              <w:t>Activity related to stock-based compensation</w:t>
            </w: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3"/>
        </w:trPr>
        <w:tc>
          <w:tcPr>
            <w:tcW w:w="418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Issuance of common stock under employee stock</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plan</w:t>
            </w: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240"/>
              <w:spacing w:after="0" w:line="162" w:lineRule="exact"/>
              <w:rPr>
                <w:sz w:val="20"/>
                <w:szCs w:val="20"/>
                <w:color w:val="auto"/>
              </w:rPr>
            </w:pPr>
            <w:r>
              <w:rPr>
                <w:rFonts w:ascii="Arial" w:cs="Arial" w:eastAsia="Arial" w:hAnsi="Arial"/>
                <w:sz w:val="16"/>
                <w:szCs w:val="16"/>
                <w:color w:val="auto"/>
              </w:rPr>
              <w:t>Equity component of convertible senior notes, net of</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160.1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215"/>
        </w:trPr>
        <w:tc>
          <w:tcPr>
            <w:tcW w:w="4180" w:type="dxa"/>
            <w:vAlign w:val="bottom"/>
          </w:tcPr>
          <w:p>
            <w:pPr>
              <w:ind w:left="240"/>
              <w:spacing w:after="0"/>
              <w:rPr>
                <w:sz w:val="20"/>
                <w:szCs w:val="20"/>
                <w:color w:val="auto"/>
              </w:rPr>
            </w:pPr>
            <w:r>
              <w:rPr>
                <w:rFonts w:ascii="Arial" w:cs="Arial" w:eastAsia="Arial" w:hAnsi="Arial"/>
                <w:sz w:val="16"/>
                <w:szCs w:val="16"/>
                <w:color w:val="auto"/>
              </w:rPr>
              <w:t>issuance costs</w:t>
            </w: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8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Purchases of capped calls related to convertible</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senior notes</w:t>
            </w:r>
          </w:p>
        </w:tc>
        <w:tc>
          <w:tcPr>
            <w:tcW w:w="11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tcPr>
          <w:p>
            <w:pPr>
              <w:ind w:left="240"/>
              <w:spacing w:after="0"/>
              <w:rPr>
                <w:sz w:val="20"/>
                <w:szCs w:val="20"/>
                <w:color w:val="auto"/>
              </w:rPr>
            </w:pPr>
            <w:r>
              <w:rPr>
                <w:rFonts w:ascii="Arial" w:cs="Arial" w:eastAsia="Arial" w:hAnsi="Arial"/>
                <w:sz w:val="16"/>
                <w:szCs w:val="16"/>
                <w:color w:val="auto"/>
              </w:rPr>
              <w:t>Other comprehensive loss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0"/>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Balance - March 31,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297.9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2,548.9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(569.6)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1,993.4</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Balance - December 31, 2021</w:t>
            </w:r>
          </w:p>
        </w:tc>
        <w:tc>
          <w:tcPr>
            <w:tcW w:w="1040" w:type="dxa"/>
            <w:vAlign w:val="bottom"/>
          </w:tcPr>
          <w:p>
            <w:pPr>
              <w:jc w:val="right"/>
              <w:spacing w:after="0"/>
              <w:rPr>
                <w:sz w:val="20"/>
                <w:szCs w:val="20"/>
                <w:color w:val="auto"/>
              </w:rPr>
            </w:pPr>
            <w:r>
              <w:rPr>
                <w:rFonts w:ascii="Arial" w:cs="Arial" w:eastAsia="Arial" w:hAnsi="Arial"/>
                <w:sz w:val="16"/>
                <w:szCs w:val="16"/>
                <w:color w:val="auto"/>
              </w:rPr>
              <w:t>331.4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4,048.8</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(1,698.2)</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2,368.9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Activity related to stock-based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162"/>
        </w:trPr>
        <w:tc>
          <w:tcPr>
            <w:tcW w:w="4180" w:type="dxa"/>
            <w:vAlign w:val="bottom"/>
          </w:tcPr>
          <w:p>
            <w:pPr>
              <w:ind w:left="240"/>
              <w:spacing w:after="0" w:line="162" w:lineRule="exact"/>
              <w:rPr>
                <w:sz w:val="20"/>
                <w:szCs w:val="20"/>
                <w:color w:val="auto"/>
              </w:rPr>
            </w:pPr>
            <w:r>
              <w:rPr>
                <w:rFonts w:ascii="Arial" w:cs="Arial" w:eastAsia="Arial" w:hAnsi="Arial"/>
                <w:sz w:val="16"/>
                <w:szCs w:val="16"/>
                <w:color w:val="auto"/>
              </w:rPr>
              <w:t>Issuance of common stock under employee stock</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5"/>
        </w:trPr>
        <w:tc>
          <w:tcPr>
            <w:tcW w:w="4180" w:type="dxa"/>
            <w:vAlign w:val="bottom"/>
          </w:tcPr>
          <w:p>
            <w:pPr>
              <w:ind w:left="240"/>
              <w:spacing w:after="0"/>
              <w:rPr>
                <w:sz w:val="20"/>
                <w:szCs w:val="20"/>
                <w:color w:val="auto"/>
              </w:rPr>
            </w:pPr>
            <w:r>
              <w:rPr>
                <w:rFonts w:ascii="Arial" w:cs="Arial" w:eastAsia="Arial" w:hAnsi="Arial"/>
                <w:sz w:val="16"/>
                <w:szCs w:val="16"/>
                <w:color w:val="auto"/>
              </w:rPr>
              <w:t>purchase plan</w:t>
            </w: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comprehensive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5"/>
        </w:trPr>
        <w:tc>
          <w:tcPr>
            <w:tcW w:w="418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(757.1)</w:t>
            </w:r>
          </w:p>
        </w:tc>
        <w:tc>
          <w:tcPr>
            <w:tcW w:w="0" w:type="dxa"/>
            <w:vAlign w:val="bottom"/>
          </w:tcPr>
          <w:p>
            <w:pPr>
              <w:spacing w:after="0"/>
              <w:rPr>
                <w:sz w:val="1"/>
                <w:szCs w:val="1"/>
                <w:color w:val="auto"/>
              </w:rPr>
            </w:pPr>
          </w:p>
        </w:tc>
      </w:tr>
      <w:tr>
        <w:trPr>
          <w:trHeight w:val="235"/>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March 31,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180" w:type="dxa"/>
            <w:vAlign w:val="bottom"/>
          </w:tcPr>
          <w:p>
            <w:pPr>
              <w:spacing w:after="0"/>
              <w:rPr>
                <w:sz w:val="24"/>
                <w:szCs w:val="24"/>
                <w:color w:val="auto"/>
              </w:rPr>
            </w:pPr>
          </w:p>
        </w:tc>
        <w:tc>
          <w:tcPr>
            <w:tcW w:w="22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Class A and Class B</w:t>
            </w:r>
          </w:p>
        </w:tc>
        <w:tc>
          <w:tcPr>
            <w:tcW w:w="120" w:type="dxa"/>
            <w:vAlign w:val="bottom"/>
          </w:tcPr>
          <w:p>
            <w:pPr>
              <w:spacing w:after="0"/>
              <w:rPr>
                <w:sz w:val="24"/>
                <w:szCs w:val="24"/>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2260" w:type="dxa"/>
            <w:vAlign w:val="bottom"/>
            <w:gridSpan w:val="5"/>
          </w:tcPr>
          <w:p>
            <w:pPr>
              <w:jc w:val="center"/>
              <w:ind w:right="80"/>
              <w:spacing w:after="0" w:line="162" w:lineRule="exact"/>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20"/>
              <w:spacing w:after="0" w:line="108" w:lineRule="exact"/>
              <w:rPr>
                <w:sz w:val="20"/>
                <w:szCs w:val="20"/>
                <w:color w:val="auto"/>
              </w:rPr>
            </w:pPr>
            <w:r>
              <w:rPr>
                <w:rFonts w:ascii="Arial" w:cs="Arial" w:eastAsia="Arial" w:hAnsi="Arial"/>
                <w:sz w:val="12"/>
                <w:szCs w:val="12"/>
                <w:b w:val="1"/>
                <w:bCs w:val="1"/>
                <w:color w:val="auto"/>
              </w:rPr>
              <w:t>Paid-In</w:t>
            </w:r>
          </w:p>
        </w:tc>
        <w:tc>
          <w:tcPr>
            <w:tcW w:w="134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Comprehensive</w:t>
            </w:r>
          </w:p>
        </w:tc>
        <w:tc>
          <w:tcPr>
            <w:tcW w:w="116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114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4180" w:type="dxa"/>
            <w:vAlign w:val="bottom"/>
          </w:tcPr>
          <w:p>
            <w:pPr>
              <w:spacing w:after="0"/>
              <w:rPr>
                <w:sz w:val="2"/>
                <w:szCs w:val="2"/>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Income</w:t>
            </w:r>
          </w:p>
        </w:tc>
        <w:tc>
          <w:tcPr>
            <w:tcW w:w="20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920" w:type="dxa"/>
            <w:vAlign w:val="bottom"/>
          </w:tcPr>
          <w:p>
            <w:pPr>
              <w:jc w:val="center"/>
              <w:ind w:right="13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1,678.0</w:t>
            </w:r>
          </w:p>
        </w:tc>
        <w:tc>
          <w:tcPr>
            <w:tcW w:w="0" w:type="dxa"/>
            <w:vAlign w:val="bottom"/>
          </w:tcPr>
          <w:p>
            <w:pPr>
              <w:spacing w:after="0"/>
              <w:rPr>
                <w:sz w:val="1"/>
                <w:szCs w:val="1"/>
                <w:color w:val="auto"/>
              </w:rPr>
            </w:pPr>
          </w:p>
        </w:tc>
      </w:tr>
      <w:tr>
        <w:trPr>
          <w:trHeight w:val="215"/>
        </w:trPr>
        <w:tc>
          <w:tcPr>
            <w:tcW w:w="4180" w:type="dxa"/>
            <w:vAlign w:val="bottom"/>
          </w:tcPr>
          <w:p>
            <w:pPr>
              <w:ind w:left="240"/>
              <w:spacing w:after="0"/>
              <w:rPr>
                <w:sz w:val="20"/>
                <w:szCs w:val="20"/>
                <w:color w:val="auto"/>
              </w:rPr>
            </w:pPr>
            <w:r>
              <w:rPr>
                <w:rFonts w:ascii="Arial" w:cs="Arial" w:eastAsia="Arial" w:hAnsi="Arial"/>
                <w:sz w:val="16"/>
                <w:szCs w:val="16"/>
                <w:color w:val="auto"/>
              </w:rPr>
              <w:t>Activity related to stock-based compensation</w:t>
            </w:r>
          </w:p>
        </w:tc>
        <w:tc>
          <w:tcPr>
            <w:tcW w:w="104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163"/>
        </w:trPr>
        <w:tc>
          <w:tcPr>
            <w:tcW w:w="418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Issuance of common stock under employee stock</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plan</w:t>
            </w: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240"/>
              <w:spacing w:after="0" w:line="162" w:lineRule="exact"/>
              <w:rPr>
                <w:sz w:val="20"/>
                <w:szCs w:val="20"/>
                <w:color w:val="auto"/>
              </w:rPr>
            </w:pPr>
            <w:r>
              <w:rPr>
                <w:rFonts w:ascii="Arial" w:cs="Arial" w:eastAsia="Arial" w:hAnsi="Arial"/>
                <w:sz w:val="16"/>
                <w:szCs w:val="16"/>
                <w:color w:val="auto"/>
              </w:rPr>
              <w:t>Equity component of convertible senior notes, net of</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160.1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215"/>
        </w:trPr>
        <w:tc>
          <w:tcPr>
            <w:tcW w:w="4180" w:type="dxa"/>
            <w:vAlign w:val="bottom"/>
          </w:tcPr>
          <w:p>
            <w:pPr>
              <w:ind w:left="240"/>
              <w:spacing w:after="0"/>
              <w:rPr>
                <w:sz w:val="20"/>
                <w:szCs w:val="20"/>
                <w:color w:val="auto"/>
              </w:rPr>
            </w:pPr>
            <w:r>
              <w:rPr>
                <w:rFonts w:ascii="Arial" w:cs="Arial" w:eastAsia="Arial" w:hAnsi="Arial"/>
                <w:sz w:val="16"/>
                <w:szCs w:val="16"/>
                <w:color w:val="auto"/>
              </w:rPr>
              <w:t>issuance costs</w:t>
            </w: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8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Purchases of capped calls related to convertible</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senior notes</w:t>
            </w:r>
          </w:p>
        </w:tc>
        <w:tc>
          <w:tcPr>
            <w:tcW w:w="11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tcPr>
          <w:p>
            <w:pPr>
              <w:ind w:left="240"/>
              <w:spacing w:after="0"/>
              <w:rPr>
                <w:sz w:val="20"/>
                <w:szCs w:val="20"/>
                <w:color w:val="auto"/>
              </w:rPr>
            </w:pPr>
            <w:r>
              <w:rPr>
                <w:rFonts w:ascii="Arial" w:cs="Arial" w:eastAsia="Arial" w:hAnsi="Arial"/>
                <w:sz w:val="16"/>
                <w:szCs w:val="16"/>
                <w:color w:val="auto"/>
              </w:rPr>
              <w:t>Other comprehensive income</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10"/>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Balance - March 31,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297.9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2,548.9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(569.6)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1,993.4</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Balance - June 30, 2021</w:t>
            </w:r>
          </w:p>
        </w:tc>
        <w:tc>
          <w:tcPr>
            <w:tcW w:w="1040" w:type="dxa"/>
            <w:vAlign w:val="bottom"/>
          </w:tcPr>
          <w:p>
            <w:pPr>
              <w:jc w:val="right"/>
              <w:spacing w:after="0"/>
              <w:rPr>
                <w:sz w:val="20"/>
                <w:szCs w:val="20"/>
                <w:color w:val="auto"/>
              </w:rPr>
            </w:pPr>
            <w:r>
              <w:rPr>
                <w:rFonts w:ascii="Arial" w:cs="Arial" w:eastAsia="Arial" w:hAnsi="Arial"/>
                <w:sz w:val="16"/>
                <w:szCs w:val="16"/>
                <w:color w:val="auto"/>
              </w:rPr>
              <w:t>300.1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2,618.9</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(883.0)</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1,754.1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Activity related to stock-based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0" w:type="dxa"/>
            <w:vAlign w:val="bottom"/>
          </w:tcPr>
          <w:p>
            <w:pPr>
              <w:spacing w:after="0"/>
              <w:rPr>
                <w:sz w:val="1"/>
                <w:szCs w:val="1"/>
                <w:color w:val="auto"/>
              </w:rPr>
            </w:pPr>
          </w:p>
        </w:tc>
      </w:tr>
      <w:tr>
        <w:trPr>
          <w:trHeight w:val="162"/>
        </w:trPr>
        <w:tc>
          <w:tcPr>
            <w:tcW w:w="4180" w:type="dxa"/>
            <w:vAlign w:val="bottom"/>
          </w:tcPr>
          <w:p>
            <w:pPr>
              <w:ind w:left="240"/>
              <w:spacing w:after="0" w:line="162" w:lineRule="exact"/>
              <w:rPr>
                <w:sz w:val="20"/>
                <w:szCs w:val="20"/>
                <w:color w:val="auto"/>
              </w:rPr>
            </w:pPr>
            <w:r>
              <w:rPr>
                <w:rFonts w:ascii="Arial" w:cs="Arial" w:eastAsia="Arial" w:hAnsi="Arial"/>
                <w:sz w:val="16"/>
                <w:szCs w:val="16"/>
                <w:color w:val="auto"/>
              </w:rPr>
              <w:t>Issuance of common stock under employee stock</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5"/>
        </w:trPr>
        <w:tc>
          <w:tcPr>
            <w:tcW w:w="4180" w:type="dxa"/>
            <w:vAlign w:val="bottom"/>
          </w:tcPr>
          <w:p>
            <w:pPr>
              <w:ind w:left="240"/>
              <w:spacing w:after="0"/>
              <w:rPr>
                <w:sz w:val="20"/>
                <w:szCs w:val="20"/>
                <w:color w:val="auto"/>
              </w:rPr>
            </w:pPr>
            <w:r>
              <w:rPr>
                <w:rFonts w:ascii="Arial" w:cs="Arial" w:eastAsia="Arial" w:hAnsi="Arial"/>
                <w:sz w:val="16"/>
                <w:szCs w:val="16"/>
                <w:color w:val="auto"/>
              </w:rPr>
              <w:t>purchase plan</w:t>
            </w: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8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Issuance of common stock pursuant to public offering,</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of issuance costs</w:t>
            </w: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80" w:type="dxa"/>
            <w:vAlign w:val="bottom"/>
          </w:tcPr>
          <w:p>
            <w:pPr>
              <w:ind w:left="240"/>
              <w:spacing w:after="0"/>
              <w:rPr>
                <w:sz w:val="20"/>
                <w:szCs w:val="20"/>
                <w:color w:val="auto"/>
              </w:rPr>
            </w:pPr>
            <w:r>
              <w:rPr>
                <w:rFonts w:ascii="Arial" w:cs="Arial" w:eastAsia="Arial" w:hAnsi="Arial"/>
                <w:sz w:val="16"/>
                <w:szCs w:val="16"/>
                <w:color w:val="auto"/>
              </w:rPr>
              <w:t>Other comprehensive loss</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(1,572.4)</w:t>
            </w:r>
          </w:p>
        </w:tc>
        <w:tc>
          <w:tcPr>
            <w:tcW w:w="0" w:type="dxa"/>
            <w:vAlign w:val="bottom"/>
          </w:tcPr>
          <w:p>
            <w:pPr>
              <w:spacing w:after="0"/>
              <w:rPr>
                <w:sz w:val="1"/>
                <w:szCs w:val="1"/>
                <w:color w:val="auto"/>
              </w:rPr>
            </w:pPr>
          </w:p>
        </w:tc>
      </w:tr>
      <w:tr>
        <w:trPr>
          <w:trHeight w:val="209"/>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Balance - March 31, 2022</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4,197.9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(2,455.3)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1,753.0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Peloton Interactive, Inc. (“Peloton” or the “Company”) is the largest interactive fitness platform in the world with a loyal community of Members, which we define as any individual who has a Peloton account through a paid Connected Fitness Subscription (“All-Access Membership”) or a paid Peloton Digital Subscription.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Members to be the best versions of themselves.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2021,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interim condensed consolidated financial statements should be read in conjunction with the consolidated financial statements and notes included in the Company’s Annual Report on Form 10-K for the fiscal year ended June 30, 2021, filed with the SEC on August 27, 2021 (the “Form 10-K”). However, the Company believes that the disclosures provided herein are adequate to prevent the information presented from being misleading.</w:t>
      </w:r>
    </w:p>
    <w:p>
      <w:pPr>
        <w:spacing w:after="0" w:line="18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All significant intercompany balances and transactions have been eliminated in consolidation.</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and nine months ended March 31, 2022 are not necessarily indicative of the results to be expected for any subsequent quarter, the fiscal year ending June 30, 2022, or any other period.</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Except as described elsewhere in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of the Notes to Condensed Consolidated Financial Statements in Part I, Item 1 of this Quarterly Report on Form 10-Q under the heading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xml:space="preserve"> there have been no material changes to the Company’s significant accounting policies as described in the Form 10-K.</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the realizability of inventory, content costs for past use reserve, fair value measurements, the incremental borrowing rate associated with lease liabilities, impairment of long-lived and intangible assets, useful lives of long lived assets, including property and equipment and finite lived intangible assets, product warranty, goodwill, accounting for income taxes, stock-based compensation expense, transaction price estimates, the fair values of assets acquired and liabilities assumed in business combinations and asset acquisitions, valuation of the debt component of convertible senior notes, contingent consideration, and commitments and contingencies. Actual results may differ from these estimates.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Instruments and Hedging Activities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Company, when deemed appropriate, uses derivatives as a risk management tool to mitigate the potential impact of foreign currency exchange risk. As required by ASC 815, the Company records all derivatives on the balance sheet at fair value in the following line items: Prepaid expenses and other current assets; and Other current liabilities. For hedging derivatives that the Company has determined qualify as effective cash flow hedges, the Company records the cumulative changes in the fair value in Other comprehensive (loss) income in the condensed consolidated statements of operations and comprehensive (loss) income. Hedge ineffectiveness is recorded in Other expense, net in the condensed consolidated statements of operations and comprehensive (loss) income. Fair value changes for derivatives that are not in qualifying hedge relationships are recorded in Other expense, net in the condensed consolidated statements of operations and comprehensive (loss) income.</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or other types of forecasted transactions, are considered cash flow hedges. The Company does not currently have fair value or net investment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w:t>
      </w:r>
    </w:p>
    <w:p>
      <w:pPr>
        <w:spacing w:after="0" w:line="3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to our derivatives where we apply hedge accounting, the Company may enter into derivative contracts that are intended to economically hedge certain of its risk, even though hedge accounting does not apply or the Company elects not to apply hedge accounting. The Company made an accounting policy election to measure the credit risk of its derivative financial instruments that are subject to master netting agreements on a net basis by counterparty portfolio.</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evaluates its convertible instruments and other contracts to determine if those contracts or embedded components of those contracts qualify as derivatives requiring separate recognition in the Company’s financial statements in accordance with the criteria under ASC 815-15. As of March 31, 2022, the Company did not have any material derivative contracts or contracts with material embedded derivative features requiring bifurcation.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5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Goodwill represents the excess of the aggregate of the consideration transferred and the amount recognized for non-controlling interest, if any, over the fair value of identifiable assets acquired and liabilities assumed in a business combination. The Company has no intangible assets with indefinite useful lives.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Intangible assets other than goodwill are comprised of acquired developed technology, brand name, customer relationships, distributor relationships, and other finite-lived intangible assets. At initial recognition, intangible assets acquired in a business combination or asset acquisition are recognized at their fair value as of the date of acquisition. Following initial recognition, intangible assets are carried at acquisition date fair value less accumulated amortization and impairment losses, if any, and are amortized on a straight-line basis over the estimated useful life of the asset.</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reviews goodwill for impairment annually on April 1 of each fiscal year or whenever events or changes in circumstances indicate that an impairment may exist. In conducting its annual impairment test, the Company first reviews qualitative factors to determine whether it is more likely than not that the fair value of the reporting unit is less than its carrying amount. If factors indicate that the fair value of the reporting unit is less than its carrying amount, the Company performs a quantitative assessment and the fair value of the reporting unit is determined by analyzing the expected present value of future cash flows. If the carrying value of the reporting unit continues to exceed its fair value, the fair value of the reporting unit’s goodwill is calculated and an impairment loss equal to the excess is recorded.</w:t>
      </w:r>
    </w:p>
    <w:p>
      <w:pPr>
        <w:spacing w:after="0" w:line="21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assesses the impairment of intangible assets whenever events or changes in circumstances indicate that the carrying amount may not be recoverable.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group may not be recoverable. Recoverability of assets to be held and used is measured by a comparison of the carrying amount of an asset group to future undiscounted net cash flows expected to be generated by the assets. If the carrying amount of an asset group exceeds its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1" w:name="page12"/>
    <w:bookmarkEnd w:id="11"/>
    <w:p>
      <w:pPr>
        <w:jc w:val="both"/>
        <w:spacing w:after="0" w:line="286" w:lineRule="auto"/>
        <w:rPr>
          <w:sz w:val="20"/>
          <w:szCs w:val="20"/>
          <w:color w:val="auto"/>
        </w:rPr>
      </w:pPr>
      <w:r>
        <w:rPr>
          <w:rFonts w:ascii="Arial" w:cs="Arial" w:eastAsia="Arial" w:hAnsi="Arial"/>
          <w:sz w:val="16"/>
          <w:szCs w:val="16"/>
          <w:color w:val="auto"/>
        </w:rPr>
        <w:t>estimated undiscounted net future cash flows, an impairment charge is recognized for the amount by which the carrying amount of the asset group exceeds its fair value.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Recently Adopted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January 2020, the FASB issued ASU 2020-01, </w:t>
      </w:r>
      <w:r>
        <w:rPr>
          <w:rFonts w:ascii="Arial" w:cs="Arial" w:eastAsia="Arial" w:hAnsi="Arial"/>
          <w:sz w:val="16"/>
          <w:szCs w:val="16"/>
          <w:i w:val="1"/>
          <w:iCs w:val="1"/>
          <w:color w:val="auto"/>
        </w:rPr>
        <w:t>Investments-Equity Securities (Topic 321), Investments-Equity Method and Joint Ventures (Topic 323), and</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Derivatives and Hedging (Topic 815): Clarifying the Interactions between Topic 321, Topic 323, and Topic 815. </w:t>
      </w:r>
      <w:r>
        <w:rPr>
          <w:rFonts w:ascii="Arial" w:cs="Arial" w:eastAsia="Arial" w:hAnsi="Arial"/>
          <w:sz w:val="16"/>
          <w:szCs w:val="16"/>
          <w:color w:val="auto"/>
        </w:rPr>
        <w:t>This guidance clarifies the interaction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equity investments under Topic 321 and investments accounted for under the equity method of accounting in Topic 323 and the accounting for certain forward contracts and purchased options accounted for under Topic 815. This standard is effective for public companies for fiscal years, and interim periods within those fiscal years, beginning after December 15, 2020. The Company has completed its assessment and adopted this standard on July 1, 2021. The adoption of this standard did not materially impact the Company’s condensed consolidated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2020-04 and ASU 2021-01</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This guidance provides temporary optional expedients and exceptions to accounting guidance on contract modifications and hedge accounting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ease entities’ financial reporting burdens as the market transitions from the London Interbank Offered Rate (LIBOR) and other interbank offered rates to alternative reference rates. In January 2021, the FASB issued ASU No. 2021-01,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which refines the scope of Topic ASC 848 and clarifies some of its guidance. The amendments in ASU 2021-01 are elective and apply to all entities that have derivative instruments that use an interest rate for margining, discounting, or contract price alignment that is modified as a result of reference rate reform. The guidance in both updates was effective upon issuance and generally can be applied through December 31, 2022. The Company adopted this standard after LIBOR was discontinued on December 31, 2021. The adoption of this standard did not materially impact the Company's condensed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2020-06</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in Entity’s Own Equity (Subtopic 815-40): Accounting for Convertible Instruments and Contracts in an Entity’s Own Equity</w:t>
      </w:r>
      <w:r>
        <w:rPr>
          <w:rFonts w:ascii="Arial" w:cs="Arial" w:eastAsia="Arial" w:hAnsi="Arial"/>
          <w:sz w:val="16"/>
          <w:szCs w:val="16"/>
          <w:color w:val="auto"/>
        </w:rPr>
        <w:t>. The guidance will simplify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for convertible instruments by reducing the number of accounting models for convertible debt instruments and convertible preferred stock, thereby limiting the accounting results in fewer embedded conversion features being separately recognized from the host contract as compared with current GAAP. Convertible instruments that continue to be subject to separation models are (1)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In addition, the guidance eliminates the treasury stock method to calculate diluted earnings per share for convertible instruments and requires the use of the if-converted method. ASU 2020-06 will be effective for public companies for fiscal years beginning after December 15, 2021, including interim periods within those fiscal years. Early adoption is permitted, but no earlier than fiscal years beginning after December 15, 2020, including interim periods within those fiscal years. Upon adoption, the Company expects a decrease to Additional paid-in capital to remove the equity component separately recorded for the conversion features associated with the Notes (as defined in </w:t>
      </w:r>
      <w:r>
        <w:rPr>
          <w:rFonts w:ascii="Arial" w:cs="Arial" w:eastAsia="Arial" w:hAnsi="Arial"/>
          <w:sz w:val="16"/>
          <w:szCs w:val="16"/>
          <w:i w:val="1"/>
          <w:iCs w:val="1"/>
          <w:color w:val="auto"/>
        </w:rPr>
        <w:t>Note 9 - Debt</w:t>
      </w:r>
      <w:r>
        <w:rPr>
          <w:rFonts w:ascii="Arial" w:cs="Arial" w:eastAsia="Arial" w:hAnsi="Arial"/>
          <w:sz w:val="16"/>
          <w:szCs w:val="16"/>
          <w:color w:val="auto"/>
        </w:rPr>
        <w:t xml:space="preserve"> of the Notes to Condensed Consolidated Financial Statements in Part I, Item 1 of this Quarterly Report on Form 10-Q), an increase in the carrying value of its Notes to reflect the full principal amount of the Notes outstanding net of issuance costs, and an increase to Accumulated deficit. The Company expects the adoption of this standard to reduce its reported Interest expense.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2021-08</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October 2021, the Financial Accounting Standards Board issued ASU 2021-08, </w:t>
      </w:r>
      <w:r>
        <w:rPr>
          <w:rFonts w:ascii="Arial" w:cs="Arial" w:eastAsia="Arial" w:hAnsi="Arial"/>
          <w:sz w:val="16"/>
          <w:szCs w:val="16"/>
          <w:i w:val="1"/>
          <w:iCs w:val="1"/>
          <w:color w:val="auto"/>
        </w:rPr>
        <w:t>Business Combinations (Topic 805): Accounting for Contract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 Liabilities from Contracts with Customers. </w:t>
      </w:r>
      <w:r>
        <w:rPr>
          <w:rFonts w:ascii="Arial" w:cs="Arial" w:eastAsia="Arial" w:hAnsi="Arial"/>
          <w:sz w:val="16"/>
          <w:szCs w:val="16"/>
          <w:color w:val="auto"/>
        </w:rPr>
        <w:t>The guidance requires that an acquirer recognize and measure contract assets and liabilities acquired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business combination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standard is effective for annual periods beginning after December 15, 2022, including interim periods therein, with early adoption permitted, and should be applied prospectively to acquisitions occurring on or after the effective date. The Company will continue to evaluate the impact of this guidance, which will depend on the contract assets and liabilities acquired in future business combinations.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primary source of revenue is from sales of its Connected Fitness Products and associated recurring Subscription revenues.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62"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ectPr>
          <w:pgSz w:w="11900" w:h="16838" w:orient="portrait"/>
          <w:cols w:equalWidth="0" w:num="1">
            <w:col w:w="11240"/>
          </w:cols>
          <w:pgMar w:left="320" w:top="611" w:right="3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2" w:name="page13"/>
    <w:bookmarkEnd w:id="12"/>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incentives, and rebates to commercial distributors as a reduction of the transaction price. Certain contracts include consideration payable that is accounted for as a payment for distinct goods or services. The Company estimates its liability for product returns and concessions based on historical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applies the practical expedient as per ASC 606-10-50-14 and does not disclose information related to remaining performance obligations due to their original expected terms being one year or less.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expenses sales commissions on its Connected Fitness Products when incurred because the amortization period would have been less than one year. These costs are recorded in Sales and marketing in the Company’s condensed consolidated statements of operations and comprehensive (loss) income.</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Connected Fitness Products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Products include the Company’s portfolio of Connected Fitness Products and related accessories, Precor branded fitness products, delivery and installation services, Peloton branded apparel, extended warranty agreements, and commercial service contracts. The Company recognizes Connected Fitness Product revenue net of sales returns and discounts when the product has been delivered to the customer, except for extended warranty revenue which is recognized over the warranty period and service revenue which is recognized over the term of the service contract. The Company allows customers to return Peloton branded Connected Fitness Products within thirty days of purchase, as stated in its return policy.</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condensed consolidated statements of operations and comprehensive (loss) income.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w:t>
      </w:r>
    </w:p>
    <w:p>
      <w:pPr>
        <w:spacing w:after="0" w:line="5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Company’s subscriptions provide unlimited access to content in its library of live and on-demand fitness classes. The Company’s subscriptions are offered on a month-to-month basis.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paid for subscription fees, net of refunds are included within Customer deposits and deferred revenue on the Company’s condensed consolidated balance sheets and recognized ratably over the subscription term. The Company records payment processing fees for its monthly subscription charges within cost of Subscription revenue in the Company’s condensed consolidated statements of operations and comprehensive (loss) income.</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Sales tax collected from customers and remitted to governmental authorities is not included in revenue and is reflected as a liability on the Company’s condensed consolidated balance sheets.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Standard Product Warranty</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for a period of one year covering the touchscreen and most original Bike, Bike+, Tread, Tread+, and Guide components from the date of original delivery. The Company has the obligation, at its option, to either repair or replace the defective product. At the time revenue is recognized, an estimate of future warranty costs are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both in-house and by contract manufacturers, and in certain cases, the Company may have recourse to such contract manufacturers.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Activity related to the Company’s accrual for our estimated future product warranty obligation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8"/>
                <w:szCs w:val="18"/>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10"/>
        </w:trPr>
        <w:tc>
          <w:tcPr>
            <w:tcW w:w="53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09"/>
        </w:trPr>
        <w:tc>
          <w:tcPr>
            <w:tcW w:w="5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center"/>
              <w:ind w:left="659"/>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96"/>
              </w:rPr>
              <w:t>34.2</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Provision for warranty accrual</w:t>
            </w:r>
          </w:p>
        </w:tc>
        <w:tc>
          <w:tcPr>
            <w:tcW w:w="9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left="659"/>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left="559"/>
              <w:spacing w:after="0"/>
              <w:rPr>
                <w:sz w:val="20"/>
                <w:szCs w:val="20"/>
                <w:color w:val="auto"/>
              </w:rPr>
            </w:pPr>
            <w:r>
              <w:rPr>
                <w:rFonts w:ascii="Arial" w:cs="Arial" w:eastAsia="Arial" w:hAnsi="Arial"/>
                <w:sz w:val="16"/>
                <w:szCs w:val="16"/>
                <w:color w:val="auto"/>
                <w:w w:val="96"/>
              </w:rPr>
              <w:t>54.3</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claims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center"/>
              <w:ind w:left="639"/>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rPr>
              <w:t>(37.4)</w:t>
            </w: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44.5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w w:val="96"/>
              </w:rPr>
              <w:t>51.1</w:t>
            </w:r>
          </w:p>
        </w:tc>
      </w:tr>
      <w:tr>
        <w:trPr>
          <w:trHeight w:val="20"/>
        </w:trPr>
        <w:tc>
          <w:tcPr>
            <w:tcW w:w="5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ranging from 12 to 36 months.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Extended warranty revenue is recognized on a gross basis as the Company has a continuing obligation to perform over the service period. Extended warranty revenue is recognized ratably over the extended warranty coverage period and is included in Connected Fitness Product revenue in the condensed consolidated statements of operations and comprehensive (loss) income.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5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The Company’s revenue from contracts with customers disaggregated by major product lines, excluding sales-based taxes, are included in </w:t>
      </w:r>
      <w:r>
        <w:rPr>
          <w:rFonts w:ascii="Arial" w:cs="Arial" w:eastAsia="Arial" w:hAnsi="Arial"/>
          <w:sz w:val="16"/>
          <w:szCs w:val="16"/>
          <w:i w:val="1"/>
          <w:iCs w:val="1"/>
          <w:color w:val="auto"/>
        </w:rPr>
        <w:t xml:space="preserve">Note 15-Segment Information </w:t>
      </w:r>
      <w:r>
        <w:rPr>
          <w:rFonts w:ascii="Arial" w:cs="Arial" w:eastAsia="Arial" w:hAnsi="Arial"/>
          <w:sz w:val="16"/>
          <w:szCs w:val="16"/>
          <w:color w:val="auto"/>
        </w:rPr>
        <w:t>of the Notes to Condensed Consolidated Financial Statements in Part I, Item 1 of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revenue disaggregated by geographic region,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7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r>
      <w:tr>
        <w:trPr>
          <w:trHeight w:val="209"/>
        </w:trPr>
        <w:tc>
          <w:tcPr>
            <w:tcW w:w="53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0"/>
        </w:trPr>
        <w:tc>
          <w:tcPr>
            <w:tcW w:w="5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ind w:left="70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 America</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873.2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2,897.4</w:t>
            </w:r>
          </w:p>
        </w:tc>
      </w:tr>
      <w:tr>
        <w:trPr>
          <w:trHeight w:val="215"/>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w:t>
            </w:r>
          </w:p>
        </w:tc>
      </w:tr>
      <w:tr>
        <w:trPr>
          <w:trHeight w:val="235"/>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964.3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and nine months ended March 31, 2022, the Company’s revenue attributable to the United States was $824.3 million and $2,503.2 million or 85% and 86% of total revenue, respectively. During the three and nine months ended March 31, 2021, the Company’s revenue attributable to the United States was $1,102.9 million and $2,776.6 million or 87% and 90% of total revenue,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Deposits and Deferred Revenue</w:t>
      </w:r>
    </w:p>
    <w:p>
      <w:pPr>
        <w:spacing w:after="0" w:line="5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March 31, 2022 and June 30, 2021, customer deposits of $126.1 million and $92.2 million, respectively, and deferred revenue of $84.9 million and $72.6 million, respectively, were included in Customer deposits and deferred revenue on the Company’s condensed consolidated balance sheets.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nine months ended March 31, 2022 and 2021, the Company recognized revenue of $68.2 million and $22.1 million, respectively, that was included in the deferred revenue balance as of June 30, 2021 and 2020, respectively.</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Restructuring</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February 1, 2022, following the Company’s prior disclosure regarding market factors impacting the business, the Company’s Board of Directors approved a restructuring plan to realign the Company’s operational focus to support its multi-year growth, scale the business, and improve costs (the “Restructuring Plan”). The Restructuring Plan includes: (i) reducing the Company’s headcount; (ii) closing several assembly and manufacturing plants, including the completion and subsequent sale of the shell facility for the Company’s previously planned Peloton Output Park; (iii) closing and consolidating several distribution facilities, and (iv) shifting to third-party logistics providers in certain locations. The Company expects the Restructuring Plan to be substantially implemented by the end of fiscal 2024.</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result of the Restructuring Plan, the Company incurred the following charges, of which Asset write-downs and write-offs are included within Impairment expense and loss on disposals in the condensed consolidated statements of operations and comprehensive (loss) income. The</w:t>
      </w:r>
    </w:p>
    <w:p>
      <w:pPr>
        <w:sectPr>
          <w:pgSz w:w="11900" w:h="16838" w:orient="portrait"/>
          <w:cols w:equalWidth="0" w:num="1">
            <w:col w:w="11240"/>
          </w:cols>
          <w:pgMar w:left="320" w:top="611" w:right="3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4" w:name="page15"/>
    <w:bookmarkEnd w:id="14"/>
    <w:p>
      <w:pPr>
        <w:jc w:val="both"/>
        <w:spacing w:after="0" w:line="286" w:lineRule="auto"/>
        <w:rPr>
          <w:sz w:val="20"/>
          <w:szCs w:val="20"/>
          <w:color w:val="auto"/>
        </w:rPr>
      </w:pPr>
      <w:r>
        <w:rPr>
          <w:rFonts w:ascii="Arial" w:cs="Arial" w:eastAsia="Arial" w:hAnsi="Arial"/>
          <w:sz w:val="16"/>
          <w:szCs w:val="16"/>
          <w:color w:val="auto"/>
        </w:rPr>
        <w:t>remaining charges incurred due to the restructuring plan are included within Restructuring expense in the condensed consolidated statements of operations and comprehensive (loss)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8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1660" w:type="dxa"/>
            <w:vAlign w:val="bottom"/>
          </w:tcPr>
          <w:p>
            <w:pPr>
              <w:jc w:val="center"/>
              <w:ind w:right="1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7600" w:type="dxa"/>
            <w:vAlign w:val="bottom"/>
          </w:tcPr>
          <w:p>
            <w:pPr>
              <w:spacing w:after="0"/>
              <w:rPr>
                <w:sz w:val="18"/>
                <w:szCs w:val="18"/>
                <w:color w:val="auto"/>
              </w:rPr>
            </w:pPr>
          </w:p>
        </w:tc>
        <w:tc>
          <w:tcPr>
            <w:tcW w:w="12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March 31,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March 31,</w:t>
            </w:r>
          </w:p>
        </w:tc>
      </w:tr>
      <w:tr>
        <w:trPr>
          <w:trHeight w:val="209"/>
        </w:trPr>
        <w:tc>
          <w:tcPr>
            <w:tcW w:w="7600" w:type="dxa"/>
            <w:vAlign w:val="bottom"/>
          </w:tcPr>
          <w:p>
            <w:pPr>
              <w:spacing w:after="0"/>
              <w:rPr>
                <w:sz w:val="18"/>
                <w:szCs w:val="18"/>
                <w:color w:val="auto"/>
              </w:rPr>
            </w:pPr>
          </w:p>
        </w:tc>
        <w:tc>
          <w:tcPr>
            <w:tcW w:w="128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2022</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Cash restructuring charges:</w:t>
            </w:r>
          </w:p>
        </w:tc>
        <w:tc>
          <w:tcPr>
            <w:tcW w:w="1280" w:type="dxa"/>
            <w:vAlign w:val="bottom"/>
          </w:tcPr>
          <w:p>
            <w:pPr>
              <w:spacing w:after="0"/>
              <w:rPr>
                <w:sz w:val="18"/>
                <w:szCs w:val="18"/>
                <w:color w:val="auto"/>
              </w:rPr>
            </w:pPr>
          </w:p>
        </w:tc>
        <w:tc>
          <w:tcPr>
            <w:tcW w:w="236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and other personnel costs</w:t>
            </w: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Professional fees and other related charges</w:t>
            </w:r>
          </w:p>
        </w:tc>
        <w:tc>
          <w:tcPr>
            <w:tcW w:w="1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0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cash charges</w:t>
            </w:r>
          </w:p>
        </w:tc>
        <w:tc>
          <w:tcPr>
            <w:tcW w:w="1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113.7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r>
      <w:tr>
        <w:trPr>
          <w:trHeight w:val="251"/>
        </w:trPr>
        <w:tc>
          <w:tcPr>
            <w:tcW w:w="76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charges:</w:t>
            </w:r>
          </w:p>
        </w:tc>
        <w:tc>
          <w:tcPr>
            <w:tcW w:w="1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Asset write-downs and write-offs</w:t>
            </w:r>
          </w:p>
        </w:tc>
        <w:tc>
          <w:tcPr>
            <w:tcW w:w="1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r>
      <w:tr>
        <w:trPr>
          <w:trHeight w:val="209"/>
        </w:trPr>
        <w:tc>
          <w:tcPr>
            <w:tcW w:w="7600" w:type="dxa"/>
            <w:vAlign w:val="bottom"/>
          </w:tcPr>
          <w:p>
            <w:pPr>
              <w:ind w:left="140"/>
              <w:spacing w:after="0"/>
              <w:rPr>
                <w:sz w:val="20"/>
                <w:szCs w:val="20"/>
                <w:color w:val="auto"/>
              </w:rPr>
            </w:pPr>
            <w:r>
              <w:rPr>
                <w:rFonts w:ascii="Arial" w:cs="Arial" w:eastAsia="Arial" w:hAnsi="Arial"/>
                <w:sz w:val="16"/>
                <w:szCs w:val="16"/>
                <w:color w:val="auto"/>
              </w:rPr>
              <w:t>Total non-cash charges</w:t>
            </w:r>
          </w:p>
        </w:tc>
        <w:tc>
          <w:tcPr>
            <w:tcW w:w="1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72.3</w:t>
            </w:r>
          </w:p>
        </w:tc>
      </w:tr>
      <w:tr>
        <w:trPr>
          <w:trHeight w:val="271"/>
        </w:trPr>
        <w:tc>
          <w:tcPr>
            <w:tcW w:w="760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spacing w:after="0"/>
              <w:rPr>
                <w:sz w:val="23"/>
                <w:szCs w:val="23"/>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2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186.0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w:t>
            </w:r>
          </w:p>
        </w:tc>
      </w:tr>
      <w:tr>
        <w:trPr>
          <w:trHeight w:val="20"/>
        </w:trPr>
        <w:tc>
          <w:tcPr>
            <w:tcW w:w="76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Restructuring Plan, the Company committed to the closures of certain warehouse and retail locations, the discontinuation of manufacturing in North America, and the wind down of certain software implementation and development projects. Due to the actions taken the Company tested certain fixed assets for recoverability by comparing the carrying value of the asset group to an estimate of the future undiscounted cash flows which was generally the liquidation value. Based on the results of the recoverability test, the Company determined that as of March 31, 2022</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the undiscounted cash flows of the asset groups were below the carrying values, indicating impairment. The assets were written down to their estimated fair value, which was determined based on their expected liquidation value.</w:t>
      </w:r>
    </w:p>
    <w:p>
      <w:pPr>
        <w:spacing w:after="0" w:line="19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presents a roll-forward of cash restructuring-related liabilities, which is included within Accounts payable and accrued expenses in the condensed consolidated balance sheets,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8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Professional fees and</w:t>
            </w:r>
          </w:p>
        </w:tc>
        <w:tc>
          <w:tcPr>
            <w:tcW w:w="400" w:type="dxa"/>
            <w:vAlign w:val="bottom"/>
          </w:tcPr>
          <w:p>
            <w:pPr>
              <w:spacing w:after="0"/>
              <w:rPr>
                <w:sz w:val="16"/>
                <w:szCs w:val="16"/>
                <w:color w:val="auto"/>
              </w:rPr>
            </w:pPr>
          </w:p>
        </w:tc>
        <w:tc>
          <w:tcPr>
            <w:tcW w:w="136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other related charges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113.7</w:t>
            </w: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March 31,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addition to the above charges, the Company incurred approximately $84.0 million of capital expenditures related to Peloton Output Park since project inception.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Fair Value Measurements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 of Other Financial Instruments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the estimated fair values of the Company’s financial instruments that are not recorded at fair value on the condensed 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40" w:type="dxa"/>
            <w:vAlign w:val="bottom"/>
            <w:gridSpan w:val="3"/>
          </w:tcPr>
          <w:p>
            <w:pPr>
              <w:jc w:val="center"/>
              <w:ind w:right="599"/>
              <w:spacing w:after="0"/>
              <w:rPr>
                <w:sz w:val="20"/>
                <w:szCs w:val="20"/>
                <w:color w:val="auto"/>
              </w:rPr>
            </w:pPr>
            <w:r>
              <w:rPr>
                <w:rFonts w:ascii="Arial" w:cs="Arial" w:eastAsia="Arial" w:hAnsi="Arial"/>
                <w:sz w:val="16"/>
                <w:szCs w:val="16"/>
                <w:b w:val="1"/>
                <w:bCs w:val="1"/>
                <w:color w:val="auto"/>
              </w:rPr>
              <w:t>As of March 31, 2022</w:t>
            </w:r>
          </w:p>
        </w:tc>
        <w:tc>
          <w:tcPr>
            <w:tcW w:w="1100" w:type="dxa"/>
            <w:vAlign w:val="bottom"/>
          </w:tcPr>
          <w:p>
            <w:pPr>
              <w:spacing w:after="0"/>
              <w:rPr>
                <w:sz w:val="18"/>
                <w:szCs w:val="18"/>
                <w:color w:val="auto"/>
              </w:rPr>
            </w:pPr>
          </w:p>
        </w:tc>
      </w:tr>
      <w:tr>
        <w:trPr>
          <w:trHeight w:val="217"/>
        </w:trPr>
        <w:tc>
          <w:tcPr>
            <w:tcW w:w="5320" w:type="dxa"/>
            <w:vAlign w:val="bottom"/>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3</w:t>
            </w: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10"/>
        </w:trPr>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836.6</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836.6</w:t>
            </w:r>
          </w:p>
        </w:tc>
      </w:tr>
    </w:tbl>
    <w:p>
      <w:pPr>
        <w:spacing w:after="0" w:line="2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fair value of the 0% Convertible Senior Notes due February 15, 2026 (the “Notes”) is determined based on the closing price on the last trading day of the reporting period.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20"/>
                <w:szCs w:val="20"/>
                <w:color w:val="auto"/>
              </w:rPr>
            </w:pPr>
            <w:r>
              <w:rPr>
                <w:rFonts w:ascii="Arial" w:cs="Arial" w:eastAsia="Arial" w:hAnsi="Arial"/>
                <w:sz w:val="16"/>
                <w:szCs w:val="16"/>
                <w:b w:val="1"/>
                <w:bCs w:val="1"/>
                <w:color w:val="auto"/>
              </w:rPr>
              <w:t>6. Inventories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97"/>
        </w:trPr>
        <w:tc>
          <w:tcPr>
            <w:tcW w:w="7600" w:type="dxa"/>
            <w:vAlign w:val="bottom"/>
          </w:tcPr>
          <w:p>
            <w:pPr>
              <w:spacing w:after="0"/>
              <w:rPr>
                <w:sz w:val="20"/>
                <w:szCs w:val="20"/>
                <w:color w:val="auto"/>
              </w:rPr>
            </w:pPr>
            <w:r>
              <w:rPr>
                <w:rFonts w:ascii="Arial" w:cs="Arial" w:eastAsia="Arial" w:hAnsi="Arial"/>
                <w:sz w:val="16"/>
                <w:szCs w:val="16"/>
                <w:color w:val="auto"/>
              </w:rPr>
              <w:t>Inventories were as follows: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5"/>
        </w:trPr>
        <w:tc>
          <w:tcPr>
            <w:tcW w:w="7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2021</w:t>
            </w:r>
          </w:p>
        </w:tc>
      </w:tr>
      <w:tr>
        <w:trPr>
          <w:trHeight w:val="210"/>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7"/>
        </w:trPr>
        <w:tc>
          <w:tcPr>
            <w:tcW w:w="76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Finished products</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879.5</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1,509.9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997.2</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Reserves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10"/>
        </w:trPr>
        <w:tc>
          <w:tcPr>
            <w:tcW w:w="7600" w:type="dxa"/>
            <w:vAlign w:val="bottom"/>
          </w:tcPr>
          <w:p>
            <w:pPr>
              <w:ind w:left="240"/>
              <w:spacing w:after="0"/>
              <w:rPr>
                <w:sz w:val="20"/>
                <w:szCs w:val="20"/>
                <w:color w:val="auto"/>
              </w:rPr>
            </w:pPr>
            <w:r>
              <w:rPr>
                <w:rFonts w:ascii="Arial" w:cs="Arial" w:eastAsia="Arial" w:hAnsi="Arial"/>
                <w:sz w:val="16"/>
                <w:szCs w:val="16"/>
                <w:color w:val="auto"/>
              </w:rPr>
              <w:t>Total inventories,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937.1</w:t>
            </w:r>
          </w:p>
        </w:tc>
      </w:tr>
      <w:tr>
        <w:trPr>
          <w:trHeight w:val="21"/>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69" w:lineRule="exact"/>
        <w:rPr>
          <w:sz w:val="20"/>
          <w:szCs w:val="20"/>
          <w:color w:val="auto"/>
        </w:rPr>
      </w:pPr>
    </w:p>
    <w:p>
      <w:pPr>
        <w:ind w:right="180" w:firstLine="8"/>
        <w:spacing w:after="0" w:line="264" w:lineRule="auto"/>
        <w:tabs>
          <w:tab w:leader="none" w:pos="189"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$167.9 million and $249.9 million of finished goods inventory in transit, products owned by the Company that have not yet been received at a Company distribution center, as of March 31, 2022 and June 30, 2021, respectively.</w:t>
      </w:r>
    </w:p>
    <w:p>
      <w:pPr>
        <w:spacing w:after="0" w:line="201"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The Company’s inventory reserves as of March 31, 2022 relate primarily to returned connected fitness products and obsolete accessory inventory that the Company does not expect to sell.</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Acquisitions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Precor Incorporated</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April 1, 2021, the Company acquired the Precor business, which consisted of 15 legal entities (“Precor”) from Amer Sports Corporation (“Amer”) for a purchase price of approximately $412.0 million, net of cash acquired, which was paid in cash. During the nine months ended March 31, 2022, the purchase consideration was reduced by $2.9 million associated with working capital adjustments, resulting in a revised purchase price of $409.2 million. Upon completion of the transaction, Precor became wholly owned subsidiaries of the Company.</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the fourth quarter of fiscal 2021, the Company completed a preliminary analysis to determine the fair values of the assets acquired and liabilities assumed and the amounts recorded reflected management’s initial assessment of fair value as of the closing date. Based on additional information obtained to date, the Company refined its initial assessment of fair value and, as a result, recognized the following adjustments to the Company’s preliminary purchase price allocation during the first quarter of fiscal 2022: Inventory decreased $4.0 million, Intangible assets, net increased $1.0 million, and deferred tax liability increased $3.4 million. The adjustments resulted in a corresponding increase to Goodwill of $3.5 million, of which $3.4 million relates to the deferred tax liability and $0.1 million relates to the updated fair value assessment. The adjustments did not result in a material impact on the financial results of prior periods. The purchase price allocation was finalized as of March 31, 2022.</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Acquisitions</w:t>
      </w:r>
    </w:p>
    <w:p>
      <w:pPr>
        <w:spacing w:after="0" w:line="4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the nine months ended March 31, 2022, the Company completed two transactions to acquire certain developed software and assembled workforce for use in the development of the Company’s data platform and content supply chain. The transactions were completed on November 1, 2021 and November 8, 2021, and were accounted for as a business combination and asset acquisition, respectively. There were no acquisitions that closed during the three months ended March 31, 2022.</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acquisitions resulted in the recognition of $12.0 million of Goodwill, and $17.7 million of assets primarily consisting of developed software. The developed software was assigned a useful life of 3 years and is recorded in Property and equipment, net on the Company’s condensed consolidated balance sheets.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Goodwill</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value of goodwill are as follows:</w:t>
      </w:r>
    </w:p>
    <w:p>
      <w:pPr>
        <w:sectPr>
          <w:pgSz w:w="11900" w:h="16838" w:orient="portrait"/>
          <w:cols w:equalWidth="0" w:num="1">
            <w:col w:w="11240"/>
          </w:cols>
          <w:pgMar w:left="320" w:top="827"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2022</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39" w:lineRule="exact"/>
        <w:rPr>
          <w:sz w:val="20"/>
          <w:szCs w:val="20"/>
          <w:color w:val="auto"/>
        </w:rPr>
      </w:pPr>
    </w:p>
    <w:p>
      <w:pPr>
        <w:ind w:left="1280" w:hanging="1271"/>
        <w:spacing w:after="0"/>
        <w:tabs>
          <w:tab w:leader="none" w:pos="1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210.1</w:t>
      </w:r>
    </w:p>
    <w:p>
      <w:pPr>
        <w:spacing w:after="0" w:line="25"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6"/>
          <w:szCs w:val="16"/>
          <w:color w:val="auto"/>
        </w:rPr>
        <w:t>12.0</w:t>
      </w:r>
    </w:p>
    <w:p>
      <w:pPr>
        <w:spacing w:after="0" w:line="32" w:lineRule="exact"/>
        <w:rPr>
          <w:rFonts w:ascii="Arial" w:cs="Arial" w:eastAsia="Arial" w:hAnsi="Arial"/>
          <w:sz w:val="16"/>
          <w:szCs w:val="16"/>
          <w:color w:val="auto"/>
        </w:rPr>
      </w:pPr>
    </w:p>
    <w:p>
      <w:pPr>
        <w:ind w:left="1460"/>
        <w:spacing w:after="0"/>
        <w:rPr>
          <w:rFonts w:ascii="Arial" w:cs="Arial" w:eastAsia="Arial" w:hAnsi="Arial"/>
          <w:sz w:val="16"/>
          <w:szCs w:val="16"/>
          <w:color w:val="auto"/>
        </w:rPr>
      </w:pPr>
      <w:r>
        <w:rPr>
          <w:rFonts w:ascii="Arial" w:cs="Arial" w:eastAsia="Arial" w:hAnsi="Arial"/>
          <w:sz w:val="16"/>
          <w:szCs w:val="16"/>
          <w:color w:val="auto"/>
        </w:rPr>
        <w:t>1.0</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(181.9)</w:t>
      </w:r>
    </w:p>
    <w:p>
      <w:pPr>
        <w:spacing w:after="0" w:line="46" w:lineRule="exact"/>
        <w:rPr>
          <w:sz w:val="20"/>
          <w:szCs w:val="20"/>
          <w:color w:val="auto"/>
        </w:rPr>
      </w:pPr>
    </w:p>
    <w:p>
      <w:pPr>
        <w:ind w:left="1380" w:hanging="1371"/>
        <w:spacing w:after="0"/>
        <w:tabs>
          <w:tab w:leader="none" w:pos="1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1226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60" w:space="720"/>
            <w:col w:w="1760"/>
          </w:cols>
          <w:pgMar w:left="320" w:top="827" w:right="339" w:bottom="1440" w:gutter="0" w:footer="0" w:header="0"/>
          <w:type w:val="continuous"/>
        </w:sectPr>
      </w:pPr>
    </w:p>
    <w:p>
      <w:pPr>
        <w:spacing w:after="0" w:line="1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reviews Goodwill for impairment annually on April 1 and more frequently if events or changes in circumstances indicate that an impairment may exist (“a triggering event”). During the three months ended March 31, 2022, management identified various qualitative factors</w:t>
      </w:r>
    </w:p>
    <w:p>
      <w:pPr>
        <w:sectPr>
          <w:pgSz w:w="11900" w:h="16838" w:orient="portrait"/>
          <w:cols w:equalWidth="0" w:num="1">
            <w:col w:w="11240"/>
          </w:cols>
          <w:pgMar w:left="320" w:top="827"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16" w:name="page17"/>
    <w:bookmarkEnd w:id="16"/>
    <w:p>
      <w:pPr>
        <w:jc w:val="both"/>
        <w:spacing w:after="0" w:line="265" w:lineRule="auto"/>
        <w:rPr>
          <w:sz w:val="20"/>
          <w:szCs w:val="20"/>
          <w:color w:val="auto"/>
        </w:rPr>
      </w:pPr>
      <w:r>
        <w:rPr>
          <w:rFonts w:ascii="Arial" w:cs="Arial" w:eastAsia="Arial" w:hAnsi="Arial"/>
          <w:sz w:val="16"/>
          <w:szCs w:val="16"/>
          <w:color w:val="auto"/>
        </w:rPr>
        <w:t>that collectively, indicated that the Company had a triggering event, including (i) softening demand; (ii) increased costs of inventory and logistics; and (iii) sustained decrease in stock price. The Company performed a valuation of the Connected Fitness Products reporting unit using liquidation value and discounted cash flow methodologies. Given the results of the quantitative assessment, the Company determined that the Connected Fitness Products reporting unit’s goodwill was impaired. During the three months ended March 31, 2022, the Company recognized a goodwill impairment charge of $181.9 million representing the entire amount of Goodwill related to the Connected Fitness Products reporting unit in the Connected Fitness Products Segment.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Debt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and the Indenture</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February 2021, the Company issued $1.0 billion aggregate principal amount of the Notes in a private offering, including the exercise in full of the over-allotment option granted to the initial purchasers of $125.0 million. The Notes were issued pursuant to an Indenture (the “Indenture”) between the Company and U.S. Bank National Association, as trustee. The Notes are senior unsecured obligations of the Company and do not bear regular interest, and the principal amount of the Notes does not accrete. The net proceeds from this offering were approximately $977.2 million, after deducting the initial purchasers' discounts and commissions and the Company’s offering expenses.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Each $1,000 principal amount of the Notes is initially convertible into 4.1800 shares of the Company’s Class A Common Stock, which is equivalent to an initial conversion price of approximately $239.23 per share. The conversion rate is subject to customary adjustments under certain circumstances in accordance with the terms of the Indenture. In addition, if certain corporate events that constitute a make-whole fundamental change occur, then the conversion rate will, in certain circumstances, be increased for a specified period of time.</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Notes will mature on February 15, 2026, unless earlier converted, redeemed, or repurchased. The Notes will be convertible at the option of the holders at certain times and upon the occurrence of certain events in the future.</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or after August 15, 2025, until the close of business on the second scheduled trading day immediately preceding the maturity date, holders may convert all or any portion of their Notes, in multiples of $1,000 principal amount, at the option of the holder regardless of the foregoing circumstances.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Indenture. It is the Company’s current intent to settle the principal amount of the Notes with cash.</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may redeem for cash all or any portion of the Notes, at its option, on or after February 20, 2024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Notes to be redeemed, plus any accrued and unpaid special interest, if any, to, but excluding, the redemption date. No sinking fund is provided for the Notes, which means that the Company is not required to redeem or retire the Notes periodically.</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Upon the occurrence of a fundamental change (as defined in the Indenture), subject to certain conditions, holders may require the Company to repurchase all or a portion of the Notes for cash at a price equal to 100% of the principal amount of the Notes to be repurchased, plus any accrued and unpaid special interest, if any, to, but excluding, the fundamental change repurchase date.</w:t>
      </w:r>
    </w:p>
    <w:p>
      <w:pPr>
        <w:spacing w:after="0" w:line="19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accounting for the issuance of the Notes, the Company separated the Notes into liability and equity components, using an effective interest rate of 3.69% to determine the fair value of the liability component. The carrying amount of the equity component representing the conversion option was $163.8 million and was determined by deducting the fair value of the liability component from the initial proceeds ascribed to the Notes as a whole. The equity component is not remeasured as long as it continues to meet the conditions for equity classification. The excess of the principal amount of the liability component over its carrying amount (“debt discount”) is amortized to interest expense using the effective interest method over the contractual term of the Notes.</w:t>
      </w:r>
    </w:p>
    <w:p>
      <w:pPr>
        <w:spacing w:after="0" w:line="21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accounting for the transaction costs related to the Notes, the Company allocated the total amount incurred to the liability and equity components of the Notes based on the proportion of the proceeds allocated to the debt and equity components. Issuance costs attributable to the liability component recorded as additional debt discount were $19.0 million and will be amortized to interest expense using the effective interest method over the contractual terms of the Notes. Issuance costs attributable to the equity component of $3.7 million were netted with the equity component in stockholders’ equity.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net carrying amount of the liability component of the Notes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March 31, 2022</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6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Unamortized debt discount</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issuance costs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Net carrying amount</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855.3</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6"/>
                <w:szCs w:val="16"/>
                <w:color w:val="auto"/>
              </w:rPr>
              <w:t>The following table sets forth the interest expense recognized related to the Notes:</w:t>
            </w: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2"/>
        </w:trPr>
        <w:tc>
          <w:tcPr>
            <w:tcW w:w="63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320" w:type="dxa"/>
            <w:vAlign w:val="bottom"/>
          </w:tcPr>
          <w:p>
            <w:pPr>
              <w:spacing w:after="0"/>
              <w:rPr>
                <w:sz w:val="23"/>
                <w:szCs w:val="23"/>
                <w:color w:val="auto"/>
              </w:rPr>
            </w:pPr>
          </w:p>
        </w:tc>
        <w:tc>
          <w:tcPr>
            <w:tcW w:w="300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3"/>
                <w:szCs w:val="23"/>
                <w:color w:val="auto"/>
              </w:rPr>
            </w:pPr>
          </w:p>
        </w:tc>
        <w:tc>
          <w:tcPr>
            <w:tcW w:w="2700" w:type="dxa"/>
            <w:vAlign w:val="bottom"/>
            <w:gridSpan w:val="5"/>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5"/>
          </w:tcPr>
          <w:p>
            <w:pPr>
              <w:jc w:val="right"/>
              <w:ind w:right="91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Amortization of debt issuance costs</w:t>
            </w:r>
          </w:p>
        </w:tc>
        <w:tc>
          <w:tcPr>
            <w:tcW w:w="98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98"/>
              </w:rPr>
              <w:t>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Interest capitalized</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73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Total interest expense related to the Notes</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8"/>
              </w:rPr>
              <w:t>8.5</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Capped Call Transactions</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connection with the offering of the Notes, the Company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the Company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accounting purposes, the Capped Call Transactions are separate transactions, and are not part of the terms of the Notes. The net cost of $81.3 million incurred to purchase the Capped Call Transactions was recorded as a reduction to Additional paid-in capital on the Company’s condensed consolidated balance sheets.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Credit Agreement</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2019, the Company entered into an amended and restated loan and security agreement (“Amended and Restated Credit Agreement”). The Amended and Restated Credit Agreement provided for a $250.0 million secured revolving credit facility, including up to the lesser of $150.0 million and the aggregate unused amount of the facility for the issuance of letters of credit.</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February 8, 2021, the Company entered into a First Amendment (the “First Amendment”) to the Amended and Restated Credit Agreement to revise certain covenants that restricted the incurrence of indebtedness to permit the Capped Call Transactions and issuance of the Notes.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18, 2021, the Company entered into a Joinder Agreement (the “Joinder”) to the Amended and Restated Credit Agreement, as amended by the First Amendment, to provide for an increase of the commitments available under the revolving credit facility from $250.0 million to $285.0 million.</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December 10, 2021, the Company entered into a Second Amendment (the “Second Amendment”) to the Amended and Restated Credit Agreement (as amended by the First Amendment, the Joinder and the Second Amendment, the “Credit Agreement”). The Second Amendment amends certain provisions of the Credit Agreement to, among other changes, increase the lenders’ aggregate commitments to extend credit to the Company from an aggregate amount of $285.0 million in revolving loans to an aggregate amount of $500.0 million in revolving loans, extend the maturity date for $465.0 million of the commitments to December 10, 2026 with $35.0 million of the commitments expiring on June 20, 2024, and modify certain covenants contained therein. Interest on the Amended Credit Agreement is paid based on the Secured Overnight Financing Rate (“SOFR”) plus 2.25% or an Alternative Base Rate plus 1.25% for revolving loans maturing on December 10, 2026, and is paid based on SOFR plus 2.75% or an Alternative Base Rate plus 1.75% for revolving loans maturing on June 20, 2024. The Company is required to pay an annual commitment fee of 0.325% and 0.375% on a quarterly basis based on the unused portion of the revolving credit facility for the revolving loans maturing on December 10, 2026 and June 20, 2024, respectively.</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 w:name="page19"/>
    <w:bookmarkEnd w:id="18"/>
    <w:p>
      <w:pPr>
        <w:jc w:val="both"/>
        <w:spacing w:after="0" w:line="275" w:lineRule="auto"/>
        <w:rPr>
          <w:sz w:val="20"/>
          <w:szCs w:val="20"/>
          <w:color w:val="auto"/>
        </w:rPr>
      </w:pPr>
      <w:r>
        <w:rPr>
          <w:rFonts w:ascii="Arial" w:cs="Arial" w:eastAsia="Arial" w:hAnsi="Arial"/>
          <w:sz w:val="16"/>
          <w:szCs w:val="16"/>
          <w:color w:val="auto"/>
        </w:rPr>
        <w:t>During the three and nine months ended March 31, 2022, the Company incurred total commitment fees of $0.4 million and $1.0 million, respectively, and $0.2 million and 0.7 million during the three and nine months ended March 31, 2021, respectively, which are included in Interest expense in the condensed consolidated statements of operations and comprehensive (loss) income.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2022, the Company had not drawn on the credit facility and did not have outstanding borrowings under the Credit Agreement.</w:t>
      </w: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execution of the Second Amendment, the Company incurred debt issuance costs of $1.1 million which are capitalized and presented as Other assets on the Company’s condensed consolidated balance sheets. These costs are being amortized to interest expense using the effective interest method over the term of the Credit Agreement.</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has the option to repay its borrowings under the Credit Agreement without premium or penalty prior to maturity. The Credit Agreement contains customary affirmative covenants as well as customary covenants that restrict the Company’s ability to, among other things, incur additional indebtedness, sell certain assets, guarantee obligations of third parties, declare dividends or make certain distributions, and undergo a merger or consolidation or certain other transactions. The Credit Agreement also contains certain financial condition covenants, including maintaining a total level of liquidity of not less than $250.0 million and maintaining a minimum total four-quarter revenue level of $3.0 billion (which are replaced with a covenant to maintain a minimum debt to adjusted EBITDA ratio upon the Company’s meeting a specified adjusted EBITDA threshold). As of March 31, 2022, the Company was in compliance with the covenants under the Credit Agreement. At March 31, 2022, the Company was contingently liable for approximately $4.8 million in standby letters of credit as security for an operating lease obligation. In addition, the Company is required to pledge or otherwise restrict a portion of cash and cash equivalents as collateral for standby letters of credit. As of March 31, 2022, the Company had $86.0 million in letters of credit, which are classified as Restricted cash on its condensed consolidated balance sheets.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On May 9, 2022, the Company entered into a binding commitment letter with respect to a $750.0 million senior secured term loan facility. See </w:t>
      </w:r>
      <w:r>
        <w:rPr>
          <w:rFonts w:ascii="Arial" w:cs="Arial" w:eastAsia="Arial" w:hAnsi="Arial"/>
          <w:sz w:val="16"/>
          <w:szCs w:val="16"/>
          <w:i w:val="1"/>
          <w:iCs w:val="1"/>
          <w:color w:val="auto"/>
        </w:rPr>
        <w:t>Note 16 –</w:t>
      </w:r>
      <w:r>
        <w:rPr>
          <w:rFonts w:ascii="Arial" w:cs="Arial" w:eastAsia="Arial" w:hAnsi="Arial"/>
          <w:sz w:val="16"/>
          <w:szCs w:val="16"/>
          <w:color w:val="auto"/>
        </w:rPr>
        <w:t xml:space="preserve"> </w:t>
      </w:r>
      <w:r>
        <w:rPr>
          <w:rFonts w:ascii="Arial" w:cs="Arial" w:eastAsia="Arial" w:hAnsi="Arial"/>
          <w:sz w:val="16"/>
          <w:szCs w:val="16"/>
          <w:i w:val="1"/>
          <w:iCs w:val="1"/>
          <w:color w:val="auto"/>
        </w:rPr>
        <w:t>Subsequent Events.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Commitments and Contingencies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minimum guarantee royalty payments associated under certain music license agreements.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following represents the Company's minimum annual guarantee payments under music license agreements for the next three years as of March 31, 2022:</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Future Minimum</w:t>
            </w:r>
          </w:p>
        </w:tc>
      </w:tr>
      <w:tr>
        <w:trPr>
          <w:trHeight w:val="216"/>
        </w:trPr>
        <w:tc>
          <w:tcPr>
            <w:tcW w:w="9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r>
      <w:tr>
        <w:trPr>
          <w:trHeight w:val="210"/>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38.4</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10"/>
        </w:trPr>
        <w:tc>
          <w:tcPr>
            <w:tcW w:w="9480" w:type="dxa"/>
            <w:vAlign w:val="bottom"/>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Content Costs for Past Use Reserve</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 secure the rights to stream music on the Peloton platform, the Company must obtain licenses from, and pay royalties to, copyright owners of both sound recordings and musical compositions. The licensors have the right to audit our royalty calculations and routinely exercise those rights. The Company has entered into negotiations with various music rights holders, to pay for any and all uses of musical compositions and sound recordings to date and, at the same time, enter into go-forward license agreements for the use of music in the future.</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Prior to the execution of go-forward music license agreements, the Company estimates and records expenses inclusive of estimated content costs for past use as well as normal and recurring music royalty expenses. The Company includes both of these components in its reserve. As of March 31, 2022 and 2021, the Company had previously recorded reserves of $10.2 million and $13.3 million, respectively, included in Accounts payable and accrued expenses in the accompanying condensed consolidated balance sheets.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Recall Reserves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050505"/>
        </w:rPr>
        <w:t xml:space="preserve">On May 5, 2021, the Company announced separate, voluntary recalls of its Tread+ and Tread products in collaboration with the </w:t>
      </w:r>
      <w:r>
        <w:rPr>
          <w:rFonts w:ascii="Arial" w:cs="Arial" w:eastAsia="Arial" w:hAnsi="Arial"/>
          <w:sz w:val="16"/>
          <w:szCs w:val="16"/>
          <w:color w:val="000000"/>
        </w:rPr>
        <w:t>U.S. Consumer Product</w:t>
      </w:r>
      <w:r>
        <w:rPr>
          <w:rFonts w:ascii="Arial" w:cs="Arial" w:eastAsia="Arial" w:hAnsi="Arial"/>
          <w:sz w:val="16"/>
          <w:szCs w:val="16"/>
          <w:color w:val="050505"/>
        </w:rPr>
        <w:t xml:space="preserve"> </w:t>
      </w:r>
      <w:r>
        <w:rPr>
          <w:rFonts w:ascii="Arial" w:cs="Arial" w:eastAsia="Arial" w:hAnsi="Arial"/>
          <w:sz w:val="16"/>
          <w:szCs w:val="16"/>
          <w:color w:val="000000"/>
        </w:rPr>
        <w:t>Safety Commission ("</w:t>
      </w:r>
      <w:r>
        <w:rPr>
          <w:rFonts w:ascii="Arial" w:cs="Arial" w:eastAsia="Arial" w:hAnsi="Arial"/>
          <w:sz w:val="16"/>
          <w:szCs w:val="16"/>
          <w:color w:val="050505"/>
        </w:rPr>
        <w:t>CPSC") and halted sales of these products to work on product enhancements. As a result of these recalls, the Company accrued for a</w:t>
      </w:r>
      <w:r>
        <w:rPr>
          <w:rFonts w:ascii="Arial" w:cs="Arial" w:eastAsia="Arial" w:hAnsi="Arial"/>
          <w:sz w:val="16"/>
          <w:szCs w:val="16"/>
          <w:color w:val="000000"/>
        </w:rPr>
        <w:t xml:space="preserve"> </w:t>
      </w:r>
      <w:r>
        <w:rPr>
          <w:rFonts w:ascii="Arial" w:cs="Arial" w:eastAsia="Arial" w:hAnsi="Arial"/>
          <w:sz w:val="16"/>
          <w:szCs w:val="16"/>
          <w:color w:val="050505"/>
        </w:rPr>
        <w:t xml:space="preserve">reduction to Connected Fitness Products revenue for actual and estimated future returns of $17.5 million and $36.3 million for the three and nine months ended </w:t>
      </w:r>
      <w:r>
        <w:rPr>
          <w:rFonts w:ascii="Arial" w:cs="Arial" w:eastAsia="Arial" w:hAnsi="Arial"/>
          <w:sz w:val="16"/>
          <w:szCs w:val="16"/>
          <w:color w:val="000000"/>
        </w:rPr>
        <w:t>March 31, 2022</w:t>
      </w:r>
      <w:r>
        <w:rPr>
          <w:rFonts w:ascii="Arial" w:cs="Arial" w:eastAsia="Arial" w:hAnsi="Arial"/>
          <w:sz w:val="16"/>
          <w:szCs w:val="16"/>
          <w:color w:val="050505"/>
        </w:rPr>
        <w:t xml:space="preserve">, respectively, and a return reserve of $36.7 million is included within Accounts payable and accrued expenses in the accompanying condensed consolidated balance sheets related to the impacts of the recall. The estimated returns reserve is primarily based on historical and expected product returns. The Company recorded costs associated with inventory write-downs and logistic costs of $2.0 million and $7.6 million in Connected Fitness Products cost of revenue for the three and nine months ended, </w:t>
      </w:r>
      <w:r>
        <w:rPr>
          <w:rFonts w:ascii="Arial" w:cs="Arial" w:eastAsia="Arial" w:hAnsi="Arial"/>
          <w:sz w:val="16"/>
          <w:szCs w:val="16"/>
          <w:color w:val="000000"/>
        </w:rPr>
        <w:t>March 31, 2022, respectively.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i w:val="1"/>
          <w:iCs w:val="1"/>
          <w:color w:val="auto"/>
        </w:rPr>
        <w:t>Commitments to Suppliers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blanket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there are some which are not cancellable in the event of a demand plan change or other circumstances, such as where the supplier has procured unique, Peloton-specific designs, and/or specific non-cancellable, non-returnable components based on our provided forecasts.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previously disclosed that, as of December 31, 2021, our commitments to contract with third-party suppliers for on-hand inventory and component purchase commitments related to the manufacture of our products were estimated to be approximately $550 million. This was an estimate at December 31, 2021 of the potential amount that might be paid to third-party suppliers under our demand forecasts and open purchase orders existing at that time. Since that time, Peloton has further materially reduced its demand forecasts, and has engaged in discussions with certain third-party suppliers regarding its obligations under the governing contracts. As a result of these reductions and the resulting discussions, we now estimate that, as of March 31, 2022, our obligations under our contracts with third-party suppliers and contract manufacturers are collectively between $120 million and $280 million. While we are not under any legal obligation to do so, we also are currently negotiating to acquire certain additional inventory purchased by our suppliers under previous demand plan forecasts, where appropriate, in an effort to maintain long-term relationships and supply continuity, flexibility, and scalability. The timing of payments and consumption of any such inventory is part of our ongoing discussions. As of March 31, 2022, we believe these negotiated purchases, in excess of our obligations under our contracts, could range from $180 million to $470 million, but these negotiations are ongoing and the range may change as a result before final agreements are reached.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and Regulatory Proceedings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or may become, a party to legal and regulatory proceedings with respect to a variety of matters in the ordinary course of business.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example, we received reports of a number of injuries associated with our Tread+ product, one of which led to the death of a child. As a result of those reported Tread+ incidents, in April 2021, the CPSC unilaterally issued a warning to consumers about the safety hazards associated with the Tread+ and is continuing to investigate the matter. In addition to the CPSC investigation and other regulatory investigations, we are presently subject to class action litigation and private personal injury claims related to these perceived defects in the Tread+ and incidents reported to result from its use.</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Additionally on April 29, 2021, Ashley Wilson filed a putative securities class action lawsuit against the Company and certain of its officers, captioned Wilson v. Peloton Interactive, Inc., et al., Case No. 1:21-cv-02369-CBA-PK, in the United States District Court for the Eastern District of New York, purportedly on behalf of a class consisting of those individuals who purchased or otherwise acquired our common stock between September 11, 2020 and April 16, 2021 (the "Wilson Action"). Plaintiff Wilson amended her lawsuit on May 6, 2021 to expand the purported class to those who purchased or acquired our common stock between September 11, 2020 and May 5, 2021. On May 24, 2021, Leigh Drori filed a related putative securities class action lawsuit, captioned Drori v. Peloton Interactive, Inc., et al., Case No. 1:21-cv-02925-CBA-PK, also in the United States District Court for the Eastern District of New York (the “Drori Action”). On November 16, 2021, the district judge consolidated the Wilson and Drori Actions under the caption </w:t>
      </w:r>
      <w:r>
        <w:rPr>
          <w:rFonts w:ascii="Arial" w:cs="Arial" w:eastAsia="Arial" w:hAnsi="Arial"/>
          <w:sz w:val="16"/>
          <w:szCs w:val="16"/>
          <w:i w:val="1"/>
          <w:iCs w:val="1"/>
          <w:color w:val="auto"/>
        </w:rPr>
        <w:t>In re Peloton Interactive, Inc.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Litigation</w:t>
      </w:r>
      <w:r>
        <w:rPr>
          <w:rFonts w:ascii="Arial" w:cs="Arial" w:eastAsia="Arial" w:hAnsi="Arial"/>
          <w:sz w:val="16"/>
          <w:szCs w:val="16"/>
          <w:color w:val="auto"/>
        </w:rPr>
        <w:t>, Master File No. 21-cv-02369-CBA-PK, and appointed Richard Neswick as lead plaintiff. On January 21, 2022, lead plaintiff filed an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complaint in the action purportedly on behalf of a class consisting of those individuals who purchased or otherwise acquired our common stock between September 11, 2020 and May 5, 2021. Lead plaintiff alleges that the Company and certain of its officers made false or misleading statements in violation of Sections 10(b) and 20(a) of the Exchange Act of 1934 (“Exchange Act”) regarding the Company’s Tread and Tread+ products and the safety of those products. Defendants served their motion to dismiss the amended consolidated complaint on March 7, 2022, and briefing was complete on April 26, 2022.</w:t>
      </w: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On May 20, 2021, Alan Chu filed a verified shareholder derivative action lawsuit purportedly on behalf of the Company against certain of the Company’s executive officers and the members of the board of directors, captioned Chu v. Foley, et al., Case No. 1:21-cv-02862, in the United States District Court for the Eastern District of New York (the “Chu Action”). Plaintiff Chu alleges breaches of fiduciary duties, unjust enrichment, abuse of control, gross mismanagement, waste, and violations of Section 14(a) of the Securities and Exchange Act of 1934, as well as a claim for contribution under Sections 10(b) and 21D of the Securities Exchange Act of 1934 against the Company’s Chief Executive Officer and Chief Financial Officer. On August 13, 2021 and August 19, 2021, two related verified shareholder derivative complaints were filed, captioned Genack v. Foley, et al., Case No. 1:21-cv-04583 and Liu v. Foley, et al., Case No. 1:21-cv-04687, also purportedly on behalf of the Company, in the United States District Court for the Eastern District of New York. On October 13, 2021, the parties in the three putative derivative actions filed a stipulation seeking to consolidate the actions, and agreeing to a schedule for plaintiffs to file motions to be appointed lead plaintiff. On October 26, 2021, the court entered the stipulation consolidating the three actions under the caption </w:t>
      </w:r>
      <w:r>
        <w:rPr>
          <w:rFonts w:ascii="Arial" w:cs="Arial" w:eastAsia="Arial" w:hAnsi="Arial"/>
          <w:sz w:val="16"/>
          <w:szCs w:val="16"/>
          <w:i w:val="1"/>
          <w:iCs w:val="1"/>
          <w:color w:val="auto"/>
        </w:rPr>
        <w:t>In re Peloton</w:t>
      </w:r>
      <w:r>
        <w:rPr>
          <w:rFonts w:ascii="Arial" w:cs="Arial" w:eastAsia="Arial" w:hAnsi="Arial"/>
          <w:sz w:val="16"/>
          <w:szCs w:val="16"/>
          <w:color w:val="auto"/>
        </w:rPr>
        <w:t xml:space="preserve"> </w:t>
      </w:r>
      <w:r>
        <w:rPr>
          <w:rFonts w:ascii="Arial" w:cs="Arial" w:eastAsia="Arial" w:hAnsi="Arial"/>
          <w:sz w:val="16"/>
          <w:szCs w:val="16"/>
          <w:i w:val="1"/>
          <w:iCs w:val="1"/>
          <w:color w:val="auto"/>
        </w:rPr>
        <w:t>Interactive, Inc. Derivative Litigation</w:t>
      </w:r>
      <w:r>
        <w:rPr>
          <w:rFonts w:ascii="Arial" w:cs="Arial" w:eastAsia="Arial" w:hAnsi="Arial"/>
          <w:sz w:val="16"/>
          <w:szCs w:val="16"/>
          <w:color w:val="auto"/>
        </w:rPr>
        <w:t>, Master File No. 21-cv-02862-CBA-PK. On November 23, 2021, Anthony Franchi filed a shareholder derivative action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United States District Court for the Eastern District of New York against certain of the Company’s executive officers and members of the board of directors captioned </w:t>
      </w:r>
      <w:r>
        <w:rPr>
          <w:rFonts w:ascii="Arial" w:cs="Arial" w:eastAsia="Arial" w:hAnsi="Arial"/>
          <w:sz w:val="16"/>
          <w:szCs w:val="16"/>
          <w:i w:val="1"/>
          <w:iCs w:val="1"/>
          <w:color w:val="auto"/>
        </w:rPr>
        <w:t>Franchi v. Blachford, et al.</w:t>
      </w:r>
      <w:r>
        <w:rPr>
          <w:rFonts w:ascii="Arial" w:cs="Arial" w:eastAsia="Arial" w:hAnsi="Arial"/>
          <w:sz w:val="16"/>
          <w:szCs w:val="16"/>
          <w:color w:val="auto"/>
        </w:rPr>
        <w:t xml:space="preserve">, Case No. CV 21-06544 (the “Franchi Action”), which alleges breaches of fiduciary duty, unjust enrichment, and violations of Sections 14(a) and 20(a) of the Exchange Act. On January 24, 2022, the court entered a stipulation consolidating the Franchi Action into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 Peloton Interactive, Inc. Derivative Litigation </w:t>
      </w:r>
      <w:r>
        <w:rPr>
          <w:rFonts w:ascii="Arial" w:cs="Arial" w:eastAsia="Arial" w:hAnsi="Arial"/>
          <w:sz w:val="16"/>
          <w:szCs w:val="16"/>
          <w:color w:val="auto"/>
        </w:rPr>
        <w:t>and appointed each plaintiff a co-lead plaintiff. On February 3, 2022, the parties filed a stipulation to stay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derivative action, which the Court entered on February 11, 2022.</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On November 18, 2021, the City of Hialeah Employees’ Retirement System filed a putative securities class action lawsuit against the Company and certain of its officers in the United States District Court for the Southern District of New York, purportedly on behalf of a class consisting of those individuals who purchased or otherwise acquired our common stock between December 9, 2020 and November 4, 2021, captioned </w:t>
      </w:r>
      <w:r>
        <w:rPr>
          <w:rFonts w:ascii="Arial" w:cs="Arial" w:eastAsia="Arial" w:hAnsi="Arial"/>
          <w:sz w:val="16"/>
          <w:szCs w:val="16"/>
          <w:i w:val="1"/>
          <w:iCs w:val="1"/>
          <w:color w:val="auto"/>
        </w:rPr>
        <w:t>City of</w:t>
      </w:r>
    </w:p>
    <w:p>
      <w:pPr>
        <w:sectPr>
          <w:pgSz w:w="11900" w:h="16838" w:orient="portrait"/>
          <w:cols w:equalWidth="0" w:num="1">
            <w:col w:w="11240"/>
          </w:cols>
          <w:pgMar w:left="320" w:top="654"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type w:val="continuous"/>
        </w:sectPr>
      </w:pPr>
    </w:p>
    <w:bookmarkStart w:id="20" w:name="page21"/>
    <w:bookmarkEnd w:id="20"/>
    <w:p>
      <w:pPr>
        <w:jc w:val="both"/>
        <w:spacing w:after="0" w:line="259" w:lineRule="auto"/>
        <w:rPr>
          <w:sz w:val="20"/>
          <w:szCs w:val="20"/>
          <w:color w:val="auto"/>
        </w:rPr>
      </w:pPr>
      <w:r>
        <w:rPr>
          <w:rFonts w:ascii="Arial" w:cs="Arial" w:eastAsia="Arial" w:hAnsi="Arial"/>
          <w:sz w:val="16"/>
          <w:szCs w:val="16"/>
          <w:i w:val="1"/>
          <w:iCs w:val="1"/>
          <w:color w:val="auto"/>
        </w:rPr>
        <w:t>Hialeah Employees’ Retirement System v. Peloton Interactive, Inc.</w:t>
      </w:r>
      <w:r>
        <w:rPr>
          <w:rFonts w:ascii="Arial" w:cs="Arial" w:eastAsia="Arial" w:hAnsi="Arial"/>
          <w:sz w:val="16"/>
          <w:szCs w:val="16"/>
          <w:color w:val="auto"/>
        </w:rPr>
        <w:t>, Case No. 21-cv-09582-ALC (the “Hialeah Action”). On December 2, 2021, Anastasia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Deulina filed a related putative securities class action against the same defendants also in the United States District Court for the Southern District of New York captioned </w:t>
      </w:r>
      <w:r>
        <w:rPr>
          <w:rFonts w:ascii="Arial" w:cs="Arial" w:eastAsia="Arial" w:hAnsi="Arial"/>
          <w:sz w:val="16"/>
          <w:szCs w:val="16"/>
          <w:i w:val="1"/>
          <w:iCs w:val="1"/>
          <w:color w:val="auto"/>
        </w:rPr>
        <w:t>Deulina v. Peloton Interactive, Inc.</w:t>
      </w:r>
      <w:r>
        <w:rPr>
          <w:rFonts w:ascii="Arial" w:cs="Arial" w:eastAsia="Arial" w:hAnsi="Arial"/>
          <w:sz w:val="16"/>
          <w:szCs w:val="16"/>
          <w:color w:val="auto"/>
        </w:rPr>
        <w:t>, Case No. 21-cv-10266-ALC (the “Deulina Action”). The Hialeah and Deulina Actions allege that Defendants made false and misleading statements in violation of Sections 10(b) and 20(a) of the Exchange Act regarding demand for, and supply of, the Company’s products. On January 18, 2022, several purported shareholders filed motions to consolidate the Hialeah and Deulina Actions and to be appointed lead plaintiff. On May 5, 2022, the Court consolidated the Hialeah and Deulina Actions and appointed Robeco Capital Growth Funds SICAV – Robeco Global Consumer Trends as lead plaintiff and Grant &amp; Eisenhofer P.A. as lead counsel in the consolidated action. The parties will negotiate and submit a proposed schedule for lead plaintiff to file a consolidated amended complaint and for defendants to file a motion to dismiss.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April 2021, DISH Technologies L.L.C., and Sling TV L.L.C. (DISH) filed a complaint in the United States District Court for the Eastern District of Texas. DISH, along with DISH DBS Corporation, also filed a complaint in the United States International Trade Commission (ITC) under Section 337 of the Tariff Act of 1930 against the Company, along with ICON Health &amp; Fitness, Inc. (now iFIT Inc. f/k/a Icon Health &amp; Fitness, Inc.), FreeMotion Fitness, Inc., NordicTrack, Inc., lululemon athletica, inc., and Curiouser Products Inc. d/b/a MIRROR. The complaints allege infringement of various patents related to fitness devices containing internet-streaming enabled video displays. In the ITC complaint, DISH seeks an exclusion order barring the importation of Peloton Connected Fitness devices, and streaming components and systems containing components thereof that infringe one or more of the asserted patents, as well as a cease and desist order preventing the Company from carrying out commercial activities within the United States related to those products. In the Eastern District of Texas complaint, DISH is seeking an order permanently enjoining the Company from infringing the asserted patents, an award of damages for the infringement of the asserted patents, and an award of damages for lost sales. The ITC investigation is ongoing and the Texas litigation remains stayed pending resolution to the ITC investigation.</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February 2, 2022, iFit Inc. (“iFit”) filed a complaint with the United States International Trade Commission (ITC) under Section 337 of the Tariff Act of 1930 against the Company, along with Peloton Interactive, UK Ltd., Tonic Fitness Technology, Inc., and Rexon Industrial Corp., Ltd., alleging infringement of a continuation of a patent that is already at issue in a separate litigation between the Company and iFit, iFit Inc. v. Peloton Interactive Inc., C.A. No. 21-cv-0507-RGA (D. Del)., and that is related to an exercise system that includes a stationary bicycle having pedals, a free weight cradle, as well as a display with one or more processors and memory and programmed workouts. iFit seeks an exclusion order barring the importation of the Peloton exercise system and components that infringe the asserted patent, as well as a cease and desist order preventing the Company from carrying out certain commercial activities within the United States related to such imported products.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dispute the allegations in the above-referenced matters, intend to defend the matters vigorously, and believe that the claims are without merit. Some of our legal and regulatory proceedings, such as the above-referenced matters and litigation that centers around intellectual property claims, may be based on complex claims involving substantial uncertainties and unascertainable damages. Accordingly, it is not possible to determine the probability of loss or estimate damages for any of the above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Stockholders' Equity</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November 16, 2021, the Company entered into an underwriting agreement (the “Underwriting Agreement”) with Goldman Sachs &amp; Co. LLC and J.P. Morgan Securities LLC as representatives of the several underwriters named therein (collectively, the “Representatives”) relating to the offer and sale by the Company (the “Offering”) of 27,173,912 shares (the “Shares”) of the Company’s Class A common stock, par value $0.000025 per share, which includes 3,260,869 shares of Class A common stock issued and sold pursuant to the exercise in full by the underwriters of their option to purchase additional shares of Class A common stock pursuant to the Underwriting Agreement. The Company sold the Shares to the underwriters at the public offering price of $46.00 per share less underwriting discounts</w:t>
      </w:r>
      <w:r>
        <w:rPr>
          <w:rFonts w:ascii="Arial" w:cs="Arial" w:eastAsia="Arial" w:hAnsi="Arial"/>
          <w:sz w:val="16"/>
          <w:szCs w:val="16"/>
          <w:b w:val="1"/>
          <w:bCs w:val="1"/>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net proceeds to the Company from the Offering were approximately $1.2 billion after deducting the underwriters’ discounts and commissions.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Equity-Based Compensation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 On July 1, 2021, the number of shares of Class A common stock available for issuance under the 2019 Plan was automatically increased according to its terms by 15,007,356 shares. As of March 31, 2022, 41,534,684 shares of Class A common stock are available for future award under the 2019 Plan.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sets forth the stock option activity under the 2019 Plan: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left="179"/>
              <w:spacing w:after="0" w:line="155" w:lineRule="exact"/>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rPr>
              <w:t>Weighted-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59"/>
              <w:spacing w:after="0" w:line="162" w:lineRule="exact"/>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79"/>
              <w:spacing w:after="0" w:line="162" w:lineRule="exact"/>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 Term</w:t>
            </w: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 Options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Exercise Price</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rPr>
              <w:t>(years)</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millions)</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2021</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57,946,608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w w:val="98"/>
              </w:rPr>
              <w:t>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6,119.2</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18,290,794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45.86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(8,068,769)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400" w:type="dxa"/>
            <w:vAlign w:val="bottom"/>
          </w:tcPr>
          <w:p>
            <w:pPr>
              <w:jc w:val="right"/>
              <w:spacing w:after="0"/>
              <w:rPr>
                <w:sz w:val="20"/>
                <w:szCs w:val="20"/>
                <w:color w:val="auto"/>
              </w:rPr>
            </w:pPr>
            <w:r>
              <w:rPr>
                <w:rFonts w:ascii="Arial" w:cs="Arial" w:eastAsia="Arial" w:hAnsi="Arial"/>
                <w:sz w:val="16"/>
                <w:szCs w:val="16"/>
                <w:color w:val="auto"/>
              </w:rPr>
              <w:t>(4,286,726)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45.74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March 31, 2022</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63,881,907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26.04</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8"/>
              </w:rPr>
              <w:t>7.0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643.3</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Vested and Exercisable— March 31, 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34,799,942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14.31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98"/>
              </w:rPr>
              <w:t>5.3</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557.6</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6"/>
                <w:szCs w:val="16"/>
                <w:color w:val="auto"/>
              </w:rPr>
              <w:t>Unvested option activity is as follows:</w:t>
            </w: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9"/>
        </w:trPr>
        <w:tc>
          <w:tcPr>
            <w:tcW w:w="53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760" w:type="dxa"/>
            <w:vAlign w:val="bottom"/>
            <w:gridSpan w:val="4"/>
          </w:tcPr>
          <w:p>
            <w:pPr>
              <w:jc w:val="right"/>
              <w:ind w:right="99"/>
              <w:spacing w:after="0" w:line="178"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June 30, 2021</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28,160,034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18,290,794</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Early exercised unvested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(13,501)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Vested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(13,122,980)</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 or expired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(4,232,382)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Unvested - March 31, 2022</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29,081,965</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aggregate intrinsic value of options outstanding and vested and exercisable, were calculated as the difference between the exercise price of the options and the fair value of the Company’s common stock as of March 31, 2022. The fair value of the common stock is the closing stock price of the Company's Class A common stock as reported on the Nasdaq Global Select Market. The aggregate intrinsic value of exercised options was $369.5 million and $1.0 billion for the nine months ended March 31, 2022 and 2021, respectively.</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nine months ended March 31, 2022 and 2021, the weighted-average grant date fair value per option was $23.07 and $43.45, respectively. The fair value of each option was estimated at the grant date using the Black-Scholes method with the following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Borders>
              <w:bottom w:val="single" w:sz="8" w:color="CCEEFF"/>
            </w:tcBorders>
          </w:tcPr>
          <w:p>
            <w:pPr>
              <w:spacing w:after="0"/>
              <w:rPr>
                <w:sz w:val="18"/>
                <w:szCs w:val="18"/>
                <w:color w:val="auto"/>
              </w:rPr>
            </w:pPr>
          </w:p>
        </w:tc>
        <w:tc>
          <w:tcPr>
            <w:tcW w:w="36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Nine Months Ended March 31, 2022</w:t>
            </w:r>
          </w:p>
        </w:tc>
      </w:tr>
      <w:tr>
        <w:trPr>
          <w:trHeight w:val="209"/>
        </w:trPr>
        <w:tc>
          <w:tcPr>
            <w:tcW w:w="76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Weighted average risk-free interest rate</w:t>
            </w:r>
            <w:r>
              <w:rPr>
                <w:rFonts w:ascii="Arial" w:cs="Arial" w:eastAsia="Arial" w:hAnsi="Arial"/>
                <w:sz w:val="21"/>
                <w:szCs w:val="21"/>
                <w:color w:val="auto"/>
                <w:vertAlign w:val="superscript"/>
              </w:rPr>
              <w:t>(1)</w:t>
            </w: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1.6%</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3600" w:type="dxa"/>
            <w:vAlign w:val="bottom"/>
          </w:tcPr>
          <w:p>
            <w:pPr>
              <w:jc w:val="center"/>
              <w:spacing w:after="0"/>
              <w:rPr>
                <w:sz w:val="20"/>
                <w:szCs w:val="20"/>
                <w:color w:val="auto"/>
              </w:rPr>
            </w:pPr>
            <w:r>
              <w:rPr>
                <w:rFonts w:ascii="Arial" w:cs="Arial" w:eastAsia="Arial" w:hAnsi="Arial"/>
                <w:sz w:val="16"/>
                <w:szCs w:val="16"/>
                <w:color w:val="auto"/>
                <w:w w:val="98"/>
              </w:rPr>
              <w:t>6.0</w:t>
            </w:r>
          </w:p>
        </w:tc>
      </w:tr>
      <w:tr>
        <w:trPr>
          <w:trHeight w:val="217"/>
        </w:trPr>
        <w:tc>
          <w:tcPr>
            <w:tcW w:w="76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Weighted average expected volatility</w:t>
            </w:r>
            <w:r>
              <w:rPr>
                <w:rFonts w:ascii="Arial" w:cs="Arial" w:eastAsia="Arial" w:hAnsi="Arial"/>
                <w:sz w:val="21"/>
                <w:szCs w:val="21"/>
                <w:color w:val="auto"/>
                <w:vertAlign w:val="superscript"/>
              </w:rPr>
              <w:t>(2)</w:t>
            </w: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54.8%</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55"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3"/>
          <w:szCs w:val="13"/>
          <w:color w:val="auto"/>
        </w:rPr>
      </w:pPr>
      <w:r>
        <w:rPr>
          <w:rFonts w:ascii="Arial" w:cs="Arial" w:eastAsia="Arial" w:hAnsi="Arial"/>
          <w:sz w:val="13"/>
          <w:szCs w:val="13"/>
          <w:color w:val="auto"/>
        </w:rPr>
        <w:t>Based on U.S. Treasury yield curve in effect at the time of grant.</w:t>
      </w:r>
    </w:p>
    <w:p>
      <w:pPr>
        <w:spacing w:after="0" w:line="66" w:lineRule="exact"/>
        <w:rPr>
          <w:rFonts w:ascii="Arial" w:cs="Arial" w:eastAsia="Arial" w:hAnsi="Arial"/>
          <w:sz w:val="13"/>
          <w:szCs w:val="13"/>
          <w:color w:val="auto"/>
        </w:rPr>
      </w:pPr>
    </w:p>
    <w:p>
      <w:pPr>
        <w:ind w:right="200" w:firstLine="8"/>
        <w:spacing w:after="0" w:line="264" w:lineRule="auto"/>
        <w:tabs>
          <w:tab w:leader="none" w:pos="189" w:val="left"/>
        </w:tabs>
        <w:numPr>
          <w:ilvl w:val="0"/>
          <w:numId w:val="9"/>
        </w:numPr>
        <w:rPr>
          <w:rFonts w:ascii="Arial" w:cs="Arial" w:eastAsia="Arial" w:hAnsi="Arial"/>
          <w:sz w:val="13"/>
          <w:szCs w:val="13"/>
          <w:color w:val="auto"/>
        </w:rPr>
      </w:pPr>
      <w:r>
        <w:rPr>
          <w:rFonts w:ascii="Arial" w:cs="Arial" w:eastAsia="Arial" w:hAnsi="Arial"/>
          <w:sz w:val="13"/>
          <w:szCs w:val="13"/>
          <w:color w:val="auto"/>
        </w:rPr>
        <w:t>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Restricted Stock and Restricted Stock Units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restricted stock and restricted stock units: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5"/>
        </w:trPr>
        <w:tc>
          <w:tcPr>
            <w:tcW w:w="7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1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2021</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1,785,946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99.43</w:t>
            </w:r>
          </w:p>
        </w:tc>
        <w:tc>
          <w:tcPr>
            <w:tcW w:w="0" w:type="dxa"/>
            <w:vAlign w:val="bottom"/>
          </w:tcPr>
          <w:p>
            <w:pPr>
              <w:spacing w:after="0"/>
              <w:rPr>
                <w:sz w:val="1"/>
                <w:szCs w:val="1"/>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10,095,959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46.07</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98.62</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(1,083,529)</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85.40</w:t>
            </w:r>
          </w:p>
        </w:tc>
        <w:tc>
          <w:tcPr>
            <w:tcW w:w="0" w:type="dxa"/>
            <w:vAlign w:val="bottom"/>
          </w:tcPr>
          <w:p>
            <w:pPr>
              <w:spacing w:after="0"/>
              <w:rPr>
                <w:sz w:val="1"/>
                <w:szCs w:val="1"/>
                <w:color w:val="auto"/>
              </w:rPr>
            </w:pPr>
          </w:p>
        </w:tc>
      </w:tr>
      <w:tr>
        <w:trPr>
          <w:trHeight w:val="235"/>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March 31,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9,803,059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August 2019, the Board of Directors adopted, and in September 2019, the Company's stockholders approved, the 2019 Employee Stock Purchase Plan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 On July 1, 2021, the number of shares of Class A common stock available for issuance under the ESPP was automatically increased according to its terms by 3,001,471 shares. As of March 31, 2022, a total of 10,148,440 shares of Class A common stock were available for sale to employees under the ESPP.</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Unless otherwise determined by the Board of Directors, each offering period will consist of four six-month purchase periods, provided that the initial offering period commenced on the Effective Date and ended on August 31, 2021, and the initial purchase period ended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would automatically be enrolled in the subsequent offering period, resulting in a modification under ASC 718.</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 During the nine months ended March 31, 2022, there were ESPP resets that resulted in total modification charges of $0.5 million, which is recognized over the new two-year offering period ending February 28, 2024 .</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ESPP offering periods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Borders>
              <w:bottom w:val="single" w:sz="8" w:color="CCEEFF"/>
            </w:tcBorders>
          </w:tcPr>
          <w:p>
            <w:pPr>
              <w:spacing w:after="0"/>
              <w:rPr>
                <w:sz w:val="18"/>
                <w:szCs w:val="18"/>
                <w:color w:val="auto"/>
              </w:rPr>
            </w:pPr>
          </w:p>
        </w:tc>
        <w:tc>
          <w:tcPr>
            <w:tcW w:w="36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Nine Months Ended March 31, 2022</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risk-free interest rate</w:t>
            </w: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0.2%</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3600" w:type="dxa"/>
            <w:vAlign w:val="bottom"/>
          </w:tcPr>
          <w:p>
            <w:pPr>
              <w:jc w:val="center"/>
              <w:spacing w:after="0"/>
              <w:rPr>
                <w:sz w:val="20"/>
                <w:szCs w:val="20"/>
                <w:color w:val="auto"/>
              </w:rPr>
            </w:pPr>
            <w:r>
              <w:rPr>
                <w:rFonts w:ascii="Arial" w:cs="Arial" w:eastAsia="Arial" w:hAnsi="Arial"/>
                <w:sz w:val="16"/>
                <w:szCs w:val="16"/>
                <w:color w:val="auto"/>
                <w:w w:val="98"/>
              </w:rPr>
              <w:t>1.2</w:t>
            </w: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expected volatility</w:t>
            </w: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71.6%</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3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expected term assumptions were based on each offering period's respective purchase date. The expected volatility was derived from the blended average of historical stock volatilities of several unrelated public companies that the Company considers to be comparable to its business over a period equivalent to the expected terms of the stock options and the historical volatility of the Company's stock price. Beginning in the fiscal quarter ended March 31, 2022, the expected volatility is based on the historical volatility of the Company’s stock price.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and nine months ended March 31, 2022, the Company recorded stock-based compensation expense associated with the ESPP of $2.4 million and $10.6 million, respectively, and $2.8 million and $6.6 million for the three and nine months ended March 31, 2021, respectively.</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offering period which ended on August 31, 2021, employees purchased 293,356 shares of Class A common stock at a weighted-average price of $39.95 under the ESPP. In connection with the offering period ended on February 28, 2022, employees purchased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23" w:name="page24"/>
    <w:bookmarkEnd w:id="23"/>
    <w:p>
      <w:pPr>
        <w:jc w:val="both"/>
        <w:ind w:right="20"/>
        <w:spacing w:after="0" w:line="286" w:lineRule="auto"/>
        <w:rPr>
          <w:sz w:val="20"/>
          <w:szCs w:val="20"/>
          <w:color w:val="auto"/>
        </w:rPr>
      </w:pPr>
      <w:r>
        <w:rPr>
          <w:rFonts w:ascii="Arial" w:cs="Arial" w:eastAsia="Arial" w:hAnsi="Arial"/>
          <w:sz w:val="16"/>
          <w:szCs w:val="16"/>
          <w:color w:val="auto"/>
        </w:rPr>
        <w:t>under the ESPP 420,359 shares of Class A common stock at a weighted-average price of $24.30. As of March 31, 2022, total unrecognized compensation cost related to the ESPP was $28.4 million, which will be amortized over a weighted-average remaining period of 1.9 years.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5120" w:type="dxa"/>
            <w:vAlign w:val="bottom"/>
          </w:tcPr>
          <w:p>
            <w:pPr>
              <w:spacing w:after="0"/>
              <w:rPr>
                <w:sz w:val="18"/>
                <w:szCs w:val="18"/>
                <w:color w:val="auto"/>
              </w:rPr>
            </w:pPr>
          </w:p>
        </w:tc>
        <w:tc>
          <w:tcPr>
            <w:tcW w:w="294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6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Nine Months Ended March 31,</w:t>
            </w:r>
          </w:p>
        </w:tc>
      </w:tr>
      <w:tr>
        <w:trPr>
          <w:trHeight w:val="209"/>
        </w:trPr>
        <w:tc>
          <w:tcPr>
            <w:tcW w:w="5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0"/>
        </w:trPr>
        <w:tc>
          <w:tcPr>
            <w:tcW w:w="5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1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7"/>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09"/>
        </w:trPr>
        <w:tc>
          <w:tcPr>
            <w:tcW w:w="512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60.4</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117.1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March 31, 2022, the Company had $971.9 million of unrecognized stock-based compensation expense related to unvested stock-based awards that is expected to be recognized over a weighted-average period of 3.3 years.</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fiscal quarter ended March 31, 2022, four employees of the Company who were eligible to participate in the Company’s Severance and Change in Control Plan (the “Severance Plan”) terminated employment. Pursuant to the Severance Plan, the post-termination period during which each such employee may exercise outstanding stock options was extended from 90 days to one year (or the option expiration date, if earlier). Additionally, in the fiscal quarter ended March 31, 2022, the Company entered into a letter agreement with a board member who was terminating service and pursuant to the terms therein, extended the post-termination period during which the director may exercise outstanding stock options from 90 days to the original expiration date of the</w:t>
      </w:r>
    </w:p>
    <w:p>
      <w:pPr>
        <w:spacing w:after="0" w:line="10"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auto"/>
        </w:rPr>
        <w:t>stock option. As a result of these modifications, the Company recognized incremental stock-based compensation expense of $15.7 million within Restructuring expense in the condensed consolidated statements of operations and comprehensive (loss) income.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Income Taxes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recorded a provision from income taxes of $2.1 million and $7.5 million for the three and nine months ended March 31, 2022, respectively, and a benefit of $9.1 million and $10.8 million for the three and nine months ended March 31, 2021, respectively. Furthermore, the Company's effective tax rates were (0.27)% and (0.48)% for the three and nine months ended March 31, 2022, respectively, and 51.67% and (9.53)% for the three and nine months ended March 31, 2021, respectively. The income tax provision and the effective tax rate is primarily driven by state and international taxes.</w:t>
      </w:r>
    </w:p>
    <w:p>
      <w:pPr>
        <w:spacing w:after="0" w:line="19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Company maintains a valuation allowance on the majority of its deferred tax assets as it has concluded that it is more likely than not that the deferred assets will not be utilized.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3"/>
        </w:trPr>
        <w:tc>
          <w:tcPr>
            <w:tcW w:w="5280" w:type="dxa"/>
            <w:vAlign w:val="bottom"/>
          </w:tcPr>
          <w:p>
            <w:pPr>
              <w:spacing w:after="0"/>
              <w:rPr>
                <w:sz w:val="20"/>
                <w:szCs w:val="20"/>
                <w:color w:val="auto"/>
              </w:rPr>
            </w:pPr>
            <w:r>
              <w:rPr>
                <w:rFonts w:ascii="Arial" w:cs="Arial" w:eastAsia="Arial" w:hAnsi="Arial"/>
                <w:sz w:val="16"/>
                <w:szCs w:val="16"/>
                <w:b w:val="1"/>
                <w:bCs w:val="1"/>
                <w:color w:val="auto"/>
              </w:rPr>
              <w:t>14. Net (Loss) Income Per Share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97"/>
        </w:trPr>
        <w:tc>
          <w:tcPr>
            <w:tcW w:w="6800" w:type="dxa"/>
            <w:vAlign w:val="bottom"/>
            <w:gridSpan w:val="4"/>
          </w:tcPr>
          <w:p>
            <w:pPr>
              <w:spacing w:after="0"/>
              <w:rPr>
                <w:sz w:val="20"/>
                <w:szCs w:val="20"/>
                <w:color w:val="auto"/>
              </w:rPr>
            </w:pPr>
            <w:r>
              <w:rPr>
                <w:rFonts w:ascii="Arial" w:cs="Arial" w:eastAsia="Arial" w:hAnsi="Arial"/>
                <w:sz w:val="16"/>
                <w:szCs w:val="16"/>
                <w:color w:val="auto"/>
              </w:rPr>
              <w:t>The computation of basic and diluted net (loss) income per share is as follows: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61"/>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24"/>
                <w:szCs w:val="24"/>
                <w:color w:val="auto"/>
              </w:rPr>
            </w:pPr>
          </w:p>
        </w:tc>
        <w:tc>
          <w:tcPr>
            <w:tcW w:w="27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r>
      <w:tr>
        <w:trPr>
          <w:trHeight w:val="209"/>
        </w:trPr>
        <w:tc>
          <w:tcPr>
            <w:tcW w:w="5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0"/>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40" w:type="dxa"/>
            <w:vAlign w:val="bottom"/>
            <w:gridSpan w:val="9"/>
          </w:tcPr>
          <w:p>
            <w:pPr>
              <w:jc w:val="right"/>
              <w:spacing w:after="0"/>
              <w:rPr>
                <w:sz w:val="20"/>
                <w:szCs w:val="20"/>
                <w:color w:val="auto"/>
              </w:rPr>
            </w:pPr>
            <w:r>
              <w:rPr>
                <w:rFonts w:ascii="Arial" w:cs="Arial" w:eastAsia="Arial" w:hAnsi="Arial"/>
                <w:sz w:val="16"/>
                <w:szCs w:val="16"/>
                <w:b w:val="1"/>
                <w:bCs w:val="1"/>
                <w:color w:val="auto"/>
              </w:rPr>
              <w:t>(in millions, except share and per share amounts)</w:t>
            </w:r>
          </w:p>
        </w:tc>
        <w:tc>
          <w:tcPr>
            <w:tcW w:w="1020" w:type="dxa"/>
            <w:vAlign w:val="bottom"/>
          </w:tcPr>
          <w:p>
            <w:pPr>
              <w:spacing w:after="0"/>
              <w:rPr>
                <w:sz w:val="18"/>
                <w:szCs w:val="18"/>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income per share:</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10"/>
        </w:trPr>
        <w:tc>
          <w:tcPr>
            <w:tcW w:w="5280" w:type="dxa"/>
            <w:vAlign w:val="bottom"/>
          </w:tcPr>
          <w:p>
            <w:pPr>
              <w:ind w:left="240"/>
              <w:spacing w:after="0"/>
              <w:rPr>
                <w:sz w:val="20"/>
                <w:szCs w:val="20"/>
                <w:color w:val="auto"/>
              </w:rPr>
            </w:pPr>
            <w:r>
              <w:rPr>
                <w:rFonts w:ascii="Arial" w:cs="Arial" w:eastAsia="Arial" w:hAnsi="Arial"/>
                <w:sz w:val="16"/>
                <w:szCs w:val="16"/>
                <w:color w:val="auto"/>
              </w:rPr>
              <w:t>Net (loss) income attributable to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in computation:</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5"/>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333,864,579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295,646,824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317,245,844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292,276,299</w:t>
            </w:r>
          </w:p>
        </w:tc>
      </w:tr>
      <w:tr>
        <w:trPr>
          <w:trHeight w:val="235"/>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 net (loss) income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0.43</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(loss) income per share:</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10"/>
        </w:trPr>
        <w:tc>
          <w:tcPr>
            <w:tcW w:w="5280" w:type="dxa"/>
            <w:vAlign w:val="bottom"/>
          </w:tcPr>
          <w:p>
            <w:pPr>
              <w:ind w:left="240"/>
              <w:spacing w:after="0"/>
              <w:rPr>
                <w:sz w:val="20"/>
                <w:szCs w:val="20"/>
                <w:color w:val="auto"/>
              </w:rPr>
            </w:pPr>
            <w:r>
              <w:rPr>
                <w:rFonts w:ascii="Arial" w:cs="Arial" w:eastAsia="Arial" w:hAnsi="Arial"/>
                <w:sz w:val="16"/>
                <w:szCs w:val="16"/>
                <w:color w:val="auto"/>
              </w:rPr>
              <w:t>Net (loss) income attributable to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in computation:</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5"/>
        </w:trPr>
        <w:tc>
          <w:tcPr>
            <w:tcW w:w="5280" w:type="dxa"/>
            <w:vAlign w:val="bottom"/>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333,864,579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295,646,824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317,245,844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292,276,299</w:t>
            </w:r>
          </w:p>
        </w:tc>
      </w:tr>
      <w:tr>
        <w:trPr>
          <w:trHeight w:val="217"/>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Weighted-average effect of potentially dilutive securities: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5280" w:type="dxa"/>
            <w:vAlign w:val="bottom"/>
          </w:tcPr>
          <w:p>
            <w:pPr>
              <w:ind w:left="460"/>
              <w:spacing w:after="0"/>
              <w:rPr>
                <w:sz w:val="20"/>
                <w:szCs w:val="20"/>
                <w:color w:val="auto"/>
              </w:rPr>
            </w:pPr>
            <w:r>
              <w:rPr>
                <w:rFonts w:ascii="Arial" w:cs="Arial" w:eastAsia="Arial" w:hAnsi="Arial"/>
                <w:sz w:val="16"/>
                <w:szCs w:val="16"/>
                <w:color w:val="auto"/>
              </w:rPr>
              <w:t>Employee stock options</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54,623,068</w:t>
            </w:r>
          </w:p>
        </w:tc>
      </w:tr>
      <w:tr>
        <w:trPr>
          <w:trHeight w:val="217"/>
        </w:trPr>
        <w:tc>
          <w:tcPr>
            <w:tcW w:w="5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Restricted stock units and awards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611,364</w:t>
            </w:r>
          </w:p>
        </w:tc>
      </w:tr>
      <w:tr>
        <w:trPr>
          <w:trHeight w:val="215"/>
        </w:trPr>
        <w:tc>
          <w:tcPr>
            <w:tcW w:w="5280" w:type="dxa"/>
            <w:vAlign w:val="bottom"/>
          </w:tcPr>
          <w:p>
            <w:pPr>
              <w:ind w:left="460"/>
              <w:spacing w:after="0"/>
              <w:rPr>
                <w:sz w:val="20"/>
                <w:szCs w:val="20"/>
                <w:color w:val="auto"/>
              </w:rPr>
            </w:pPr>
            <w:r>
              <w:rPr>
                <w:rFonts w:ascii="Arial" w:cs="Arial" w:eastAsia="Arial" w:hAnsi="Arial"/>
                <w:sz w:val="16"/>
                <w:szCs w:val="16"/>
                <w:color w:val="auto"/>
              </w:rPr>
              <w:t>Shares estimated to be purchased under ESPP</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583,648</w:t>
            </w:r>
          </w:p>
        </w:tc>
      </w:tr>
      <w:tr>
        <w:trPr>
          <w:trHeight w:val="209"/>
        </w:trPr>
        <w:tc>
          <w:tcPr>
            <w:tcW w:w="52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 weighted-average common shares outstanding</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333,864,579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295,646,824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317,245,844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348,094,379</w:t>
            </w:r>
          </w:p>
        </w:tc>
      </w:tr>
      <w:tr>
        <w:trPr>
          <w:trHeight w:val="210"/>
        </w:trPr>
        <w:tc>
          <w:tcPr>
            <w:tcW w:w="5280" w:type="dxa"/>
            <w:vAlign w:val="bottom"/>
          </w:tcPr>
          <w:p>
            <w:pPr>
              <w:ind w:left="240"/>
              <w:spacing w:after="0"/>
              <w:rPr>
                <w:sz w:val="20"/>
                <w:szCs w:val="20"/>
                <w:color w:val="auto"/>
              </w:rPr>
            </w:pPr>
            <w:r>
              <w:rPr>
                <w:rFonts w:ascii="Arial" w:cs="Arial" w:eastAsia="Arial" w:hAnsi="Arial"/>
                <w:sz w:val="16"/>
                <w:szCs w:val="16"/>
                <w:color w:val="auto"/>
              </w:rPr>
              <w:t>Diluted net (loss) income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r>
      <w:tr>
        <w:trPr>
          <w:trHeight w:val="21"/>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3000" w:type="dxa"/>
            <w:vAlign w:val="bottom"/>
            <w:gridSpan w:val="4"/>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90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09"/>
        </w:trPr>
        <w:tc>
          <w:tcPr>
            <w:tcW w:w="534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options</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31,148,210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57,016,995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42,008,515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78,887</w:t>
            </w: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1400" w:type="dxa"/>
            <w:vAlign w:val="bottom"/>
          </w:tcPr>
          <w:p>
            <w:pPr>
              <w:jc w:val="right"/>
              <w:spacing w:after="0"/>
              <w:rPr>
                <w:sz w:val="20"/>
                <w:szCs w:val="20"/>
                <w:color w:val="auto"/>
              </w:rPr>
            </w:pPr>
            <w:r>
              <w:rPr>
                <w:rFonts w:ascii="Arial" w:cs="Arial" w:eastAsia="Arial" w:hAnsi="Arial"/>
                <w:sz w:val="16"/>
                <w:szCs w:val="16"/>
                <w:color w:val="auto"/>
              </w:rPr>
              <w:t>154,564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729,305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219,810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14,406</w:t>
            </w: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estimated to be purchased under ESPP</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359,350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2021 Notes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expects to settle the principal amount of the Notes in cash upon conversion, and therefore, the Company uses the treasury stock method for calculating any potential dilutive effect of the conversion option on diluted net income per share, if applicable. The conversion option will have a dilutive impact on net loss per share of common stock when the average market price per share of the Company's Class A common stock for a given period exceeds the conversion price of the Notes of $239.23 per share. During the three and nine months ended March 31, 2022, the weighted average price per share of the Company's Class A common stock was below the conversion price of the Notes.</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denominator for basic and diluted (loss) income per share does not include any effect from the Capped Call Transactions the Company entered into concurrently with the issuance of the Notes as this effect would be anti-dilutive. In the event of conversion of the Notes, if shares are delivered to the Company under the Capped Call Transactions, they will offset the dilutive effect of the shares that the Company would issue under the Notes.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Segment Information</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w:t>
      </w:r>
    </w:p>
    <w:p>
      <w:pPr>
        <w:spacing w:after="0" w:line="20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5" w:name="page26"/>
    <w:bookmarkEnd w:id="25"/>
    <w:p>
      <w:pPr>
        <w:jc w:val="both"/>
        <w:spacing w:after="0" w:line="275" w:lineRule="auto"/>
        <w:rPr>
          <w:sz w:val="20"/>
          <w:szCs w:val="20"/>
          <w:color w:val="auto"/>
        </w:rPr>
      </w:pPr>
      <w:r>
        <w:rPr>
          <w:rFonts w:ascii="Arial" w:cs="Arial" w:eastAsia="Arial" w:hAnsi="Arial"/>
          <w:sz w:val="16"/>
          <w:szCs w:val="16"/>
          <w:color w:val="auto"/>
        </w:rPr>
        <w:t>The Connected Fitness Products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8"/>
                <w:szCs w:val="18"/>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09"/>
        </w:trPr>
        <w:tc>
          <w:tcPr>
            <w:tcW w:w="53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0"/>
        </w:trPr>
        <w:tc>
          <w:tcPr>
            <w:tcW w:w="5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594.4</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1,891.9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2,494.4</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662.3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1,659.5</w:t>
            </w:r>
          </w:p>
        </w:tc>
      </w:tr>
      <w:tr>
        <w:trPr>
          <w:trHeight w:val="210"/>
        </w:trPr>
        <w:tc>
          <w:tcPr>
            <w:tcW w:w="532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834.8</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369.9</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239.4</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1,011.6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590.6</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117.8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227.0</w:t>
            </w:r>
          </w:p>
        </w:tc>
      </w:tr>
      <w:tr>
        <w:trPr>
          <w:trHeight w:val="210"/>
        </w:trPr>
        <w:tc>
          <w:tcPr>
            <w:tcW w:w="532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252.1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363.6</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964.3</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1,262.3</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2,903.4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3,085.0</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780.1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2,175.3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1,886.6</w:t>
            </w:r>
          </w:p>
        </w:tc>
      </w:tr>
      <w:tr>
        <w:trPr>
          <w:trHeight w:val="210"/>
        </w:trPr>
        <w:tc>
          <w:tcPr>
            <w:tcW w:w="532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184.2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1,198.4</w:t>
            </w:r>
          </w:p>
        </w:tc>
      </w:tr>
      <w:tr>
        <w:trPr>
          <w:trHeight w:val="21"/>
        </w:trPr>
        <w:tc>
          <w:tcPr>
            <w:tcW w:w="5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5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(loss) income before tax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27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 March 31,</w:t>
            </w:r>
          </w:p>
        </w:tc>
      </w:tr>
      <w:tr>
        <w:trPr>
          <w:trHeight w:val="210"/>
        </w:trPr>
        <w:tc>
          <w:tcPr>
            <w:tcW w:w="5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0"/>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ind w:left="70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1,198.4</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(500.3)</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(430.3)</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(153.9)</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Impairment expense and loss on disposals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before provision for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Subsequent Events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May 9, 2022, the Company entered into a binding commitment letter (the “Commitment Letter”) with respect to a $750.0 million senior secured term loan facility (“Term Facility”). The Commitment Letter provides that the Credit Agreement will be amended to include such Term Facility, which is to have a five-year maturity and which will be subject to a springing maturity ahead of the Notes. The Term Facility is expected to bear interest based on an adjusted Term SOFR (which shall be subject to a floor of 50 bps) plus a margin to be set forth in the Credit Agreement to be entered into. The representations, warranties, covenants and defaults with respect to the Term Facility are to be substantially consistent with the existing Credit Agreement, with certain limitations on the additional incurrence of debt, liens, investments and restricted payments.</w:t>
      </w:r>
    </w:p>
    <w:p>
      <w:pPr>
        <w:spacing w:after="0" w:line="17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Subsequent to March 31, 2022, the Company entered into content related agreements with commitments of approximately $142.5 million with payments of $11.2 million in remaining fiscal 2022, $45.4 million in fiscal 2023, $48.2 million in fiscal 2024, and $37.7 million in fiscal 2025.</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2021, filed with the SEC on August 27, 2021 (“Form 10-K”).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our Form 10-K.</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Peloton is the largest interactive fitness platform in the world with a loyal community of over 6.9 million Members as of March 31, 2022.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Connected Fitness Subscription (“All-Access Membership”), or a paid Peloton App subscription.</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Our Connected Fitness Product portfolio includes the Peloton Bike, Bike+, Tread, Tread+, and our recently launched first connected strength product, Peloton Guide. Our revenue is generated primarily from the sale of our Connected Fitness Products and associated recurring Subscription revenue. We have historically experienced significant growth in sales of our Connected Fitness Products, which, when combined with our low Average Net Monthly Connected Fitness Churn has led to significant growth in Connected Fitness Subscriptions. From the three months ended March 31, 2021 to the three months ended March 31, 2022, total revenue decreased 24%, and our Connected Fitness Subscription base grew 42%.</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050505"/>
        </w:rPr>
        <w:t>Our financial profile has been characterized by strong retention, recurring revenue, and efficient customer acquisition. Our low Average Net Monthly Connected Fitness Churn, together with our high Subscription Contribution Margin, yields an attractive lifetime value (LTV) for our Connected Fitness subscriptions well in excess of our customer acquisition cost (CAC). Maintaining an attractive LTV/CAC ratio is a primary goal of our acquisition strategy.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050505"/>
        </w:rPr>
        <w:t>F</w:t>
      </w:r>
      <w:r>
        <w:rPr>
          <w:rFonts w:ascii="Arial" w:cs="Arial" w:eastAsia="Arial" w:hAnsi="Arial"/>
          <w:sz w:val="16"/>
          <w:szCs w:val="16"/>
          <w:color w:val="000000"/>
        </w:rPr>
        <w:t>or the three months ended March 31, 2022 and 2021:</w:t>
      </w:r>
    </w:p>
    <w:p>
      <w:pPr>
        <w:spacing w:after="0" w:line="248"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generated total revenue of $964.3 million, and $1,262.3 million, respectively</w:t>
      </w:r>
      <w:r>
        <w:rPr>
          <w:rFonts w:ascii="Arial" w:cs="Arial" w:eastAsia="Arial" w:hAnsi="Arial"/>
          <w:sz w:val="16"/>
          <w:szCs w:val="16"/>
          <w:color w:val="auto"/>
          <w:strike w:val="1"/>
        </w:rPr>
        <w:t>;</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March 31, 2022 and 2021, we had 2,961,767 and 2,080,860 Connected Fitness Subscriptions, respectively;</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Average Net Monthly Connected Fitness Churn was 0.75% and 0.31%, respectively;</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recognized net loss of $(757.1) million and $(8.6) million, respectively;</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Adjusted EBITDA was $(194.0) million and $63.2 million, respectively;</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Subscription Gross Margin was 68.1% and 64.6%, respectively;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Subscription Contribution Margin was 71.7% and 68.4%, respectively; 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Free Cash Flow was $(746.7) million and $(204.0) million, respectively.</w:t>
      </w:r>
    </w:p>
    <w:p>
      <w:pPr>
        <w:spacing w:after="0" w:line="236"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050505"/>
        </w:rPr>
        <w:t>For a definition of Connected Fitness Subscriptions and Average Net Monthly Connected Fitness Churn, see the section titled “—Key Operational and Business Metrics.”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050505"/>
        </w:rPr>
        <w:t>See the section titled “—Non-GAAP Financial Measures” for definitions of and information regarding our use of Adjusted EBITDA, Adjusted EBITDA Margin, Subscription Contribution, Subscription Contribution Margin, Free Cash Flow, and a reconciliation of each of net (loss) income to Adjusted EBITDA, Subscription Gross Profit to Subscription Contribution, and Net Cash Used in Operating Activities to Free Cash Flow.</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Third quarter fiscal 2022 update and recent developments</w:t>
      </w:r>
    </w:p>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050505"/>
        </w:rPr>
        <w:t xml:space="preserve">As discussed last quarter, forecasting our business during the COVID-19 pandemic, particularly in its more recent stages, has proven to be very challenging. While we have been able to grow more than we anticipated just two years ago, fluctuations in demand and supply that we have been navigating during this time period have led us to grow our operations beyond what we believe is currently best suited to our business. Although our belief in the positive long-term outlook for Connected Fitness remains unchanged, the long-term cost demands of our business require us to recalibrate our near-term expectations. Additionally, while demand for our Connected Fitness products has continued to strongly outpace pre-pandemic levels, we have had significant difficulty in predicting near-term consumer demand and, as a result, our expected near-term operating performance. </w:t>
      </w:r>
      <w:r>
        <w:rPr>
          <w:rFonts w:ascii="Arial" w:cs="Arial" w:eastAsia="Arial" w:hAnsi="Arial"/>
          <w:sz w:val="16"/>
          <w:szCs w:val="16"/>
          <w:color w:val="000000"/>
        </w:rPr>
        <w:t>See</w:t>
      </w:r>
      <w:r>
        <w:rPr>
          <w:rFonts w:ascii="Arial" w:cs="Arial" w:eastAsia="Arial" w:hAnsi="Arial"/>
          <w:sz w:val="16"/>
          <w:szCs w:val="16"/>
          <w:color w:val="050505"/>
        </w:rPr>
        <w:t xml:space="preserve"> </w:t>
      </w:r>
      <w:r>
        <w:rPr>
          <w:rFonts w:ascii="Arial" w:cs="Arial" w:eastAsia="Arial" w:hAnsi="Arial"/>
          <w:sz w:val="16"/>
          <w:szCs w:val="16"/>
          <w:i w:val="1"/>
          <w:iCs w:val="1"/>
          <w:color w:val="000000"/>
        </w:rPr>
        <w:t>“Risk Factors—Risks Related to Our Business</w:t>
      </w:r>
      <w:r>
        <w:rPr>
          <w:rFonts w:ascii="Arial" w:cs="Arial" w:eastAsia="Arial" w:hAnsi="Arial"/>
          <w:sz w:val="16"/>
          <w:szCs w:val="16"/>
          <w:color w:val="050505"/>
        </w:rPr>
        <w:t xml:space="preserve"> </w:t>
      </w:r>
      <w:r>
        <w:rPr>
          <w:rFonts w:ascii="Arial" w:cs="Arial" w:eastAsia="Arial" w:hAnsi="Arial"/>
          <w:sz w:val="16"/>
          <w:szCs w:val="16"/>
          <w:i w:val="1"/>
          <w:iCs w:val="1"/>
          <w:color w:val="000000"/>
        </w:rPr>
        <w:t>—Our operating results have been, and could in the future be, adversely affected if we are unable to accurately forecast consumer demand for our products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and services and adequately manage our inventory” </w:t>
      </w:r>
      <w:r>
        <w:rPr>
          <w:rFonts w:ascii="Arial" w:cs="Arial" w:eastAsia="Arial" w:hAnsi="Arial"/>
          <w:sz w:val="16"/>
          <w:szCs w:val="16"/>
          <w:color w:val="auto"/>
        </w:rPr>
        <w:t>in our Fiscal Q2 10-Q.</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February 2022 Restructuring Plan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February 1, 2022, following our prior disclosure regarding market factors impacting the business, our Board of Directors approved a restructuring plan to realign our operational focus to support our multi-year growth, scale the business, and improve costs (the “Restructuring Plan”). The Restructuring Plan includes: (i) reducing our headcount; (ii) closing several assembly and manufacturing plants, including the completion and subsequent sale of the shell facility for our previously planned Peloton Output Park; (iii) closing and consolidating several</w:t>
      </w:r>
    </w:p>
    <w:p>
      <w:pPr>
        <w:sectPr>
          <w:pgSz w:w="11900" w:h="16838" w:orient="portrait"/>
          <w:cols w:equalWidth="0" w:num="1">
            <w:col w:w="11240"/>
          </w:cols>
          <w:pgMar w:left="320" w:top="611"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7" w:name="page28"/>
    <w:bookmarkEnd w:id="27"/>
    <w:p>
      <w:pPr>
        <w:jc w:val="both"/>
        <w:spacing w:after="0" w:line="286" w:lineRule="auto"/>
        <w:rPr>
          <w:sz w:val="20"/>
          <w:szCs w:val="20"/>
          <w:color w:val="auto"/>
        </w:rPr>
      </w:pPr>
      <w:r>
        <w:rPr>
          <w:rFonts w:ascii="Arial" w:cs="Arial" w:eastAsia="Arial" w:hAnsi="Arial"/>
          <w:sz w:val="16"/>
          <w:szCs w:val="16"/>
          <w:color w:val="auto"/>
        </w:rPr>
        <w:t>distribution facilities, and (iv) shifting to third-party logistics providers in certain locations. We expect the Restructuring Plan to be substantially implemented by the end of fiscal 2024.</w:t>
      </w:r>
    </w:p>
    <w:p>
      <w:pPr>
        <w:spacing w:after="0" w:line="19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Total charges related to the Restructuring Plan were $186.0 million for the nine months ended March 31, 2022, consisting of cash charges of $99.4 million for severance and other personnel and $14.3 million for professional fees and other related charges, and non-cash charges of $44.9 million for stock-based compensation expense and $27.4 million for asset write-downs and write-offs.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above charges, the Company has incurred approximately $84.0 million of capital expenditures related to Peloton Output Park since project inception.</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We may not be able to fully realize the cost savings and benefits initially anticipated from the Restructuring Plan, and the expected costs may be greater than expected. See </w:t>
      </w:r>
      <w:r>
        <w:rPr>
          <w:rFonts w:ascii="Arial" w:cs="Arial" w:eastAsia="Arial" w:hAnsi="Arial"/>
          <w:sz w:val="16"/>
          <w:szCs w:val="16"/>
          <w:i w:val="1"/>
          <w:iCs w:val="1"/>
          <w:color w:val="auto"/>
        </w:rPr>
        <w:t>“Risk Factors—Risks Related to Our Business—We may not successfully execute or achieve the expected benefits of our restructuring</w:t>
      </w:r>
    </w:p>
    <w:p>
      <w:pPr>
        <w:spacing w:after="0"/>
        <w:rPr>
          <w:sz w:val="20"/>
          <w:szCs w:val="20"/>
          <w:color w:val="auto"/>
        </w:rPr>
      </w:pPr>
      <w:r>
        <w:rPr>
          <w:rFonts w:ascii="Arial" w:cs="Arial" w:eastAsia="Arial" w:hAnsi="Arial"/>
          <w:sz w:val="16"/>
          <w:szCs w:val="16"/>
          <w:i w:val="1"/>
          <w:iCs w:val="1"/>
          <w:color w:val="auto"/>
        </w:rPr>
        <w:t>initiative, and our efforts may result in further actions and/or additional asset impairment charges and adversely affect our business</w:t>
      </w:r>
      <w:r>
        <w:rPr>
          <w:rFonts w:ascii="Arial" w:cs="Arial" w:eastAsia="Arial" w:hAnsi="Arial"/>
          <w:sz w:val="16"/>
          <w:szCs w:val="16"/>
          <w:color w:val="auto"/>
        </w:rPr>
        <w:t>” in our Fiscal Q2 10-Q.</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Hardware</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April 5, 2022, we announced that Peloton Guide, our most accessibly-priced Connected Fitness product and our very first dedicated strength product, is now available in the United States, Canada, the United Kingdom, and Australia. Peloton Guide is available starting at $295 USD / $395 CAD / £275 GBP / 445 AUD with financing available for eligible customers.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Existing Peloton All-Access Members will be able to add Guide to their Membership at no additional cost. Guide-only Members will receive introductory pricing to the All-Access Membership for $24 USD / $30 CAD / £24 GBP / 35 AUD a month to access Peloton’s live and on-demand library. This introductory pricing for the All-Access Membership is expected to be available through 2022 and to roll over to the standard All-Access Membership price of $44 USD a month in January 2023.</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Product Highlights</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February, we launched Lanebreak, our first gamified workout experience for Bike and Bike+. Lanebreak delivers high-energy workouts in an immersive, virtual world. Each level features a unique gaming experience with distinct playlists. To date, over half a million Members have taken a Lanebreak class, and we anticipate leaning more into the gamification of our content in response to the success of Lanebreak. In March, we launched an Apple Watch integration for workouts on Bike, Bike+, Tread, and App, providing Members with another option to monitor their heart rate and fitness progression with Peloton’s Strive Score. Additional software enhancements in the quarter included improved class searching and filtering as well as the introduction of the Pause feature to the Tread.</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Product recall update</w:t>
      </w:r>
    </w:p>
    <w:p>
      <w:pPr>
        <w:spacing w:after="0" w:line="5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050505"/>
        </w:rPr>
        <w:t xml:space="preserve">On May 5, 2021, we announced separate, voluntary recalls of each of our Tread+ and Tread products in collaboration with the U.S. Consumer Product Safety Commission (“CPSC”) and halted sales of these products to work on product enhancements. Members were notified that they could return their Tread or Tread+ for a full refund, or wait until a solution is available. Tread+ owners were also given the option to have Peloton move their Tread+ to a different location within their home. For the three and nine months ended </w:t>
      </w:r>
      <w:r>
        <w:rPr>
          <w:rFonts w:ascii="Arial" w:cs="Arial" w:eastAsia="Arial" w:hAnsi="Arial"/>
          <w:sz w:val="16"/>
          <w:szCs w:val="16"/>
          <w:color w:val="000000"/>
        </w:rPr>
        <w:t>March 31, 2022</w:t>
      </w:r>
      <w:r>
        <w:rPr>
          <w:rFonts w:ascii="Arial" w:cs="Arial" w:eastAsia="Arial" w:hAnsi="Arial"/>
          <w:sz w:val="16"/>
          <w:szCs w:val="16"/>
          <w:color w:val="050505"/>
        </w:rPr>
        <w:t xml:space="preserve">, the Company accrued for a reduction to Connected Fitness Products revenue for actual and estimated future returns of $17.5 million and </w:t>
      </w:r>
      <w:r>
        <w:rPr>
          <w:rFonts w:ascii="Arial" w:cs="Arial" w:eastAsia="Arial" w:hAnsi="Arial"/>
          <w:sz w:val="16"/>
          <w:szCs w:val="16"/>
          <w:color w:val="000000"/>
        </w:rPr>
        <w:t>$36.3 million, respectively</w:t>
      </w:r>
      <w:r>
        <w:rPr>
          <w:rFonts w:ascii="Arial" w:cs="Arial" w:eastAsia="Arial" w:hAnsi="Arial"/>
          <w:sz w:val="16"/>
          <w:szCs w:val="16"/>
          <w:color w:val="050505"/>
        </w:rPr>
        <w:t xml:space="preserve">, and a return reserve of $36.7 million is included within Accounts payable and accrued expenses in the accompanying condensed consolidated balance sheets related to the impacts of the recall as of </w:t>
      </w:r>
      <w:r>
        <w:rPr>
          <w:rFonts w:ascii="Arial" w:cs="Arial" w:eastAsia="Arial" w:hAnsi="Arial"/>
          <w:sz w:val="16"/>
          <w:szCs w:val="16"/>
          <w:color w:val="000000"/>
        </w:rPr>
        <w:t>March 31,</w:t>
      </w:r>
      <w:r>
        <w:rPr>
          <w:rFonts w:ascii="Arial" w:cs="Arial" w:eastAsia="Arial" w:hAnsi="Arial"/>
          <w:sz w:val="16"/>
          <w:szCs w:val="16"/>
          <w:color w:val="050505"/>
        </w:rPr>
        <w:t xml:space="preserve"> </w:t>
      </w:r>
      <w:r>
        <w:rPr>
          <w:rFonts w:ascii="Arial" w:cs="Arial" w:eastAsia="Arial" w:hAnsi="Arial"/>
          <w:sz w:val="16"/>
          <w:szCs w:val="16"/>
          <w:color w:val="000000"/>
        </w:rPr>
        <w:t>2022</w:t>
      </w:r>
      <w:r>
        <w:rPr>
          <w:rFonts w:ascii="Arial" w:cs="Arial" w:eastAsia="Arial" w:hAnsi="Arial"/>
          <w:sz w:val="16"/>
          <w:szCs w:val="16"/>
          <w:color w:val="050505"/>
        </w:rPr>
        <w:t>. We expect to continue to incur additional costs which could include costs for which we have not accrued or established adequate reserves, including</w:t>
      </w:r>
      <w:r>
        <w:rPr>
          <w:rFonts w:ascii="Arial" w:cs="Arial" w:eastAsia="Arial" w:hAnsi="Arial"/>
          <w:sz w:val="16"/>
          <w:szCs w:val="16"/>
          <w:color w:val="000000"/>
        </w:rPr>
        <w:t xml:space="preserve"> </w:t>
      </w:r>
      <w:r>
        <w:rPr>
          <w:rFonts w:ascii="Arial" w:cs="Arial" w:eastAsia="Arial" w:hAnsi="Arial"/>
          <w:sz w:val="16"/>
          <w:szCs w:val="16"/>
          <w:color w:val="050505"/>
        </w:rPr>
        <w:t xml:space="preserve">increases to the return reserves, inventory write-downs, logistics costs associated with Member requests to return or move their hardware, subscription waiver variable costs of service, anticipated recall-related hardware development and repair costs, and related legal and advisory fees. Recall charges are based upon estimates associated with our expected and historical consumer response rates. We announced a repair for the Tread in August 2021, shortly before resuming sales. We continue to work on potential hardware enhancements for Tread+, which remains recalled. Our plan for the Tread+ recall is still being finalized and actual costs related to this matter may vary from the estimate, and may result in further impacts to our future results of operations and business. </w:t>
      </w:r>
      <w:r>
        <w:rPr>
          <w:rFonts w:ascii="Arial" w:cs="Arial" w:eastAsia="Arial" w:hAnsi="Arial"/>
          <w:sz w:val="16"/>
          <w:szCs w:val="16"/>
          <w:color w:val="000000"/>
        </w:rPr>
        <w:t>See “</w:t>
      </w:r>
      <w:r>
        <w:rPr>
          <w:rFonts w:ascii="Arial" w:cs="Arial" w:eastAsia="Arial" w:hAnsi="Arial"/>
          <w:sz w:val="16"/>
          <w:szCs w:val="16"/>
          <w:i w:val="1"/>
          <w:iCs w:val="1"/>
          <w:color w:val="000000"/>
        </w:rPr>
        <w:t>Risk Factors—Risks Related to Our Connected Fitness Products and Members—We may be subject to warranty claims that could result in</w:t>
      </w:r>
    </w:p>
    <w:p>
      <w:pPr>
        <w:spacing w:after="0" w:line="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significant direct or indirect costs, or we could experience greater product returns than expected, either of which could have an adverse effect on our business, financial condition, and operating results</w:t>
      </w:r>
      <w:r>
        <w:rPr>
          <w:rFonts w:ascii="Arial" w:cs="Arial" w:eastAsia="Arial" w:hAnsi="Arial"/>
          <w:sz w:val="16"/>
          <w:szCs w:val="16"/>
          <w:color w:val="auto"/>
        </w:rPr>
        <w:t>” in our Fiscal Q2 10-Q.</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2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In addition to the measures presented in our interim condensed consolidated financial statements, we use the following key operational and business metrics to evaluate our business, measure our performance, develop financial forecasts, and make strategic decisions.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 March 31,</w:t>
            </w:r>
          </w:p>
        </w:tc>
      </w:tr>
      <w:tr>
        <w:trPr>
          <w:trHeight w:val="223"/>
        </w:trPr>
        <w:tc>
          <w:tcPr>
            <w:tcW w:w="74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Connected Fitness Subscriptions</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2,961,767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2,080,860</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Average Net Monthly Connected Fitness Churn</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0.75 %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0.31 %</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Workouts (in millions)</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149.5</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Average Monthly Workouts per Connected Fitness Subscription</w:t>
            </w:r>
          </w:p>
        </w:tc>
        <w:tc>
          <w:tcPr>
            <w:tcW w:w="4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26.0</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154.5</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(1)</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265.2</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163.7</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64.6 %</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(1)</w:t>
            </w: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71.7 %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68.4 %</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millions)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(757.1)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Adjusted EBITDA (in millions)</w:t>
            </w:r>
            <w:r>
              <w:rPr>
                <w:rFonts w:ascii="Arial" w:cs="Arial" w:eastAsia="Arial" w:hAnsi="Arial"/>
                <w:sz w:val="21"/>
                <w:szCs w:val="21"/>
                <w:color w:val="auto"/>
                <w:vertAlign w:val="superscript"/>
              </w:rPr>
              <w:t>(2)</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63.2</w:t>
            </w: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Net Cash Used in Operating Activities (in millions)</w:t>
            </w:r>
            <w:r>
              <w:rPr>
                <w:rFonts w:ascii="Arial" w:cs="Arial" w:eastAsia="Arial" w:hAnsi="Arial"/>
                <w:sz w:val="21"/>
                <w:szCs w:val="21"/>
                <w:color w:val="auto"/>
                <w:vertAlign w:val="superscript"/>
              </w:rPr>
              <w:t>(3)</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(670.1)</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(151.2)</w:t>
            </w:r>
          </w:p>
        </w:tc>
      </w:tr>
      <w:tr>
        <w:trPr>
          <w:trHeight w:val="24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 (in millions)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(746.7)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(204.0)</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55" w:lineRule="exact"/>
        <w:rPr>
          <w:sz w:val="20"/>
          <w:szCs w:val="20"/>
          <w:color w:val="auto"/>
        </w:rPr>
      </w:pPr>
    </w:p>
    <w:p>
      <w:pPr>
        <w:ind w:right="480" w:firstLine="8"/>
        <w:spacing w:after="0" w:line="264" w:lineRule="auto"/>
        <w:tabs>
          <w:tab w:leader="none" w:pos="189" w:val="left"/>
        </w:tabs>
        <w:numPr>
          <w:ilvl w:val="0"/>
          <w:numId w:val="11"/>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metrics for investors.</w:t>
      </w:r>
    </w:p>
    <w:p>
      <w:pPr>
        <w:spacing w:after="0" w:line="35" w:lineRule="exact"/>
        <w:rPr>
          <w:rFonts w:ascii="Arial" w:cs="Arial" w:eastAsia="Arial" w:hAnsi="Arial"/>
          <w:sz w:val="13"/>
          <w:szCs w:val="13"/>
          <w:color w:val="auto"/>
        </w:rPr>
      </w:pPr>
    </w:p>
    <w:p>
      <w:pPr>
        <w:ind w:right="240" w:firstLine="8"/>
        <w:spacing w:after="0" w:line="264" w:lineRule="auto"/>
        <w:tabs>
          <w:tab w:leader="none" w:pos="189" w:val="left"/>
        </w:tabs>
        <w:numPr>
          <w:ilvl w:val="0"/>
          <w:numId w:val="11"/>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Measures—Adjusted EBITDA and Adjusted EBITDA Margin” for a reconciliation of net (loss) income to Adjusted EBITDA and an explanation of why we consider Adjusted EBITDA to be a helpful metric for investors.</w:t>
      </w:r>
    </w:p>
    <w:p>
      <w:pPr>
        <w:spacing w:after="0" w:line="22" w:lineRule="exact"/>
        <w:rPr>
          <w:rFonts w:ascii="Arial" w:cs="Arial" w:eastAsia="Arial" w:hAnsi="Arial"/>
          <w:sz w:val="13"/>
          <w:szCs w:val="13"/>
          <w:color w:val="auto"/>
        </w:rPr>
      </w:pPr>
    </w:p>
    <w:p>
      <w:pPr>
        <w:ind w:right="40" w:firstLine="8"/>
        <w:spacing w:after="0" w:line="264" w:lineRule="auto"/>
        <w:tabs>
          <w:tab w:leader="none" w:pos="189" w:val="left"/>
        </w:tabs>
        <w:numPr>
          <w:ilvl w:val="0"/>
          <w:numId w:val="11"/>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Measures—Free Cash Flow” for a reconciliation of net cash provided by (used in) operating activities to Free Cash Flow and an explanation of why we consider Free Cash Flow to be a helpful metric for investors.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Subscriptions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ability to expand the number of Connected Fitness Subscriptions is an indicator of our market penetration and growth. 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 subscription credits or waivers) or requested a “pause” to their subscription for up to three months. We do not include canceled or unpaid Connected Fitness Subscriptions in the Connected Fitness Subscription count.</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Net Monthly Connected Fitness Churn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use Average Net Monthly Connected Fitness Churn to measure the retention of our Connected Fitness Subscriptions. We define “Average Net Monthly Connected Fitness Churn” as Connected Fitness Subscription cancellations, net of reactivations, in the quarter, divided by the average number of beginning Connected Fitness Subscriptions in each month, divided by three months. This metric does not include data related to our Peloton Digital subscriptions for Members who pay a monthly fee for access to our content library on their own devices.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Workouts and Average Monthly Workouts per Connected Fitness Subscription</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review Total Workouts and Average Monthly Workouts per Connected Fitness Subscription to measure engagement, which is the leading indicator of retention for our Connected Fitness Subscriptions. We define “Total Workouts” as all workouts completed during a given period. We define a “Workout” as the completion of at least 50% of an instructor-led class or scenic ride or run, or ten or more minutes of “Just Ride” or “Just Run” mode by a Member associated with a Connected Fitness Subscription. We define “Average Monthly Workouts per Connected Fitness Subscription” as the Total Workouts completed in the quarter divided by the average number of Connected Fitness Subscriptions in each month, divided by three months.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 revenue consists of sales of our portfolio of Connected Fitness Products and related accessories, delivery and installation services, branded apparel, extended warranty agreements, and the sale, service, installation, and delivery contracts of our commercial business. Connected Fitness Product revenue is recognized at the time of delivery, except for extended warranty revenue which is recognized over the warranty period and service revenue which is recognized over the term, and is recorded net of returns and discounts and third-party financing program fees, when applicable.</w:t>
      </w:r>
    </w:p>
    <w:p>
      <w:pPr>
        <w:sectPr>
          <w:pgSz w:w="11900" w:h="16838" w:orient="portrait"/>
          <w:cols w:equalWidth="0" w:num="1">
            <w:col w:w="11240"/>
          </w:cols>
          <w:pgMar w:left="320" w:top="827"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Subscription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Subscription revenue consists of revenue generated from our monthly Connected Fitness Subscription and Peloton Digital subscription.</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As of March 31, 2022, 99% and 88% of our Connected Fitness Subscription and Peloton Digital subscription bases were paying month-to-month, respectively.</w:t>
      </w:r>
    </w:p>
    <w:p>
      <w:pPr>
        <w:spacing w:after="0" w:line="200" w:lineRule="exact"/>
        <w:rPr>
          <w:sz w:val="20"/>
          <w:szCs w:val="20"/>
          <w:color w:val="auto"/>
        </w:rPr>
      </w:pPr>
    </w:p>
    <w:p>
      <w:pPr>
        <w:spacing w:after="0" w:line="22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a Connected Fitness Subscription owns a combination of a Bike, Tread or Guide product in the same household, the price of the Subscription remains $39.00 monthly (expected to be increased to $44 USD effective as of June 1, 2022). As of March 31, 2022, approximately 5% of our Connected Fitness Subscriptions owned both a Bike and Tread product.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 cost of revenue consists of our portfolio of Connected Fitness Products and branded apparel product costs, including manufacturing costs, duties and other applicable importing costs, shipping and handling costs, packaging, warranty replacement and service costs, fulfillment costs, warehousing costs, depreciation of property and equipment, and certain costs related to management, facilities, and personnel-related expenses associated with supply chain logistics.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content costs for past use, third-party platform streaming costs, and payment processing fees for our monthly subscription billings.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expenses related to the Peloton App, and depreciation of property and equipment.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General and administrative expense includes personnel-related expenses and facilities-related costs primarily for our executive, finance, accounting, legal, human resources, IT functions and member support. General and administrative expense also includes fees for professional services principally comprised of legal, audit, tax and accounting services, depreciation of property and equipment, and insurance, as well as litigation settlement costs.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which may also cause research and development expenses to vary from period to period.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impairment</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Goodwill impairment consists of non-cash impairment charges relating to Goodwill. We review goodwill for impairment annually on April 1 and more frequently if events or changes in circumstances indicate that an impairment may exist. If the carrying value of the reporting unit continues to exceed its fair value, the fair value of the reporting unit’s goodwill is calculated and an impairment loss equal to the excess is recorded.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expense and loss on disposals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Impairment expense and loss on disposals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consolidated financial statements. Management disposes of fixed assets during the regular course of business due to damage, obsolescence, strategic shifts, and loss.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expense</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Restructuring expense consists of severance and other personnel costs, including stock-based compensation expense, professional services, facility decommissioning and other costs associated with exit and disposal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income and expenses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(expense) income, net</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(expense) income, net consists of interest (expense) income, unrealized and realized gains (losses) on investments, and impacts from foreign exchange transactions.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provision</w:t>
      </w:r>
    </w:p>
    <w:p>
      <w:pPr>
        <w:sectPr>
          <w:pgSz w:w="11900" w:h="16838" w:orient="portrait"/>
          <w:cols w:equalWidth="0" w:num="1">
            <w:col w:w="11240"/>
          </w:cols>
          <w:pgMar w:left="320" w:top="652" w:right="33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30" w:name="page31"/>
    <w:bookmarkEnd w:id="30"/>
    <w:p>
      <w:pPr>
        <w:jc w:val="both"/>
        <w:spacing w:after="0" w:line="275" w:lineRule="auto"/>
        <w:rPr>
          <w:sz w:val="20"/>
          <w:szCs w:val="20"/>
          <w:color w:val="auto"/>
        </w:rPr>
      </w:pPr>
      <w:r>
        <w:rPr>
          <w:rFonts w:ascii="Arial" w:cs="Arial" w:eastAsia="Arial" w:hAnsi="Arial"/>
          <w:sz w:val="16"/>
          <w:szCs w:val="16"/>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7"/>
          </w:tcPr>
          <w:p>
            <w:pPr>
              <w:jc w:val="center"/>
              <w:ind w:right="300"/>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5"/>
          </w:tcPr>
          <w:p>
            <w:pPr>
              <w:jc w:val="center"/>
              <w:ind w:left="679"/>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Operations Data: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Connected Fitness Products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2,494.4</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590.6</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3,085.0</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line="223"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Connected Fitness Products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1,659.5</w:t>
            </w:r>
          </w:p>
        </w:tc>
        <w:tc>
          <w:tcPr>
            <w:tcW w:w="0" w:type="dxa"/>
            <w:vAlign w:val="bottom"/>
          </w:tcPr>
          <w:p>
            <w:pPr>
              <w:spacing w:after="0"/>
              <w:rPr>
                <w:sz w:val="1"/>
                <w:szCs w:val="1"/>
                <w:color w:val="auto"/>
              </w:rPr>
            </w:pPr>
          </w:p>
        </w:tc>
      </w:tr>
      <w:tr>
        <w:trPr>
          <w:trHeight w:val="242"/>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w:t>
            </w:r>
          </w:p>
        </w:tc>
        <w:tc>
          <w:tcPr>
            <w:tcW w:w="0" w:type="dxa"/>
            <w:vAlign w:val="bottom"/>
          </w:tcPr>
          <w:p>
            <w:pPr>
              <w:spacing w:after="0"/>
              <w:rPr>
                <w:sz w:val="1"/>
                <w:szCs w:val="1"/>
                <w:color w:val="auto"/>
              </w:rPr>
            </w:pPr>
          </w:p>
        </w:tc>
      </w:tr>
      <w:tr>
        <w:trPr>
          <w:trHeight w:val="211"/>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cost of revenue</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2,175.3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1,886.6</w:t>
            </w:r>
          </w:p>
        </w:tc>
        <w:tc>
          <w:tcPr>
            <w:tcW w:w="0" w:type="dxa"/>
            <w:vAlign w:val="bottom"/>
          </w:tcPr>
          <w:p>
            <w:pPr>
              <w:spacing w:after="0"/>
              <w:rPr>
                <w:sz w:val="1"/>
                <w:szCs w:val="1"/>
                <w:color w:val="auto"/>
              </w:rPr>
            </w:pPr>
          </w:p>
        </w:tc>
      </w:tr>
      <w:tr>
        <w:trPr>
          <w:trHeight w:val="209"/>
        </w:trPr>
        <w:tc>
          <w:tcPr>
            <w:tcW w:w="53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1,198.4</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4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500.3</w:t>
            </w: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430.3</w:t>
            </w:r>
          </w:p>
        </w:tc>
        <w:tc>
          <w:tcPr>
            <w:tcW w:w="0" w:type="dxa"/>
            <w:vAlign w:val="bottom"/>
          </w:tcPr>
          <w:p>
            <w:pPr>
              <w:spacing w:after="0"/>
              <w:rPr>
                <w:sz w:val="1"/>
                <w:szCs w:val="1"/>
                <w:color w:val="auto"/>
              </w:rPr>
            </w:pPr>
          </w:p>
        </w:tc>
      </w:tr>
      <w:tr>
        <w:trPr>
          <w:trHeight w:val="243"/>
        </w:trPr>
        <w:tc>
          <w:tcPr>
            <w:tcW w:w="5320" w:type="dxa"/>
            <w:vAlign w:val="bottom"/>
          </w:tcPr>
          <w:p>
            <w:pPr>
              <w:ind w:left="14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impairment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5320" w:type="dxa"/>
            <w:vAlign w:val="bottom"/>
          </w:tcPr>
          <w:p>
            <w:pPr>
              <w:ind w:left="140"/>
              <w:spacing w:after="0"/>
              <w:rPr>
                <w:sz w:val="20"/>
                <w:szCs w:val="20"/>
                <w:color w:val="auto"/>
              </w:rPr>
            </w:pPr>
            <w:r>
              <w:rPr>
                <w:rFonts w:ascii="Arial" w:cs="Arial" w:eastAsia="Arial" w:hAnsi="Arial"/>
                <w:sz w:val="16"/>
                <w:szCs w:val="16"/>
                <w:color w:val="auto"/>
              </w:rPr>
              <w:t>Impairment expense and loss on disposals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expense</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operating expenses</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458.6</w:t>
            </w: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2,249.4</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1,084.4</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net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provision for income taxes</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gridSpan w:val="2"/>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32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Arial" w:cs="Arial" w:eastAsia="Arial" w:hAnsi="Arial"/>
                <w:sz w:val="13"/>
                <w:szCs w:val="13"/>
                <w:color w:val="auto"/>
              </w:rPr>
              <w:t>(1) Includes stock-based compensation expense as follows: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2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2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rPr>
              <w:t>Nine Months Ended March 31,</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5"/>
          </w:tcPr>
          <w:p>
            <w:pPr>
              <w:jc w:val="center"/>
              <w:ind w:left="699"/>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9"/>
        </w:trPr>
        <w:tc>
          <w:tcPr>
            <w:tcW w:w="532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Restructuring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6"/>
        </w:trPr>
        <w:tc>
          <w:tcPr>
            <w:tcW w:w="5320" w:type="dxa"/>
            <w:vAlign w:val="bottom"/>
          </w:tcPr>
          <w:p>
            <w:pPr>
              <w:spacing w:after="0"/>
              <w:rPr>
                <w:sz w:val="20"/>
                <w:szCs w:val="20"/>
                <w:color w:val="auto"/>
              </w:rPr>
            </w:pPr>
            <w:r>
              <w:rPr>
                <w:rFonts w:ascii="Arial" w:cs="Arial" w:eastAsia="Arial" w:hAnsi="Arial"/>
                <w:sz w:val="13"/>
                <w:szCs w:val="13"/>
                <w:color w:val="auto"/>
              </w:rPr>
              <w:t>(2) Includes depreciation and amortization expense as follows: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43"/>
        </w:trPr>
        <w:tc>
          <w:tcPr>
            <w:tcW w:w="5320" w:type="dxa"/>
            <w:vAlign w:val="bottom"/>
          </w:tcPr>
          <w:p>
            <w:pPr>
              <w:spacing w:after="0"/>
              <w:rPr>
                <w:sz w:val="21"/>
                <w:szCs w:val="21"/>
                <w:color w:val="auto"/>
              </w:rPr>
            </w:pPr>
          </w:p>
        </w:tc>
        <w:tc>
          <w:tcPr>
            <w:tcW w:w="300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21"/>
                <w:szCs w:val="21"/>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23"/>
        </w:trPr>
        <w:tc>
          <w:tcPr>
            <w:tcW w:w="5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23"/>
        </w:trPr>
        <w:tc>
          <w:tcPr>
            <w:tcW w:w="5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9"/>
                <w:szCs w:val="19"/>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09"/>
        </w:trPr>
        <w:tc>
          <w:tcPr>
            <w:tcW w:w="532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0"/>
        </w:trPr>
        <w:tc>
          <w:tcPr>
            <w:tcW w:w="5320" w:type="dxa"/>
            <w:vAlign w:val="bottom"/>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r>
      <w:tr>
        <w:trPr>
          <w:trHeight w:val="20"/>
        </w:trPr>
        <w:tc>
          <w:tcPr>
            <w:tcW w:w="5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the Three and Nine Months Ended March 31, 2022 and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8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53"/>
        </w:trPr>
        <w:tc>
          <w:tcPr>
            <w:tcW w:w="2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 March 31,</w:t>
            </w:r>
          </w:p>
        </w:tc>
        <w:tc>
          <w:tcPr>
            <w:tcW w:w="1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March 31,</w:t>
            </w:r>
          </w:p>
        </w:tc>
        <w:tc>
          <w:tcPr>
            <w:tcW w:w="1360" w:type="dxa"/>
            <w:vAlign w:val="bottom"/>
          </w:tcPr>
          <w:p>
            <w:pPr>
              <w:spacing w:after="0"/>
              <w:rPr>
                <w:sz w:val="24"/>
                <w:szCs w:val="24"/>
                <w:color w:val="auto"/>
              </w:rPr>
            </w:pPr>
          </w:p>
        </w:tc>
      </w:tr>
      <w:tr>
        <w:trPr>
          <w:trHeight w:val="223"/>
        </w:trPr>
        <w:tc>
          <w:tcPr>
            <w:tcW w:w="2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4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(dollars in millions)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594.4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1,022.9</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(41.9)%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1,891.9</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2,494.4</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(24.2)%</w:t>
            </w: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239.4</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54.5</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1,011.6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590.6</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71.3</w:t>
            </w:r>
          </w:p>
        </w:tc>
      </w:tr>
      <w:tr>
        <w:trPr>
          <w:trHeight w:val="210"/>
        </w:trPr>
        <w:tc>
          <w:tcPr>
            <w:tcW w:w="238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964.3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1,262.3</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(23.6)%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2,903.4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3,085.0</w:t>
            </w:r>
          </w:p>
        </w:tc>
        <w:tc>
          <w:tcPr>
            <w:tcW w:w="1360" w:type="dxa"/>
            <w:vAlign w:val="bottom"/>
          </w:tcPr>
          <w:p>
            <w:pPr>
              <w:jc w:val="center"/>
              <w:spacing w:after="0"/>
              <w:rPr>
                <w:sz w:val="20"/>
                <w:szCs w:val="20"/>
                <w:color w:val="auto"/>
              </w:rPr>
            </w:pPr>
            <w:r>
              <w:rPr>
                <w:rFonts w:ascii="Arial" w:cs="Arial" w:eastAsia="Arial" w:hAnsi="Arial"/>
                <w:sz w:val="16"/>
                <w:szCs w:val="16"/>
                <w:color w:val="auto"/>
              </w:rPr>
              <w:t>(5.9)%</w:t>
            </w: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42"/>
        </w:trPr>
        <w:tc>
          <w:tcPr>
            <w:tcW w:w="238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61.6 %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81.0 %</w:t>
            </w: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65.2 %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80.9 %</w:t>
            </w:r>
          </w:p>
        </w:tc>
        <w:tc>
          <w:tcPr>
            <w:tcW w:w="1360" w:type="dxa"/>
            <w:vAlign w:val="bottom"/>
          </w:tcPr>
          <w:p>
            <w:pPr>
              <w:spacing w:after="0"/>
              <w:rPr>
                <w:sz w:val="21"/>
                <w:szCs w:val="21"/>
                <w:color w:val="auto"/>
              </w:rPr>
            </w:pPr>
          </w:p>
        </w:tc>
      </w:tr>
      <w:tr>
        <w:trPr>
          <w:trHeight w:val="244"/>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19.0</w:t>
            </w:r>
          </w:p>
        </w:tc>
        <w:tc>
          <w:tcPr>
            <w:tcW w:w="14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34.8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19.1</w:t>
            </w:r>
          </w:p>
        </w:tc>
        <w:tc>
          <w:tcPr>
            <w:tcW w:w="1360" w:type="dxa"/>
            <w:vAlign w:val="bottom"/>
            <w:shd w:val="clear" w:color="auto" w:fill="CCEEFF"/>
          </w:tcPr>
          <w:p>
            <w:pPr>
              <w:spacing w:after="0"/>
              <w:rPr>
                <w:sz w:val="21"/>
                <w:szCs w:val="21"/>
                <w:color w:val="auto"/>
              </w:rPr>
            </w:pPr>
          </w:p>
        </w:tc>
      </w:tr>
      <w:tr>
        <w:trPr>
          <w:trHeight w:val="209"/>
        </w:trPr>
        <w:tc>
          <w:tcPr>
            <w:tcW w:w="2380" w:type="dxa"/>
            <w:vAlign w:val="bottom"/>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36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2022 and 2021</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Connected Fitness Products revenue decreased $428.5 million and $602.5 million for the three and nine months ended March 31, 2022, respectively, compared to the three and nine months ended March 31, 2021, respectively. This decrease was primarily attributable to fewer Bike and Tread+ deliveries, and charges associated with the voluntary product recalls, partially offset by increased Tread deliveries for the three and nine months ended March 31, 2022. The decrease in Bike deliveries was primarily due to a return to our historical seasonality following the strong increase in demand for home fitness during the COVID-19 pandemic during the three and nine months ended March 31, 2021. The decrease was partially offset by revenues generated from Precor-branded commercial products of $52.9 million and $186.6 million for the three and nine months ended March 31, 2022, respectively.</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Subscription revenue increased $130.5 million and $421.0 million for the three and nine months ended March 31, 2022, respectively, compared to the three and nine months ended March 31, 2021, respectively. This increase was primarily attributable to the year-over-year growth in our Connected Fitness Subscriptions. The growth of our Connected Fitness Subscriptions was primarily driven by the number of Connected Fitness Products delivered over the past 12 months under new Subscriptions and our low Average Net Monthly Connected Fitness Churn of 0.75% and 0.79% for the three and nine months ended March 31, 2022, respectively.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1"/>
        </w:trPr>
        <w:tc>
          <w:tcPr>
            <w:tcW w:w="382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40"/>
        </w:trPr>
        <w:tc>
          <w:tcPr>
            <w:tcW w:w="2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March 31,</w:t>
            </w:r>
          </w:p>
        </w:tc>
        <w:tc>
          <w:tcPr>
            <w:tcW w:w="1420" w:type="dxa"/>
            <w:vAlign w:val="bottom"/>
          </w:tcPr>
          <w:p>
            <w:pPr>
              <w:spacing w:after="0"/>
              <w:rPr>
                <w:sz w:val="24"/>
                <w:szCs w:val="24"/>
                <w:color w:val="auto"/>
              </w:rPr>
            </w:pPr>
          </w:p>
        </w:tc>
      </w:tr>
      <w:tr>
        <w:trPr>
          <w:trHeight w:val="223"/>
        </w:trPr>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5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(dollars in millions)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662.3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732.5</w:t>
            </w:r>
          </w:p>
        </w:tc>
        <w:tc>
          <w:tcPr>
            <w:tcW w:w="1500" w:type="dxa"/>
            <w:vAlign w:val="bottom"/>
          </w:tcPr>
          <w:p>
            <w:pPr>
              <w:jc w:val="center"/>
              <w:spacing w:after="0"/>
              <w:rPr>
                <w:sz w:val="20"/>
                <w:szCs w:val="20"/>
                <w:color w:val="auto"/>
              </w:rPr>
            </w:pPr>
            <w:r>
              <w:rPr>
                <w:rFonts w:ascii="Arial" w:cs="Arial" w:eastAsia="Arial" w:hAnsi="Arial"/>
                <w:sz w:val="16"/>
                <w:szCs w:val="16"/>
                <w:color w:val="auto"/>
              </w:rPr>
              <w:t>(9.6)%</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1,848.1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1,659.5</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96"/>
              </w:rPr>
              <w:t>11.4%</w:t>
            </w:r>
          </w:p>
        </w:tc>
      </w:tr>
      <w:tr>
        <w:trPr>
          <w:trHeight w:val="216"/>
        </w:trPr>
        <w:tc>
          <w:tcPr>
            <w:tcW w:w="2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84.8</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38.9</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227.0</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44.1</w:t>
            </w:r>
          </w:p>
        </w:tc>
      </w:tr>
      <w:tr>
        <w:trPr>
          <w:trHeight w:val="210"/>
        </w:trPr>
        <w:tc>
          <w:tcPr>
            <w:tcW w:w="228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780.1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817.4</w:t>
            </w:r>
          </w:p>
        </w:tc>
        <w:tc>
          <w:tcPr>
            <w:tcW w:w="1500" w:type="dxa"/>
            <w:vAlign w:val="bottom"/>
          </w:tcPr>
          <w:p>
            <w:pPr>
              <w:jc w:val="center"/>
              <w:spacing w:after="0"/>
              <w:rPr>
                <w:sz w:val="20"/>
                <w:szCs w:val="20"/>
                <w:color w:val="auto"/>
              </w:rPr>
            </w:pPr>
            <w:r>
              <w:rPr>
                <w:rFonts w:ascii="Arial" w:cs="Arial" w:eastAsia="Arial" w:hAnsi="Arial"/>
                <w:sz w:val="16"/>
                <w:szCs w:val="16"/>
                <w:color w:val="auto"/>
              </w:rPr>
              <w:t>(4.6)%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2,175.3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1,886.6</w:t>
            </w:r>
          </w:p>
        </w:tc>
        <w:tc>
          <w:tcPr>
            <w:tcW w:w="1420" w:type="dxa"/>
            <w:vAlign w:val="bottom"/>
          </w:tcPr>
          <w:p>
            <w:pPr>
              <w:jc w:val="center"/>
              <w:spacing w:after="0"/>
              <w:rPr>
                <w:sz w:val="20"/>
                <w:szCs w:val="20"/>
                <w:color w:val="auto"/>
              </w:rPr>
            </w:pPr>
            <w:r>
              <w:rPr>
                <w:rFonts w:ascii="Arial" w:cs="Arial" w:eastAsia="Arial" w:hAnsi="Arial"/>
                <w:sz w:val="16"/>
                <w:szCs w:val="16"/>
                <w:color w:val="auto"/>
              </w:rPr>
              <w:t>15.3%</w:t>
            </w: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183"/>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290.4</w:t>
            </w:r>
          </w:p>
        </w:tc>
        <w:tc>
          <w:tcPr>
            <w:tcW w:w="1500" w:type="dxa"/>
            <w:vAlign w:val="bottom"/>
          </w:tcPr>
          <w:p>
            <w:pPr>
              <w:jc w:val="center"/>
              <w:spacing w:after="0"/>
              <w:rPr>
                <w:sz w:val="20"/>
                <w:szCs w:val="20"/>
                <w:color w:val="auto"/>
              </w:rPr>
            </w:pPr>
            <w:r>
              <w:rPr>
                <w:rFonts w:ascii="Arial" w:cs="Arial" w:eastAsia="Arial" w:hAnsi="Arial"/>
                <w:sz w:val="16"/>
                <w:szCs w:val="16"/>
                <w:color w:val="auto"/>
              </w:rPr>
              <w:t>(123.4)%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834.8</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99"/>
              </w:rPr>
              <w:t>(94.8)%</w:t>
            </w:r>
          </w:p>
        </w:tc>
      </w:tr>
      <w:tr>
        <w:trPr>
          <w:trHeight w:val="217"/>
        </w:trPr>
        <w:tc>
          <w:tcPr>
            <w:tcW w:w="2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154.5</w:t>
            </w: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63.1</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684.4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363.6</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88.2</w:t>
            </w:r>
          </w:p>
        </w:tc>
      </w:tr>
      <w:tr>
        <w:trPr>
          <w:trHeight w:val="209"/>
        </w:trPr>
        <w:tc>
          <w:tcPr>
            <w:tcW w:w="2280" w:type="dxa"/>
            <w:vAlign w:val="bottom"/>
          </w:tcPr>
          <w:p>
            <w:pPr>
              <w:ind w:left="240"/>
              <w:spacing w:after="0"/>
              <w:rPr>
                <w:sz w:val="20"/>
                <w:szCs w:val="20"/>
                <w:color w:val="auto"/>
              </w:rPr>
            </w:pPr>
            <w:r>
              <w:rPr>
                <w:rFonts w:ascii="Arial" w:cs="Arial" w:eastAsia="Arial" w:hAnsi="Arial"/>
                <w:sz w:val="16"/>
                <w:szCs w:val="16"/>
                <w:color w:val="auto"/>
              </w:rPr>
              <w:t>Total Gross profit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184.2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444.9</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(58.6)%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728.2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1,198.4</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99"/>
              </w:rPr>
              <w:t>(39.2)%</w:t>
            </w:r>
          </w:p>
        </w:tc>
      </w:tr>
      <w:tr>
        <w:trPr>
          <w:trHeight w:val="21"/>
        </w:trPr>
        <w:tc>
          <w:tcPr>
            <w:tcW w:w="2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Gross Margin: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560" w:type="dxa"/>
            <w:vAlign w:val="bottom"/>
          </w:tcPr>
          <w:p>
            <w:pPr>
              <w:jc w:val="right"/>
              <w:ind w:right="439"/>
              <w:spacing w:after="0"/>
              <w:rPr>
                <w:sz w:val="20"/>
                <w:szCs w:val="20"/>
                <w:color w:val="auto"/>
              </w:rPr>
            </w:pPr>
            <w:r>
              <w:rPr>
                <w:rFonts w:ascii="Arial" w:cs="Arial" w:eastAsia="Arial" w:hAnsi="Arial"/>
                <w:sz w:val="16"/>
                <w:szCs w:val="16"/>
                <w:color w:val="auto"/>
              </w:rPr>
              <w:t>(11.4)%</w:t>
            </w:r>
          </w:p>
        </w:tc>
        <w:tc>
          <w:tcPr>
            <w:tcW w:w="2280" w:type="dxa"/>
            <w:vAlign w:val="bottom"/>
          </w:tcPr>
          <w:p>
            <w:pPr>
              <w:jc w:val="right"/>
              <w:ind w:right="1159"/>
              <w:spacing w:after="0"/>
              <w:rPr>
                <w:sz w:val="20"/>
                <w:szCs w:val="20"/>
                <w:color w:val="auto"/>
              </w:rPr>
            </w:pPr>
            <w:r>
              <w:rPr>
                <w:rFonts w:ascii="Arial" w:cs="Arial" w:eastAsia="Arial" w:hAnsi="Arial"/>
                <w:sz w:val="16"/>
                <w:szCs w:val="16"/>
                <w:color w:val="auto"/>
              </w:rPr>
              <w:t>28.4 %</w:t>
            </w:r>
          </w:p>
        </w:tc>
        <w:tc>
          <w:tcPr>
            <w:tcW w:w="2260" w:type="dxa"/>
            <w:vAlign w:val="bottom"/>
          </w:tcPr>
          <w:p>
            <w:pPr>
              <w:jc w:val="right"/>
              <w:ind w:right="439"/>
              <w:spacing w:after="0"/>
              <w:rPr>
                <w:sz w:val="20"/>
                <w:szCs w:val="20"/>
                <w:color w:val="auto"/>
              </w:rPr>
            </w:pPr>
            <w:r>
              <w:rPr>
                <w:rFonts w:ascii="Arial" w:cs="Arial" w:eastAsia="Arial" w:hAnsi="Arial"/>
                <w:sz w:val="16"/>
                <w:szCs w:val="16"/>
                <w:color w:val="auto"/>
              </w:rPr>
              <w:t>2.3 %</w:t>
            </w:r>
          </w:p>
        </w:tc>
        <w:tc>
          <w:tcPr>
            <w:tcW w:w="2480" w:type="dxa"/>
            <w:vAlign w:val="bottom"/>
          </w:tcPr>
          <w:p>
            <w:pPr>
              <w:jc w:val="right"/>
              <w:ind w:right="1359"/>
              <w:spacing w:after="0"/>
              <w:rPr>
                <w:sz w:val="20"/>
                <w:szCs w:val="20"/>
                <w:color w:val="auto"/>
              </w:rPr>
            </w:pPr>
            <w:r>
              <w:rPr>
                <w:rFonts w:ascii="Arial" w:cs="Arial" w:eastAsia="Arial" w:hAnsi="Arial"/>
                <w:sz w:val="16"/>
                <w:szCs w:val="16"/>
                <w:color w:val="auto"/>
              </w:rPr>
              <w:t>33.5 %</w:t>
            </w:r>
          </w:p>
        </w:tc>
      </w:tr>
      <w:tr>
        <w:trPr>
          <w:trHeight w:val="244"/>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5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68.1 %</w:t>
            </w:r>
          </w:p>
        </w:tc>
        <w:tc>
          <w:tcPr>
            <w:tcW w:w="228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rPr>
              <w:t>64.6 %</w:t>
            </w:r>
          </w:p>
        </w:tc>
        <w:tc>
          <w:tcPr>
            <w:tcW w:w="22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67.7 %</w:t>
            </w:r>
          </w:p>
        </w:tc>
        <w:tc>
          <w:tcPr>
            <w:tcW w:w="248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rPr>
              <w:t>61.6 %</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March 31, 2022 and 2021</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Connected Fitness Products cost of revenue for the three months ended March 31, 2022 decreased $70.2 million, or (9.6)%, compared to the three months ended March 31, 2021. This decrease was primarily driven by fewer deliveries for the three months ended March 31, 2022 compared to the three months ended March 31, 2021, partially offset by costs associated with Precor-branded commercial products of $46.6 million and increased Tread costs of $39.9 million driven by our launch of the Tread in the first quarter of fiscal 2022.</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Connected Fitness Product Gross Margin decreased to (11.4)% for the three months ended March 31, 2022, compared to 28.4% for the three months ended March 31, 2021, which was primarily driven the August 2021 Peloton Bike price reduction, impact of accessory inventory write-down, higher logistics expenses per delivery, increased port and storage costs, and charges associated with the voluntary recall of our Tread+ product.</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Subscription cost of revenue for the three months ended March 31, 2022 increased $33.0 million, or 38.9%, compared to the three months ended March 31, 2021. This increase was primarily driven by an increase of $21.9 million in music royalties and platform streaming costs and an increase of $4.3 million in personnel-related expenses, including stock-based compensation expense primarily due to employee stock grants, and $2.9 million in payment processing fees for our monthly subscription billing.</w:t>
      </w:r>
    </w:p>
    <w:p>
      <w:pPr>
        <w:spacing w:after="0" w:line="2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Subscription Gross Margin increased by 359 basis points for the three months ended March 31, 2022 compared to the three months ended March 31, 2021, primarily driven by fixed cost leverage with more Connected Fitness Subscriptions as well as modest efficiencies associated with certain variable costs.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 March 31, 2022 and 2021</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Products cost of revenue for the nine months ended March 31, 2022 increased $188.5 million or 11.4%, compared to the nine months ended March 31, 2021. This increase was primarily driven by costs of $150.4 million associated with Precor-branded commercial products, increased Tread costs of $85.7 million primarily driven by launch of Tread in the first quarter of fiscal 2022, and increased shipping and delivery costs of $58.9 million, partially offset by fewer deliveries for the nine months ended March 31, 2022 compared to the nine months ended March 31, 2021.</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Connected Fitness Product Gross Margin decreased to 2.3% from 33.5% for the nine months ended March 31, 2022 compared to the nine months ended March 31, 2021 primarily driven by higher logistics expenses per delivery, increased port and storage costs, fixed logistics cost deleveraging, the August 2021 Peloton Bike price reduction, and charges associated with the voluntary recall of our Tread+ product.</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Subscription cost of revenue for the nine months ended March 31, 2022 increased $100.2 million, or 44.1%, compared to the nine months ended March 31, 2021. This increase was primarily driven by an increase of $74.4 million in music royalties and platform streaming costs and an increase of $12.0 million in personnel-related expenses, excluding stock-based compensation expense, due to increased average headcount.</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Subscription Gross Margin increased by 610 basis points for the nine months ended March 31, 2022 compared to the nine months ended March 31, 2021, primarily driven by fixed cost leverage with more Connected Fitness Subscriptions as well as modest efficiencies associated with certain variable costs.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75"/>
        </w:trPr>
        <w:tc>
          <w:tcPr>
            <w:tcW w:w="2400" w:type="dxa"/>
            <w:vAlign w:val="bottom"/>
          </w:tcPr>
          <w:p>
            <w:pPr>
              <w:spacing w:after="0"/>
              <w:rPr>
                <w:sz w:val="20"/>
                <w:szCs w:val="20"/>
                <w:color w:val="auto"/>
              </w:rPr>
            </w:pPr>
            <w:r>
              <w:rPr>
                <w:rFonts w:ascii="Arial" w:cs="Arial" w:eastAsia="Arial" w:hAnsi="Arial"/>
                <w:sz w:val="16"/>
                <w:szCs w:val="16"/>
                <w:i w:val="1"/>
                <w:iCs w:val="1"/>
                <w:color w:val="auto"/>
              </w:rPr>
              <w:t>Sales and Marketing</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86"/>
        </w:trPr>
        <w:tc>
          <w:tcPr>
            <w:tcW w:w="2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Nine Months Ended March 31,</w:t>
            </w:r>
          </w:p>
        </w:tc>
        <w:tc>
          <w:tcPr>
            <w:tcW w:w="1360" w:type="dxa"/>
            <w:vAlign w:val="bottom"/>
          </w:tcPr>
          <w:p>
            <w:pPr>
              <w:spacing w:after="0"/>
              <w:rPr>
                <w:sz w:val="24"/>
                <w:szCs w:val="24"/>
                <w:color w:val="auto"/>
              </w:rPr>
            </w:pPr>
          </w:p>
        </w:tc>
      </w:tr>
      <w:tr>
        <w:trPr>
          <w:trHeight w:val="223"/>
        </w:trPr>
        <w:tc>
          <w:tcPr>
            <w:tcW w:w="2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3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(dollars in millions)</w:t>
            </w: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227.7</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208.2</w:t>
            </w:r>
          </w:p>
        </w:tc>
        <w:tc>
          <w:tcPr>
            <w:tcW w:w="14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9.4%</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860.8</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500.3</w:t>
            </w:r>
          </w:p>
        </w:tc>
        <w:tc>
          <w:tcPr>
            <w:tcW w:w="13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72.0%</w:t>
            </w:r>
          </w:p>
        </w:tc>
      </w:tr>
      <w:tr>
        <w:trPr>
          <w:trHeight w:val="241"/>
        </w:trPr>
        <w:tc>
          <w:tcPr>
            <w:tcW w:w="24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23.6 %</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16.5 %</w:t>
            </w: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29.6 %</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16.2 %</w:t>
            </w:r>
          </w:p>
        </w:tc>
        <w:tc>
          <w:tcPr>
            <w:tcW w:w="1360" w:type="dxa"/>
            <w:vAlign w:val="bottom"/>
          </w:tcPr>
          <w:p>
            <w:pPr>
              <w:spacing w:after="0"/>
              <w:rPr>
                <w:sz w:val="20"/>
                <w:szCs w:val="20"/>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2022 and 2021</w:t>
      </w:r>
    </w:p>
    <w:p>
      <w:pPr>
        <w:spacing w:after="0" w:line="2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Sales and marketing expense increased $19.5 million in the three months ended March 31, 2022 compared to the three months ended March 31, 2021. The increase was primarily due to an increase in personnel-related expenses which increased $11.8 million primarily due to increased average headcount and an increase in stock-based compensation expense of $1.8 million primarily due to employee stock grants.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and marketing expense increased $360.4 million in the nine months ended March 31, 2022 compared to the nine months ended March 31, 2021. These increases were primarily due to an increase in spending on advertising and marketing programs of $295.8 million. We significantly reduced marketing spend in the nine months ended March 31, 2021 due to the organic demand driven by the pandemic as well as ongoing supply chain challenges, and resumed in the second half of fiscal 2021 given our improved order-to-deliver position.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0" w:type="dxa"/>
            <w:vAlign w:val="bottom"/>
          </w:tcPr>
          <w:p>
            <w:pPr>
              <w:spacing w:after="0"/>
              <w:rPr>
                <w:sz w:val="20"/>
                <w:szCs w:val="20"/>
                <w:color w:val="auto"/>
              </w:rPr>
            </w:pPr>
            <w:r>
              <w:rPr>
                <w:rFonts w:ascii="Arial" w:cs="Arial" w:eastAsia="Arial" w:hAnsi="Arial"/>
                <w:sz w:val="16"/>
                <w:szCs w:val="16"/>
                <w:i w:val="1"/>
                <w:iCs w:val="1"/>
                <w:color w:val="auto"/>
              </w:rPr>
              <w:t>General and Administrative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2"/>
        </w:trPr>
        <w:tc>
          <w:tcPr>
            <w:tcW w:w="24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Nine Months Ended March 31,</w:t>
            </w:r>
          </w:p>
        </w:tc>
        <w:tc>
          <w:tcPr>
            <w:tcW w:w="1360" w:type="dxa"/>
            <w:vAlign w:val="bottom"/>
          </w:tcPr>
          <w:p>
            <w:pPr>
              <w:spacing w:after="0"/>
              <w:rPr>
                <w:sz w:val="23"/>
                <w:szCs w:val="23"/>
                <w:color w:val="auto"/>
              </w:rPr>
            </w:pPr>
          </w:p>
        </w:tc>
      </w:tr>
      <w:tr>
        <w:trPr>
          <w:trHeight w:val="223"/>
        </w:trPr>
        <w:tc>
          <w:tcPr>
            <w:tcW w:w="2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3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(dollars in millions)</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242.3</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180.6</w:t>
            </w:r>
          </w:p>
        </w:tc>
        <w:tc>
          <w:tcPr>
            <w:tcW w:w="1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34.2%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731.3</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430.3</w:t>
            </w:r>
          </w:p>
        </w:tc>
        <w:tc>
          <w:tcPr>
            <w:tcW w:w="13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70.0%</w:t>
            </w:r>
          </w:p>
        </w:tc>
      </w:tr>
      <w:tr>
        <w:trPr>
          <w:trHeight w:val="241"/>
        </w:trPr>
        <w:tc>
          <w:tcPr>
            <w:tcW w:w="24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25.1 %</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14.3 %</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25.2 %</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13.9 %</w:t>
            </w:r>
          </w:p>
        </w:tc>
        <w:tc>
          <w:tcPr>
            <w:tcW w:w="1360" w:type="dxa"/>
            <w:vAlign w:val="bottom"/>
          </w:tcPr>
          <w:p>
            <w:pPr>
              <w:spacing w:after="0"/>
              <w:rPr>
                <w:sz w:val="20"/>
                <w:szCs w:val="20"/>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2022 and 2021</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General and administrative expense increased $61.7 million and $301.0 million in the three and nine months ended March 31, 2022, respectively, when compared to the three and nine months ended March 31, 2021. These increases were primarily due to an increase in personnel-related expenses of $28.7 million and $118.5 million for the three and nine months ended March 31, 2022, respectively, including stock-based compensation expense, due to increased average headcount and employee stock grants. These increases were also due to an increase in professional services fees and IT costs associated with ongoing systems implementations of $28.8 million and $140.1 million during the three and nine months ended March 31, 2022, respectively, which costs related primarily to the upgrading of our back-office systems and infrastructure as well as integration costs related to our acquisitions, and an increase of $11.0 million and $27.9 million in depreciation and amortization expense primarily due to the Company’s New York City headquarters that was placed in service in fiscal 2022.</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0" w:type="dxa"/>
            <w:vAlign w:val="bottom"/>
          </w:tcPr>
          <w:p>
            <w:pPr>
              <w:spacing w:after="0"/>
              <w:rPr>
                <w:sz w:val="20"/>
                <w:szCs w:val="20"/>
                <w:color w:val="auto"/>
              </w:rPr>
            </w:pPr>
            <w:r>
              <w:rPr>
                <w:rFonts w:ascii="Arial" w:cs="Arial" w:eastAsia="Arial" w:hAnsi="Arial"/>
                <w:sz w:val="16"/>
                <w:szCs w:val="16"/>
                <w:i w:val="1"/>
                <w:iCs w:val="1"/>
                <w:color w:val="auto"/>
              </w:rPr>
              <w:t>Research and Development</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2"/>
        </w:trPr>
        <w:tc>
          <w:tcPr>
            <w:tcW w:w="24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Nine Months Ended March 31,</w:t>
            </w:r>
          </w:p>
        </w:tc>
        <w:tc>
          <w:tcPr>
            <w:tcW w:w="1360" w:type="dxa"/>
            <w:vAlign w:val="bottom"/>
          </w:tcPr>
          <w:p>
            <w:pPr>
              <w:spacing w:after="0"/>
              <w:rPr>
                <w:sz w:val="23"/>
                <w:szCs w:val="23"/>
                <w:color w:val="auto"/>
              </w:rPr>
            </w:pPr>
          </w:p>
        </w:tc>
      </w:tr>
      <w:tr>
        <w:trPr>
          <w:trHeight w:val="223"/>
        </w:trPr>
        <w:tc>
          <w:tcPr>
            <w:tcW w:w="2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3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(dollars in millions)</w:t>
            </w: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77.1</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69.8</w:t>
            </w:r>
          </w:p>
        </w:tc>
        <w:tc>
          <w:tcPr>
            <w:tcW w:w="1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10.5%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274.6</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153.9</w:t>
            </w:r>
          </w:p>
        </w:tc>
        <w:tc>
          <w:tcPr>
            <w:tcW w:w="13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78.5%</w:t>
            </w:r>
          </w:p>
        </w:tc>
      </w:tr>
      <w:tr>
        <w:trPr>
          <w:trHeight w:val="241"/>
        </w:trPr>
        <w:tc>
          <w:tcPr>
            <w:tcW w:w="24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8.0 %</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5.5 %</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9.5 %</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5.0 %</w:t>
            </w:r>
          </w:p>
        </w:tc>
        <w:tc>
          <w:tcPr>
            <w:tcW w:w="1360" w:type="dxa"/>
            <w:vAlign w:val="bottom"/>
          </w:tcPr>
          <w:p>
            <w:pPr>
              <w:spacing w:after="0"/>
              <w:rPr>
                <w:sz w:val="20"/>
                <w:szCs w:val="20"/>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2022 and 2021</w:t>
      </w:r>
    </w:p>
    <w:p>
      <w:pPr>
        <w:spacing w:after="0" w:line="2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Research and development expense increased $7.3 million in the three months ended March 31, 2022 compared to the three months ended March 31, 2021. The increase was primarily due to an increase in personnel-related expenses, which, including stock-based compensation expense, increased $13.6 million. This increase was due to increased average headcount and employee stock grants. This was partially offset by a decrease of $5.9 million in product development and research costs associated with development of new software features and products.</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Research and development expense increased $120.7 million in the nine months ended March 31, 2022 compared to the nine months ended March 31, 2021. The increase was primarily due to an increase in personnel-related expenses which, including stock-based compensation expense, increased $79.7 million. This increase was due to increased average headcount and employee stock grants. The increase was also driven by $27.5 million in product development and research costs associated with development of new software features and products.</w:t>
      </w:r>
    </w:p>
    <w:p>
      <w:pPr>
        <w:sectPr>
          <w:pgSz w:w="11900" w:h="16838" w:orient="portrait"/>
          <w:cols w:equalWidth="0" w:num="1">
            <w:col w:w="11240"/>
          </w:cols>
          <w:pgMar w:left="320" w:top="6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20"/>
                <w:szCs w:val="20"/>
                <w:color w:val="auto"/>
              </w:rPr>
            </w:pPr>
            <w:r>
              <w:rPr>
                <w:rFonts w:ascii="Arial" w:cs="Arial" w:eastAsia="Arial" w:hAnsi="Arial"/>
                <w:sz w:val="16"/>
                <w:szCs w:val="16"/>
                <w:i w:val="1"/>
                <w:iCs w:val="1"/>
                <w:color w:val="auto"/>
              </w:rPr>
              <w:t>Goodwill impairment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2"/>
        </w:trPr>
        <w:tc>
          <w:tcPr>
            <w:tcW w:w="2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c>
          <w:tcPr>
            <w:tcW w:w="1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c>
          <w:tcPr>
            <w:tcW w:w="1420" w:type="dxa"/>
            <w:vAlign w:val="bottom"/>
          </w:tcPr>
          <w:p>
            <w:pPr>
              <w:spacing w:after="0"/>
              <w:rPr>
                <w:sz w:val="20"/>
                <w:szCs w:val="20"/>
                <w:color w:val="auto"/>
              </w:rPr>
            </w:pPr>
          </w:p>
        </w:tc>
      </w:tr>
      <w:tr>
        <w:trPr>
          <w:trHeight w:val="223"/>
        </w:trPr>
        <w:tc>
          <w:tcPr>
            <w:tcW w:w="2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(dollars in millions)</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6"/>
              </w:rPr>
              <w:t>NM</w:t>
            </w: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2022 and 2021</w:t>
      </w:r>
    </w:p>
    <w:p>
      <w:pPr>
        <w:spacing w:after="0" w:line="30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review goodwill for impairment annually on April 1 and more frequently if events or changes in circumstances indicate that an impairment may exist (“a triggering event”). During the three months ended March 31, 2022, management identified various qualitative factors that collectively, indicated we had a triggering event, including (i) softening demand; (ii) increased costs of inventory and logistics; and (iii) sustained decrease in stock price. The Company performed a valuation of the Connected Fitness Products reporting unit using liquidation value and discounted cash flow methodologies. These forecasts and assumptions are highly subjective. See “</w:t>
      </w:r>
      <w:r>
        <w:rPr>
          <w:rFonts w:ascii="Arial" w:cs="Arial" w:eastAsia="Arial" w:hAnsi="Arial"/>
          <w:sz w:val="16"/>
          <w:szCs w:val="16"/>
          <w:i w:val="1"/>
          <w:iCs w:val="1"/>
          <w:color w:val="auto"/>
        </w:rPr>
        <w:t>Risk Factors—General Risk Factors— If our estimates or judgments relating to our critical accounting policies</w:t>
      </w:r>
      <w:r>
        <w:rPr>
          <w:rFonts w:ascii="Arial" w:cs="Arial" w:eastAsia="Arial" w:hAnsi="Arial"/>
          <w:sz w:val="16"/>
          <w:szCs w:val="16"/>
          <w:color w:val="auto"/>
        </w:rPr>
        <w:t xml:space="preserve"> </w:t>
      </w:r>
      <w:r>
        <w:rPr>
          <w:rFonts w:ascii="Arial" w:cs="Arial" w:eastAsia="Arial" w:hAnsi="Arial"/>
          <w:sz w:val="16"/>
          <w:szCs w:val="16"/>
          <w:i w:val="1"/>
          <w:iCs w:val="1"/>
          <w:color w:val="auto"/>
        </w:rPr>
        <w:t>prove to be incorrect, our operating results could be adversely affected</w:t>
      </w:r>
      <w:r>
        <w:rPr>
          <w:rFonts w:ascii="Arial" w:cs="Arial" w:eastAsia="Arial" w:hAnsi="Arial"/>
          <w:sz w:val="16"/>
          <w:szCs w:val="16"/>
          <w:color w:val="auto"/>
        </w:rPr>
        <w:t>” in our Fiscal Q2 10-Q. Given the results of our quantitative assessment, we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that the Connected Fitness Products reporting unit’s goodwill was impaired. During the three months ended March 31, 2022, the Company recognized a goodwill impairment charge of $181.9 million representing the entire amount of Goodwill related to the Connected Fitness Products reporting unit in the Connected Fitness Products Segment.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gridSpan w:val="3"/>
          </w:tcPr>
          <w:p>
            <w:pPr>
              <w:spacing w:after="0"/>
              <w:rPr>
                <w:sz w:val="20"/>
                <w:szCs w:val="20"/>
                <w:color w:val="auto"/>
              </w:rPr>
            </w:pPr>
            <w:r>
              <w:rPr>
                <w:rFonts w:ascii="Arial" w:cs="Arial" w:eastAsia="Arial" w:hAnsi="Arial"/>
                <w:sz w:val="16"/>
                <w:szCs w:val="16"/>
                <w:i w:val="1"/>
                <w:iCs w:val="1"/>
                <w:color w:val="auto"/>
              </w:rPr>
              <w:t>Impairment expense and loss on disposals</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2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c>
          <w:tcPr>
            <w:tcW w:w="1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(dollars in millions)</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Impairment expense and loss 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3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4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2022 and 2021</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Impairment expense and loss on disposals was comprised primarily of $27.4 million of asset write-downs and write-offs related to our previously announced restructuring initiative for the three and nine months ended March 31, 2022, and $7.7 million driven by the disposal of lease build out costs for the nine months ended March 31,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20"/>
                <w:szCs w:val="20"/>
                <w:color w:val="auto"/>
              </w:rPr>
            </w:pPr>
            <w:r>
              <w:rPr>
                <w:rFonts w:ascii="Arial" w:cs="Arial" w:eastAsia="Arial" w:hAnsi="Arial"/>
                <w:sz w:val="16"/>
                <w:szCs w:val="16"/>
                <w:i w:val="1"/>
                <w:iCs w:val="1"/>
                <w:color w:val="auto"/>
              </w:rPr>
              <w:t>Restructuring expense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72"/>
        </w:trPr>
        <w:tc>
          <w:tcPr>
            <w:tcW w:w="25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c>
          <w:tcPr>
            <w:tcW w:w="15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c>
          <w:tcPr>
            <w:tcW w:w="1420" w:type="dxa"/>
            <w:vAlign w:val="bottom"/>
          </w:tcPr>
          <w:p>
            <w:pPr>
              <w:spacing w:after="0"/>
              <w:rPr>
                <w:sz w:val="23"/>
                <w:szCs w:val="23"/>
                <w:color w:val="auto"/>
              </w:rPr>
            </w:pPr>
          </w:p>
        </w:tc>
      </w:tr>
      <w:tr>
        <w:trPr>
          <w:trHeight w:val="223"/>
        </w:trPr>
        <w:tc>
          <w:tcPr>
            <w:tcW w:w="2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(dollars in millions)</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6"/>
              </w:rPr>
              <w:t>NM</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Nine Months Ended March 31, 2022 and 2021</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Restructuring expense was $158.5 million in the three and nine months ended March 31, 2022, respectively. The restructuring expenses consisted of $99.4 million of severance and other personnel costs, $44.9 million of stock-based compensation expense driven by the acceleration of certain vesting schedules and incremental stock-based compensation expense pursuant to severance arrangements, and $14.3 million of professional fees and other costs associated with exit and disposal activities. There were no restructuring expenses for the three and nine months ended March 31, 2021.</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Other Expense, Net and Income Tax Expense</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77"/>
        </w:trPr>
        <w:tc>
          <w:tcPr>
            <w:tcW w:w="2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 March 31,</w:t>
            </w:r>
          </w:p>
        </w:tc>
        <w:tc>
          <w:tcPr>
            <w:tcW w:w="1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c>
          <w:tcPr>
            <w:tcW w:w="1480" w:type="dxa"/>
            <w:vAlign w:val="bottom"/>
          </w:tcPr>
          <w:p>
            <w:pPr>
              <w:spacing w:after="0"/>
              <w:rPr>
                <w:sz w:val="24"/>
                <w:szCs w:val="24"/>
                <w:color w:val="auto"/>
              </w:rPr>
            </w:pPr>
          </w:p>
        </w:tc>
      </w:tr>
      <w:tr>
        <w:trPr>
          <w:trHeight w:val="223"/>
        </w:trPr>
        <w:tc>
          <w:tcPr>
            <w:tcW w:w="2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48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(dollars in millions)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4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NM</w:t>
            </w: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(9.1)</w:t>
            </w:r>
          </w:p>
        </w:tc>
        <w:tc>
          <w:tcPr>
            <w:tcW w:w="1560" w:type="dxa"/>
            <w:vAlign w:val="bottom"/>
          </w:tcPr>
          <w:p>
            <w:pPr>
              <w:jc w:val="center"/>
              <w:spacing w:after="0"/>
              <w:rPr>
                <w:sz w:val="20"/>
                <w:szCs w:val="20"/>
                <w:color w:val="auto"/>
              </w:rPr>
            </w:pPr>
            <w:r>
              <w:rPr>
                <w:rFonts w:ascii="Arial" w:cs="Arial" w:eastAsia="Arial" w:hAnsi="Arial"/>
                <w:sz w:val="16"/>
                <w:szCs w:val="16"/>
                <w:color w:val="auto"/>
                <w:w w:val="96"/>
              </w:rPr>
              <w:t>NM</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c>
          <w:tcPr>
            <w:tcW w:w="1480" w:type="dxa"/>
            <w:vAlign w:val="bottom"/>
          </w:tcPr>
          <w:p>
            <w:pPr>
              <w:jc w:val="center"/>
              <w:ind w:left="19"/>
              <w:spacing w:after="0"/>
              <w:rPr>
                <w:sz w:val="20"/>
                <w:szCs w:val="20"/>
                <w:color w:val="auto"/>
              </w:rPr>
            </w:pPr>
            <w:r>
              <w:rPr>
                <w:rFonts w:ascii="Arial" w:cs="Arial" w:eastAsia="Arial" w:hAnsi="Arial"/>
                <w:sz w:val="16"/>
                <w:szCs w:val="16"/>
                <w:color w:val="auto"/>
              </w:rPr>
              <w:t>NM</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ectPr>
          <w:pgSz w:w="11900" w:h="16838" w:orient="portrait"/>
          <w:cols w:equalWidth="0" w:num="1">
            <w:col w:w="11240"/>
          </w:cols>
          <w:pgMar w:left="320" w:top="613"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3"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color w:val="auto"/>
        </w:rPr>
        <w:t>Other expense, net, was comprised of the following for the three and nine months ended March 31, 2022:</w:t>
      </w:r>
    </w:p>
    <w:p>
      <w:pPr>
        <w:spacing w:after="0" w:line="302" w:lineRule="exact"/>
        <w:rPr>
          <w:sz w:val="20"/>
          <w:szCs w:val="20"/>
          <w:color w:val="auto"/>
        </w:rPr>
      </w:pPr>
    </w:p>
    <w:p>
      <w:pPr>
        <w:ind w:left="660" w:hanging="328"/>
        <w:spacing w:after="0" w:line="263"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Interest expense primarily related to the amortization of the convertible notes discount and deferred financing costs of $(9.1) million and $(26.5) million;</w:t>
      </w: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$0.2 million and $1.1 million;</w:t>
      </w:r>
    </w:p>
    <w:p>
      <w:pPr>
        <w:spacing w:after="0" w:line="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color w:val="auto"/>
        </w:rPr>
        <w:t>Foreign exchange losses of $(11.5) million and $(19.1) million; and</w:t>
      </w:r>
    </w:p>
    <w:p>
      <w:pPr>
        <w:spacing w:after="0" w:line="5" w:lineRule="exact"/>
        <w:rPr>
          <w:rFonts w:ascii="Arial" w:cs="Arial" w:eastAsia="Arial" w:hAnsi="Arial"/>
          <w:sz w:val="16"/>
          <w:szCs w:val="16"/>
          <w:i w:val="1"/>
          <w:iCs w:val="1"/>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Gain on lease termination partially offset by unrealized losses on short-term investments of $1.2 million and $0.7 million,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Other expense, net, was comprised of the following for the three and nine months ended March 31, 2021:</w:t>
      </w:r>
    </w:p>
    <w:p>
      <w:pPr>
        <w:spacing w:after="0" w:line="248" w:lineRule="exact"/>
        <w:rPr>
          <w:sz w:val="20"/>
          <w:szCs w:val="20"/>
          <w:color w:val="auto"/>
        </w:rPr>
      </w:pPr>
    </w:p>
    <w:p>
      <w:pPr>
        <w:ind w:left="660" w:hanging="328"/>
        <w:spacing w:after="0" w:line="26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Interest expense primarily related to the amortization of the convertible notes discount and deferred financing costs of $(4.9) million and $(5.7) million;</w:t>
      </w:r>
    </w:p>
    <w:p>
      <w:pPr>
        <w:spacing w:after="0" w:line="204"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$1.6 million and $6.7 million;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6"/>
          <w:szCs w:val="16"/>
          <w:i w:val="1"/>
          <w:iCs w:val="1"/>
          <w:color w:val="auto"/>
        </w:rPr>
      </w:pPr>
      <w:r>
        <w:rPr>
          <w:rFonts w:ascii="Arial" w:cs="Arial" w:eastAsia="Arial" w:hAnsi="Arial"/>
          <w:sz w:val="16"/>
          <w:szCs w:val="16"/>
          <w:color w:val="auto"/>
        </w:rPr>
        <w:t>Foreign exchange losses of $(0.7) million and $(1.5) million.</w:t>
      </w:r>
    </w:p>
    <w:p>
      <w:pPr>
        <w:spacing w:after="0" w:line="3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Income tax expense for the three and nine months ended March 31, 2022 of $2.1 million and $7.5 million, respectively, was primarily due to state and international taxes.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 and Adjusted EBITDA Margin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We calculate Adjusted EBITDA as net (loss) income adjusted to exclude: other expense (income), net; income tax expense (benefit); depreciation and amortization expense; stock-based compensation expense; impairment expense; product recall costs; litigation and settlement expenses; transaction and integration costs; reorganization, severance, exit, disposal and other costs associated with restructuring plans; and other adjustment items that arise outside the ordinary course of our business. Adjusted EBITDA Margin is calculated by dividing Adjusted EBITDA by total revenue.</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191" w:lineRule="exact"/>
        <w:rPr>
          <w:sz w:val="20"/>
          <w:szCs w:val="20"/>
          <w:color w:val="auto"/>
        </w:rPr>
      </w:pPr>
    </w:p>
    <w:p>
      <w:pPr>
        <w:jc w:val="both"/>
        <w:ind w:left="660" w:hanging="328"/>
        <w:spacing w:after="0" w:line="271"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and Adjusted EBITDA Margin are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5"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2"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 consistency and comparability with our past financial performance, facilitate period-to-period comparisons of our core operating results, and may also facilitate comparisons with other peer companies, many of which use similar non-GAAP financial measures to supplement their GAAP results.</w:t>
      </w:r>
    </w:p>
    <w:p>
      <w:pPr>
        <w:spacing w:after="0" w:line="19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168" w:lineRule="exact"/>
        <w:rPr>
          <w:sz w:val="20"/>
          <w:szCs w:val="20"/>
          <w:color w:val="auto"/>
        </w:rPr>
      </w:pPr>
    </w:p>
    <w:p>
      <w:pPr>
        <w:jc w:val="both"/>
        <w:ind w:left="66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pacing w:after="0" w:line="2" w:lineRule="exact"/>
        <w:rPr>
          <w:rFonts w:ascii="Arial" w:cs="Arial" w:eastAsia="Arial" w:hAnsi="Arial"/>
          <w:sz w:val="16"/>
          <w:szCs w:val="16"/>
          <w:color w:val="auto"/>
        </w:rPr>
      </w:pPr>
    </w:p>
    <w:p>
      <w:pPr>
        <w:ind w:left="660" w:hanging="328"/>
        <w:spacing w:after="0" w:line="290"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jc w:val="both"/>
        <w:ind w:left="66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2"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certain litigation expenses, consisting of legal settlements and related fees for specific proceedings that we have determined arise outside of the ordinary course of business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transaction and integration costs related to acquisitions;</w:t>
      </w:r>
    </w:p>
    <w:p>
      <w:pPr>
        <w:sectPr>
          <w:pgSz w:w="11900" w:h="16838" w:orient="portrait"/>
          <w:cols w:equalWidth="0" w:num="1">
            <w:col w:w="11240"/>
          </w:cols>
          <w:pgMar w:left="320" w:top="760"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36" w:name="page37"/>
    <w:bookmarkEnd w:id="36"/>
    <w:p>
      <w:pPr>
        <w:ind w:left="66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incremental costs associated with COVID-19, which consist of hazard pay for field operations employees;</w:t>
      </w:r>
    </w:p>
    <w:p>
      <w:pPr>
        <w:spacing w:after="0" w:line="7"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impairment charges for goodwill and fixed assets, and gains (losses) on disposals for fixed assets;</w:t>
      </w:r>
    </w:p>
    <w:p>
      <w:pPr>
        <w:spacing w:after="0" w:line="7"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the impact of purchase accounting adjustments to inventory related to the Precor acquisition;</w:t>
      </w:r>
    </w:p>
    <w:p>
      <w:pPr>
        <w:spacing w:after="0" w:line="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costs associated with Tread and Tread+ product recalls including increases to the return reserves, Tread+ inventory write-downs, logistics costs associated with Member requests on Tread and Tread+, the cost to move the Tread+ for those that elect the option, subscription waiver costs of service, and recall-related hardware development and repair costs;</w:t>
      </w:r>
    </w:p>
    <w:p>
      <w:pPr>
        <w:spacing w:after="0" w:line="15"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 xml:space="preserve">Adjusted EBITDA and Adjusted EBITDA Margin do not reflect </w:t>
      </w:r>
      <w:r>
        <w:rPr>
          <w:rFonts w:ascii="Arial" w:cs="Arial" w:eastAsia="Arial" w:hAnsi="Arial"/>
          <w:sz w:val="16"/>
          <w:szCs w:val="16"/>
          <w:color w:val="050505"/>
        </w:rPr>
        <w:t>reorganization, severance, exit, disposal and other costs associated with</w:t>
      </w:r>
      <w:r>
        <w:rPr>
          <w:rFonts w:ascii="Arial" w:cs="Arial" w:eastAsia="Arial" w:hAnsi="Arial"/>
          <w:sz w:val="16"/>
          <w:szCs w:val="16"/>
          <w:color w:val="auto"/>
        </w:rPr>
        <w:t xml:space="preserve"> </w:t>
      </w:r>
      <w:r>
        <w:rPr>
          <w:rFonts w:ascii="Arial" w:cs="Arial" w:eastAsia="Arial" w:hAnsi="Arial"/>
          <w:sz w:val="16"/>
          <w:szCs w:val="16"/>
          <w:color w:val="050505"/>
        </w:rPr>
        <w:t>restructuring plans; and</w:t>
      </w:r>
    </w:p>
    <w:p>
      <w:pPr>
        <w:spacing w:after="0" w:line="1" w:lineRule="exact"/>
        <w:rPr>
          <w:rFonts w:ascii="Arial" w:cs="Arial" w:eastAsia="Arial" w:hAnsi="Arial"/>
          <w:sz w:val="16"/>
          <w:szCs w:val="16"/>
          <w:b w:val="1"/>
          <w:bCs w:val="1"/>
          <w:color w:val="auto"/>
        </w:rPr>
      </w:pPr>
    </w:p>
    <w:p>
      <w:pPr>
        <w:jc w:val="both"/>
        <w:ind w:left="660" w:hanging="328"/>
        <w:spacing w:after="0" w:line="26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 Because companies in our industry may calculate such measures differently than we do, their usefulness as comparative measures can be limited.</w:t>
      </w:r>
    </w:p>
    <w:p>
      <w:pPr>
        <w:spacing w:after="0" w:line="2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Because of these limitations, Adjusted EBITDA and Adjusted EBITDA Margin should be considered along with other operating and financial performance measures presented in accordance with GAAP.</w:t>
      </w:r>
    </w:p>
    <w:p>
      <w:pPr>
        <w:spacing w:after="0" w:line="1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presents a reconciliation of Adjusted EBITDA to Net (loss) income, the most directly comparable financial measure prepared in accordance with GAAP, for each of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00" w:type="dxa"/>
            <w:vAlign w:val="bottom"/>
          </w:tcPr>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8"/>
        </w:trPr>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24"/>
                <w:szCs w:val="24"/>
                <w:color w:val="auto"/>
              </w:rPr>
            </w:pPr>
          </w:p>
        </w:tc>
        <w:tc>
          <w:tcPr>
            <w:tcW w:w="284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 March 31,</w:t>
            </w:r>
          </w:p>
        </w:tc>
      </w:tr>
      <w:tr>
        <w:trPr>
          <w:trHeight w:val="223"/>
        </w:trPr>
        <w:tc>
          <w:tcPr>
            <w:tcW w:w="50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23"/>
        </w:trPr>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5"/>
          </w:tcPr>
          <w:p>
            <w:pPr>
              <w:ind w:left="460"/>
              <w:spacing w:after="0"/>
              <w:rPr>
                <w:sz w:val="20"/>
                <w:szCs w:val="20"/>
                <w:color w:val="auto"/>
              </w:rPr>
            </w:pPr>
            <w:r>
              <w:rPr>
                <w:rFonts w:ascii="Arial" w:cs="Arial" w:eastAsia="Arial" w:hAnsi="Arial"/>
                <w:sz w:val="16"/>
                <w:szCs w:val="16"/>
                <w:b w:val="1"/>
                <w:bCs w:val="1"/>
                <w:color w:val="auto"/>
              </w:rPr>
              <w:t>(dollars in millions)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(1,572.4)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124.2</w:t>
            </w:r>
          </w:p>
        </w:tc>
      </w:tr>
      <w:tr>
        <w:trPr>
          <w:trHeight w:val="215"/>
        </w:trPr>
        <w:tc>
          <w:tcPr>
            <w:tcW w:w="500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r>
      <w:tr>
        <w:trPr>
          <w:trHeight w:val="215"/>
        </w:trPr>
        <w:tc>
          <w:tcPr>
            <w:tcW w:w="500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(10.8)</w:t>
            </w:r>
          </w:p>
        </w:tc>
      </w:tr>
      <w:tr>
        <w:trPr>
          <w:trHeight w:val="217"/>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38.8</w:t>
            </w:r>
          </w:p>
        </w:tc>
      </w:tr>
      <w:tr>
        <w:trPr>
          <w:trHeight w:val="215"/>
        </w:trPr>
        <w:tc>
          <w:tcPr>
            <w:tcW w:w="50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197.1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108.8</w:t>
            </w:r>
          </w:p>
        </w:tc>
      </w:tr>
      <w:tr>
        <w:trPr>
          <w:trHeight w:val="217"/>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5"/>
        </w:trPr>
        <w:tc>
          <w:tcPr>
            <w:tcW w:w="5000" w:type="dxa"/>
            <w:vAlign w:val="bottom"/>
          </w:tcPr>
          <w:p>
            <w:pPr>
              <w:ind w:left="20"/>
              <w:spacing w:after="0"/>
              <w:rPr>
                <w:sz w:val="20"/>
                <w:szCs w:val="20"/>
                <w:color w:val="auto"/>
              </w:rPr>
            </w:pPr>
            <w:r>
              <w:rPr>
                <w:rFonts w:ascii="Arial" w:cs="Arial" w:eastAsia="Arial" w:hAnsi="Arial"/>
                <w:sz w:val="16"/>
                <w:szCs w:val="16"/>
                <w:color w:val="auto"/>
              </w:rPr>
              <w:t>Impairment expense and loss on disposals</w:t>
            </w:r>
          </w:p>
        </w:tc>
        <w:tc>
          <w:tcPr>
            <w:tcW w:w="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7"/>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5000" w:type="dxa"/>
            <w:vAlign w:val="bottom"/>
          </w:tcPr>
          <w:p>
            <w:pPr>
              <w:ind w:left="20"/>
              <w:spacing w:after="0" w:line="216" w:lineRule="exact"/>
              <w:rPr>
                <w:sz w:val="20"/>
                <w:szCs w:val="20"/>
                <w:color w:val="auto"/>
              </w:rPr>
            </w:pPr>
            <w:r>
              <w:rPr>
                <w:rFonts w:ascii="Arial" w:cs="Arial" w:eastAsia="Arial" w:hAnsi="Arial"/>
                <w:sz w:val="16"/>
                <w:szCs w:val="16"/>
                <w:color w:val="auto"/>
              </w:rPr>
              <w:t>Product recalls</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5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Litigation and settlement expenses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w:t>
            </w:r>
          </w:p>
        </w:tc>
      </w:tr>
      <w:tr>
        <w:trPr>
          <w:trHeight w:val="216"/>
        </w:trPr>
        <w:tc>
          <w:tcPr>
            <w:tcW w:w="5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Transaction and integration costs </w:t>
            </w:r>
            <w:r>
              <w:rPr>
                <w:rFonts w:ascii="Arial" w:cs="Arial" w:eastAsia="Arial" w:hAnsi="Arial"/>
                <w:sz w:val="21"/>
                <w:szCs w:val="21"/>
                <w:color w:val="auto"/>
                <w:vertAlign w:val="superscript"/>
              </w:rPr>
              <w:t>(3)</w:t>
            </w:r>
          </w:p>
        </w:tc>
        <w:tc>
          <w:tcPr>
            <w:tcW w:w="2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9.7</w:t>
            </w:r>
          </w:p>
        </w:tc>
      </w:tr>
      <w:tr>
        <w:trPr>
          <w:trHeight w:val="216"/>
        </w:trPr>
        <w:tc>
          <w:tcPr>
            <w:tcW w:w="5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adjustment items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w:t>
            </w:r>
          </w:p>
        </w:tc>
      </w:tr>
      <w:tr>
        <w:trPr>
          <w:trHeight w:val="210"/>
        </w:trPr>
        <w:tc>
          <w:tcPr>
            <w:tcW w:w="50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(694.2)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299.1</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Margin</w:t>
            </w: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jc w:val="both"/>
        <w:ind w:firstLine="8"/>
        <w:spacing w:after="0" w:line="254" w:lineRule="auto"/>
        <w:tabs>
          <w:tab w:leader="none" w:pos="2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adjustments and charges associated with the Tread and Tread+ product recall, as well as accrual adjustments. These include a reduction to Connected Fitness Products revenue for actual and estimated future returns of $17.5 million and $36.3 million, recorded costs in Connected Fitness Products cost of revenue associated with inventory write-downs and logistic costs of $2.0 million and $7.6 million, and operating expenses of $2.0 million and $5.0 million associated with recall-related hardware development costs, in each case for the three and nine months ended March 31, 2022, respectively.</w:t>
      </w:r>
    </w:p>
    <w:p>
      <w:pPr>
        <w:spacing w:after="0" w:line="28" w:lineRule="exact"/>
        <w:rPr>
          <w:rFonts w:ascii="Arial" w:cs="Arial" w:eastAsia="Arial" w:hAnsi="Arial"/>
          <w:sz w:val="13"/>
          <w:szCs w:val="13"/>
          <w:color w:val="auto"/>
        </w:rPr>
      </w:pPr>
    </w:p>
    <w:p>
      <w:pPr>
        <w:ind w:left="200" w:hanging="192"/>
        <w:spacing w:after="0"/>
        <w:tabs>
          <w:tab w:leader="none" w:pos="2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litigation-related expenses for certain non-recurring patent infringement litigation, consumer arbitration, and product recalls for the three and nine months ended March 31, 2022.</w:t>
      </w:r>
    </w:p>
    <w:p>
      <w:pPr>
        <w:spacing w:after="0" w:line="53" w:lineRule="exact"/>
        <w:rPr>
          <w:rFonts w:ascii="Arial" w:cs="Arial" w:eastAsia="Arial" w:hAnsi="Arial"/>
          <w:sz w:val="13"/>
          <w:szCs w:val="13"/>
          <w:color w:val="auto"/>
        </w:rPr>
      </w:pPr>
    </w:p>
    <w:p>
      <w:pPr>
        <w:ind w:left="200" w:hanging="192"/>
        <w:spacing w:after="0"/>
        <w:tabs>
          <w:tab w:leader="none" w:pos="2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transaction and integration costs primarily associated with the acquisition and integration of Precor Fitness for the three and nine months ended March 31, 2022 and March 31, 2021.</w:t>
      </w:r>
    </w:p>
    <w:p>
      <w:pPr>
        <w:spacing w:after="0" w:line="53" w:lineRule="exact"/>
        <w:rPr>
          <w:rFonts w:ascii="Arial" w:cs="Arial" w:eastAsia="Arial" w:hAnsi="Arial"/>
          <w:sz w:val="13"/>
          <w:szCs w:val="13"/>
          <w:color w:val="auto"/>
        </w:rPr>
      </w:pPr>
    </w:p>
    <w:p>
      <w:pPr>
        <w:ind w:firstLine="8"/>
        <w:spacing w:after="0" w:line="286" w:lineRule="auto"/>
        <w:tabs>
          <w:tab w:leader="none" w:pos="194"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short-term non-cash purchase accounting adjustment amortization of $1.9 million for the nine months ended March 31, 2022. Includes incremental costs associated with COVID-19 of zero and $5.9 million, respectively, and asset impairment charges of $3.3 million for each of the three and nine months ended March 31, 2021.</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5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7" w:name="page38"/>
    <w:bookmarkEnd w:id="37"/>
    <w:p>
      <w:pPr>
        <w:jc w:val="both"/>
        <w:spacing w:after="0" w:line="265"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196" w:lineRule="exact"/>
        <w:rPr>
          <w:sz w:val="20"/>
          <w:szCs w:val="20"/>
          <w:color w:val="auto"/>
        </w:rPr>
      </w:pPr>
    </w:p>
    <w:p>
      <w:pPr>
        <w:jc w:val="both"/>
        <w:ind w:left="660" w:hanging="328"/>
        <w:spacing w:after="0" w:line="27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2"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Pr>
          <w:p>
            <w:pPr>
              <w:spacing w:after="0"/>
              <w:rPr>
                <w:sz w:val="18"/>
                <w:szCs w:val="18"/>
                <w:color w:val="auto"/>
              </w:rPr>
            </w:pPr>
          </w:p>
        </w:tc>
        <w:tc>
          <w:tcPr>
            <w:tcW w:w="282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 March 31,</w:t>
            </w:r>
          </w:p>
        </w:tc>
      </w:tr>
      <w:tr>
        <w:trPr>
          <w:trHeight w:val="220"/>
        </w:trPr>
        <w:tc>
          <w:tcPr>
            <w:tcW w:w="50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26"/>
        </w:trPr>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5"/>
          </w:tcPr>
          <w:p>
            <w:pPr>
              <w:ind w:left="440"/>
              <w:spacing w:after="0"/>
              <w:rPr>
                <w:sz w:val="20"/>
                <w:szCs w:val="20"/>
                <w:color w:val="auto"/>
              </w:rPr>
            </w:pPr>
            <w:r>
              <w:rPr>
                <w:rFonts w:ascii="Arial" w:cs="Arial" w:eastAsia="Arial" w:hAnsi="Arial"/>
                <w:sz w:val="16"/>
                <w:szCs w:val="16"/>
                <w:b w:val="1"/>
                <w:bCs w:val="1"/>
                <w:color w:val="auto"/>
              </w:rPr>
              <w:t>(dollars in millions)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590.6</w:t>
            </w:r>
          </w:p>
        </w:tc>
      </w:tr>
      <w:tr>
        <w:trPr>
          <w:trHeight w:val="21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Cost of Subscription</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327.2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227.0</w:t>
            </w: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684.4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363.6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02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68.1 %</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67.7 %</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61.6 %</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5"/>
        </w:trPr>
        <w:tc>
          <w:tcPr>
            <w:tcW w:w="502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13.9</w:t>
            </w:r>
          </w:p>
        </w:tc>
      </w:tr>
      <w:tr>
        <w:trPr>
          <w:trHeight w:val="216"/>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13.9</w:t>
            </w:r>
          </w:p>
        </w:tc>
      </w:tr>
      <w:tr>
        <w:trPr>
          <w:trHeight w:val="210"/>
        </w:trPr>
        <w:tc>
          <w:tcPr>
            <w:tcW w:w="502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265.2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718.1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391.3</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define Free Cash Flow as Net cash provided by (used in) operating activities less capital expenditures and capitalized internal-use software development costs.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8" w:name="page39"/>
    <w:bookmarkEnd w:id="38"/>
    <w:p>
      <w:pPr>
        <w:jc w:val="both"/>
        <w:spacing w:after="0" w:line="286" w:lineRule="auto"/>
        <w:rPr>
          <w:sz w:val="20"/>
          <w:szCs w:val="20"/>
          <w:color w:val="auto"/>
        </w:rPr>
      </w:pPr>
      <w:r>
        <w:rPr>
          <w:rFonts w:ascii="Arial" w:cs="Arial" w:eastAsia="Arial" w:hAnsi="Arial"/>
          <w:sz w:val="16"/>
          <w:szCs w:val="16"/>
          <w:color w:val="auto"/>
        </w:rPr>
        <w:t>The following table presents a reconciliation of Free Cash Flow to Net cash provided by (used in) operating activities, the most directly comparable financial measure prepared in accordance with GAAP, for each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8"/>
                <w:szCs w:val="18"/>
                <w:color w:val="auto"/>
              </w:rPr>
            </w:pPr>
          </w:p>
        </w:tc>
        <w:tc>
          <w:tcPr>
            <w:tcW w:w="2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March 31,</w:t>
            </w:r>
          </w:p>
        </w:tc>
      </w:tr>
      <w:tr>
        <w:trPr>
          <w:trHeight w:val="209"/>
        </w:trPr>
        <w:tc>
          <w:tcPr>
            <w:tcW w:w="5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0"/>
        </w:trPr>
        <w:tc>
          <w:tcPr>
            <w:tcW w:w="5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700" w:type="dxa"/>
            <w:vAlign w:val="bottom"/>
            <w:gridSpan w:val="5"/>
            <w:shd w:val="clear" w:color="auto" w:fill="CCEEFF"/>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320" w:type="dxa"/>
            <w:vAlign w:val="bottom"/>
          </w:tcPr>
          <w:p>
            <w:pPr>
              <w:ind w:left="240"/>
              <w:spacing w:after="0"/>
              <w:rPr>
                <w:sz w:val="20"/>
                <w:szCs w:val="20"/>
                <w:color w:val="auto"/>
              </w:rPr>
            </w:pPr>
            <w:r>
              <w:rPr>
                <w:rFonts w:ascii="Arial" w:cs="Arial" w:eastAsia="Arial" w:hAnsi="Arial"/>
                <w:sz w:val="16"/>
                <w:szCs w:val="16"/>
                <w:color w:val="auto"/>
              </w:rPr>
              <w:t>Net cash (used in) provided by operating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(670.1)</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(151.2)</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(1,677.8)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359.3</w:t>
            </w:r>
          </w:p>
        </w:tc>
      </w:tr>
      <w:tr>
        <w:trPr>
          <w:trHeight w:val="217"/>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r>
      <w:tr>
        <w:trPr>
          <w:trHeight w:val="215"/>
        </w:trPr>
        <w:tc>
          <w:tcPr>
            <w:tcW w:w="53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Internal-use software costs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operations have been funded primarily through net proceeds from the sales of our equity and convertible debt securities, as well as cash flows from operating activities. As of March 31, 2022, we had cash and cash equivalents of approximately $879.3 million.</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anticipate approximately $140 million to $160 million of capital expenditures over the next 12 months, which includes amounts related to capitalized labor, investments in supply chain, investments in product development and systems implementation, and the impact of expenditures net against any proceeds from the expected eventual sale of Peloton Output Park.</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believe our existing cash and cash equivalent balances, cash flow from operations, and amounts available for borrowing under our Amended Credit Agreement and to be funded under the Term Loan Commitment (each described below) will be sufficient to meet our working capital and capital expenditure needs for at least the next 12 months.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and manufacturing initiatives, the timing and financial impact of product recalls, sales and marketing activities, the timing of new 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February 2022 Restructuring Plan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February 1, 2022, following our prior disclosure regarding market factors impacting the business, our Board of Directors approved a restructuring plan to realign our operational focus to support our multi-year growth, scale the business, and improve costs (the “Restructuring Plan”). The Restructuring Plan includes: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2024.</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Total charges related to the Restructuring Plan were $186.0 million for nine months ended March 31, 2022 consisting of cash charges of $99.4 million for severance and other personnel costs and $14.3 million for professional fees and other related charges, and non-cash charges of $44.9 million for stock-based compensation expense and $27.4 million related to asset write-downs and write-offs.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above charges, we incurred approximately $84.0 million for capital expenditures related to Peloton Output Park since project inception.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may not be able to realize the cost savings and benefits initially anticipated as a result of the Restructuring Plan, and the costs may be greater than</w:t>
      </w:r>
    </w:p>
    <w:p>
      <w:pPr>
        <w:spacing w:after="0" w:line="3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expected. See </w:t>
      </w:r>
      <w:r>
        <w:rPr>
          <w:rFonts w:ascii="Arial" w:cs="Arial" w:eastAsia="Arial" w:hAnsi="Arial"/>
          <w:sz w:val="16"/>
          <w:szCs w:val="16"/>
          <w:i w:val="1"/>
          <w:iCs w:val="1"/>
          <w:color w:val="auto"/>
        </w:rPr>
        <w:t>“Risk Factors—Risks Related to Our Business—We may not successfully execute or achieve the expected benefits of our restructuring</w:t>
      </w:r>
      <w:r>
        <w:rPr>
          <w:rFonts w:ascii="Arial" w:cs="Arial" w:eastAsia="Arial" w:hAnsi="Arial"/>
          <w:sz w:val="16"/>
          <w:szCs w:val="16"/>
          <w:color w:val="auto"/>
        </w:rPr>
        <w:t xml:space="preserve"> </w:t>
      </w:r>
      <w:r>
        <w:rPr>
          <w:rFonts w:ascii="Arial" w:cs="Arial" w:eastAsia="Arial" w:hAnsi="Arial"/>
          <w:sz w:val="16"/>
          <w:szCs w:val="16"/>
          <w:i w:val="1"/>
          <w:iCs w:val="1"/>
          <w:color w:val="auto"/>
        </w:rPr>
        <w:t>initiative, and our efforts may result in further actions and/or additional asset impairment charges and adversely affect our business</w:t>
      </w:r>
      <w:r>
        <w:rPr>
          <w:rFonts w:ascii="Arial" w:cs="Arial" w:eastAsia="Arial" w:hAnsi="Arial"/>
          <w:sz w:val="16"/>
          <w:szCs w:val="16"/>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February 2021, we issued $1.0 billion aggregate principal amount of 0% Convertible Senior Notes due 2026 (the “Notes”) in a private offering, including the exercise in full of the over-allotment option granted to the initial purchasers of $125.0 million. The Notes were issued pursuant to an Indenture (the “Indenture”) between us and U.S. Bank National Association, as trustee. The Notes are our senior unsecured obligations and do not bear regular interest, and the principal amount of the Notes does not accrete. The net proceeds from the offering were approximately $977.2 million, after deducting the initial purchasers’ discounts and commissions and our offering expenses.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auto"/>
        </w:rPr>
        <w:t>Capped Call Transactions</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connection with the offering of the Notes, we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we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A Common Stock Offering</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November 16, 2021, we entered into an underwriting agreement (the “Underwriting Agreement”) with Goldman Sachs &amp; Co. LLC and J.P. Morgan Securities LLC as representatives of the several underwriters named therein (collectively, the “Representatives”) relating to the offer and sale by the Company (the “Offering”) of 27,173,912 shares (the “Shares”) of the Company’s Class A common stock, par value $0.000025 per share, which includes 3,260,869 shares of Class A common stock issued and sold pursuant to the exercise in full by the underwriters of their option to purchase additional shares of Class A common stock pursuant to the Underwriting Agreement. We sold the Shares to the underwriters at the public offering price of $46.00 per share less underwriting discounts</w:t>
      </w:r>
      <w:r>
        <w:rPr>
          <w:rFonts w:ascii="Arial" w:cs="Arial" w:eastAsia="Arial" w:hAnsi="Arial"/>
          <w:sz w:val="16"/>
          <w:szCs w:val="16"/>
          <w:b w:val="1"/>
          <w:bCs w:val="1"/>
          <w:color w:val="auto"/>
        </w:rPr>
        <w:t>.</w:t>
      </w:r>
      <w:r>
        <w:rPr>
          <w:rFonts w:ascii="Arial" w:cs="Arial" w:eastAsia="Arial" w:hAnsi="Arial"/>
          <w:sz w:val="16"/>
          <w:szCs w:val="16"/>
          <w:color w:val="auto"/>
        </w:rPr>
        <w:t xml:space="preserve"> The net proceeds from the Offering were approximately $1.2 billion, after deducting the underwriters’ discounts and commissions and our offering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Credit Agreement</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June 2019, we entered into an amended and restated loan and security agreement (the “Amended and Restated Credit Agreement”), with JPMorgan Chase Bank, N.A., as administrative agent, lead arranger and bookrunner and Bank of America, N.A., Barclays Bank PLC, Goldman Sachs Lending Partners LLC and Silicon Valley Bank, as joint syndication agents, which amended and restated our prior secured revolving credit facility.</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On February 8, 2021, we entered into a First Amendment (the “First Amendment”) to the Amended and Restated Credit Agreement to revise certain covenants that restricted the incurrence of indebtedness to permit the Capped Call Transactions and issuance of the Notes.</w:t>
      </w:r>
    </w:p>
    <w:p>
      <w:pPr>
        <w:spacing w:after="0" w:line="1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March 18, 2021, we entered into a Joinder Agreement (the "Joinder") to the Amended and Restated Credit Agreement, as amended by the First Amendment, to provide for an increase of the commitments available under the revolving credit facility from $250.0 million to $285.0 million.</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December 10, 2021, we entered into a Second Amendment (the “Second Amendment”) to the Amended and Restated Credit Agreement (as amended by the First Amendment, the Joinder and the Second Amendment, the “Credit Agreement”). The Second Amendment amends certain provisions of the Credit Agreement to, among other changes, increase the lenders’ aggregate commitments to extend credit to us from an aggregate amount of $285.0 million in revolving loans to an aggregate amount of $500.0 million in revolving loans, extend the maturity date for $465.0 million of the commitments to December 10, 2026 with $35.0 million of the commitments expiring on June 20, 2024, and modify certain covenants contained therein.</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Credit Agreement provides for a $500.0 million secured revolving credit facility, including up to the lesser of $250.0 million and the aggregate unused amount of the facility for the issuance of letters of credit. Interest on the Amended Credit Agreement is paid based on SOFR plus 2.25% or an Alternative Base Rate plus 1.25% for revolving loans maturing on December 10, 2026, and is paid based on SOFR plus 2.75% or an Alternative Base Rate plus 1.75% for revolving loans maturing on June 20, 2024. We are required to pay an annual commitment fee of 0.325% and 0.375% on a quarterly basis based on the unused portion of the revolving credit facility for the revolving loans maturing on December 10, 2026 and June 20, 2024, respectively. As of March 31, 2022, we had not drawn on the credit facility and did not have outstanding borrowings under the Amended Credit Agreement. As of March 31, 2022, we had outstanding letters of credit totaling $4.8 million issued primarily to cover security deposits for an operating lease obligation.</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have the option to repay our borrowings under the Credit Agreement without premium or penalty prior to maturity. The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Credit Agreement also contains certain financial condition covenants, including maintaining a total level of liquidity of not less than $250.0 million and maintaining a minimum total four-quarter revenue level of $3.0 billion (which are replaced with a covenant to maintain a minimum debt to adjusted EBITDA ratio upon the Company’s meeting a specified adjusted EBITDA threshold). As of March 31, 2022, we were in compliance with the covenants under the Credit Agreement. At March 31, 2022, we were contingently liable for approximately $4.8 million in standby letters of credit as security for an operating lease obligation. In addition, we are required to pledge or otherwise restrict a portion of cash and cash equivalents as collateral for standby letters of credit. As of March 31, 2022, we had $86.0 million in letters of credit, which are classified as Restricted cash on its condensed consolidated balance sheets.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 Loan Commitment</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9, 2022, we entered into a binding commitment letter (the “Commitment Letter”) with respect to a $750.0 million senior secured term loan facility (“Term Facility”). The Commitment Letter provides that the Credit Agreement will be amended to include such Term Facility, which is to have a five-year maturity and which will be subject to a springing maturity ahead of the Notes. The Term Facility is expected to bear interest</w:t>
      </w:r>
    </w:p>
    <w:p>
      <w:pPr>
        <w:sectPr>
          <w:pgSz w:w="11900" w:h="16838" w:orient="portrait"/>
          <w:cols w:equalWidth="0" w:num="1">
            <w:col w:w="11240"/>
          </w:cols>
          <w:pgMar w:left="320" w:top="654"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type w:val="continuous"/>
        </w:sectPr>
      </w:pPr>
    </w:p>
    <w:bookmarkStart w:id="40" w:name="page41"/>
    <w:bookmarkEnd w:id="40"/>
    <w:p>
      <w:pPr>
        <w:jc w:val="both"/>
        <w:spacing w:after="0" w:line="275" w:lineRule="auto"/>
        <w:rPr>
          <w:sz w:val="20"/>
          <w:szCs w:val="20"/>
          <w:color w:val="auto"/>
        </w:rPr>
      </w:pPr>
      <w:r>
        <w:rPr>
          <w:rFonts w:ascii="Arial" w:cs="Arial" w:eastAsia="Arial" w:hAnsi="Arial"/>
          <w:sz w:val="16"/>
          <w:szCs w:val="16"/>
          <w:color w:val="auto"/>
        </w:rPr>
        <w:t>based on an adjusted Term SOFR (which shall be subject to a floor of 50 bps) plus a margin to be set forth in the Credit Agreement to be entered into. The representations, warranties, covenants and defaults with respect to the Term Facility are to be substantially consistent with the existing Credit Agreement, with certain limitations on the additional incurrence of debt, liens, investments and restricted payments.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0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78"/>
        </w:trPr>
        <w:tc>
          <w:tcPr>
            <w:tcW w:w="7600" w:type="dxa"/>
            <w:vAlign w:val="bottom"/>
          </w:tcPr>
          <w:p>
            <w:pPr>
              <w:spacing w:after="0"/>
              <w:rPr>
                <w:sz w:val="24"/>
                <w:szCs w:val="24"/>
                <w:color w:val="auto"/>
              </w:rPr>
            </w:pPr>
          </w:p>
        </w:tc>
        <w:tc>
          <w:tcPr>
            <w:tcW w:w="304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Nine Months Ended March 31,</w:t>
            </w:r>
          </w:p>
        </w:tc>
        <w:tc>
          <w:tcPr>
            <w:tcW w:w="600" w:type="dxa"/>
            <w:vAlign w:val="bottom"/>
            <w:tcBorders>
              <w:bottom w:val="single" w:sz="8" w:color="auto"/>
            </w:tcBorders>
          </w:tcPr>
          <w:p>
            <w:pPr>
              <w:spacing w:after="0"/>
              <w:rPr>
                <w:sz w:val="24"/>
                <w:szCs w:val="24"/>
                <w:color w:val="auto"/>
              </w:rPr>
            </w:pPr>
          </w:p>
        </w:tc>
      </w:tr>
      <w:tr>
        <w:trPr>
          <w:trHeight w:val="223"/>
        </w:trPr>
        <w:tc>
          <w:tcPr>
            <w:tcW w:w="76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9"/>
                <w:szCs w:val="19"/>
                <w:color w:val="auto"/>
              </w:rPr>
            </w:pPr>
          </w:p>
        </w:tc>
      </w:tr>
      <w:tr>
        <w:trPr>
          <w:trHeight w:val="223"/>
        </w:trPr>
        <w:tc>
          <w:tcPr>
            <w:tcW w:w="7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60" w:type="dxa"/>
            <w:vAlign w:val="bottom"/>
            <w:gridSpan w:val="2"/>
          </w:tcPr>
          <w:p>
            <w:pPr>
              <w:jc w:val="center"/>
              <w:ind w:right="399"/>
              <w:spacing w:after="0"/>
              <w:rPr>
                <w:sz w:val="20"/>
                <w:szCs w:val="20"/>
                <w:color w:val="auto"/>
              </w:rPr>
            </w:pPr>
            <w:r>
              <w:rPr>
                <w:rFonts w:ascii="Arial" w:cs="Arial" w:eastAsia="Arial" w:hAnsi="Arial"/>
                <w:sz w:val="16"/>
                <w:szCs w:val="16"/>
                <w:b w:val="1"/>
                <w:bCs w:val="1"/>
                <w:color w:val="auto"/>
              </w:rPr>
              <w:t>(in millions)</w:t>
            </w:r>
          </w:p>
        </w:tc>
        <w:tc>
          <w:tcPr>
            <w:tcW w:w="600" w:type="dxa"/>
            <w:vAlign w:val="bottom"/>
          </w:tcPr>
          <w:p>
            <w:pPr>
              <w:spacing w:after="0"/>
              <w:rPr>
                <w:sz w:val="19"/>
                <w:szCs w:val="19"/>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(1,677.8)</w:t>
            </w:r>
          </w:p>
        </w:tc>
        <w:tc>
          <w:tcPr>
            <w:tcW w:w="122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359.3</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223.0</w:t>
            </w:r>
          </w:p>
        </w:tc>
        <w:tc>
          <w:tcPr>
            <w:tcW w:w="12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(233.4)</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1,309.0</w:t>
            </w: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890.5</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Net cash used in operating activities of $1,677.8 million for the nine months ended March 31, 2022 was primarily due to a net loss of $1,572.4 million and a decrease in net change in operating assets and liabilities of $788.7 million, partially offset by an increase in non-cash adjustments of $683.4 million. The decrease in net operating assets and liabilities was primarily due to a $473.3 million increase in inventory levels as we ramped up supply to support anticipated demand ahead of the holiday season that did not materialize and prepared for the relaunch of Tread in the United States, Canada, U.K. and Germany, a $260.4 million decrease in Accounts payable and accrued expenses as a result of a decrease in payables due to increased efficiency in our accounts payables process, and $46.4 million increase in Customer deposits and deferred revenue driven by timing of sales and deliveries in the period. Non-cash adjustments primarily consisted of stock-based compensation expense, depreciation and amortization, and non-cash operating lease expense.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provided by investing activities for the nine months ended March 31, 2022 of $223.0 million was primarily related to sales and maturities of marketable securities of $517.7 million, partially offset by $243.6 million used for capital expenditures primarily related to construction of Peloton Output Park in Troy Township, Ohio.</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provided by financing activities of $1,309.0 million for the nine months ended March 31, 2022 was primarily related to proceeds of $1,218.8 million from the Offering, exercises of stock options of $76.7 million, and $14.9 million in net proceeds from withholdings under the 2019 Employee Stock Purchase Plan.</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2022, our contractual obligations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Less than</w:t>
            </w:r>
          </w:p>
        </w:tc>
        <w:tc>
          <w:tcPr>
            <w:tcW w:w="160" w:type="dxa"/>
            <w:vAlign w:val="bottom"/>
          </w:tcPr>
          <w:p>
            <w:pPr>
              <w:spacing w:after="0"/>
              <w:rPr>
                <w:sz w:val="22"/>
                <w:szCs w:val="2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1-3 years</w:t>
            </w:r>
          </w:p>
        </w:tc>
        <w:tc>
          <w:tcPr>
            <w:tcW w:w="240" w:type="dxa"/>
            <w:vAlign w:val="bottom"/>
          </w:tcPr>
          <w:p>
            <w:pPr>
              <w:spacing w:after="0"/>
              <w:rPr>
                <w:sz w:val="22"/>
                <w:szCs w:val="22"/>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22"/>
                <w:szCs w:val="22"/>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1 year</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Lease obligations </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1,102.3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248.8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209.2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513.8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Minimum guarantees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Unused credit facility fee payments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513.8</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8"/>
        <w:spacing w:after="0" w:line="262" w:lineRule="auto"/>
        <w:tabs>
          <w:tab w:leader="none" w:pos="192" w:val="left"/>
        </w:tabs>
        <w:numPr>
          <w:ilvl w:val="0"/>
          <w:numId w:val="19"/>
        </w:numPr>
        <w:rPr>
          <w:rFonts w:ascii="Arial" w:cs="Arial" w:eastAsia="Arial" w:hAnsi="Arial"/>
          <w:sz w:val="13"/>
          <w:szCs w:val="13"/>
          <w:color w:val="050505"/>
        </w:rPr>
      </w:pPr>
      <w:r>
        <w:rPr>
          <w:rFonts w:ascii="Arial" w:cs="Arial" w:eastAsia="Arial" w:hAnsi="Arial"/>
          <w:sz w:val="13"/>
          <w:szCs w:val="13"/>
          <w:color w:val="050505"/>
        </w:rPr>
        <w:t xml:space="preserve">Lease obligations relate to our office space, warehouses, production studios, equipment, and retail showrooms and microstores. As of </w:t>
      </w:r>
      <w:r>
        <w:rPr>
          <w:rFonts w:ascii="Arial" w:cs="Arial" w:eastAsia="Arial" w:hAnsi="Arial"/>
          <w:sz w:val="13"/>
          <w:szCs w:val="13"/>
          <w:color w:val="000000"/>
        </w:rPr>
        <w:t>March 31, 2022</w:t>
      </w:r>
      <w:r>
        <w:rPr>
          <w:rFonts w:ascii="Arial" w:cs="Arial" w:eastAsia="Arial" w:hAnsi="Arial"/>
          <w:sz w:val="13"/>
          <w:szCs w:val="13"/>
          <w:color w:val="050505"/>
        </w:rPr>
        <w:t>, the Company had additional operating leases for real estate that have not yet commenced of $22.5 million which has been included above. The original lease terms are between one and twenty-one years, and the majority of the lease agreements are renewable at the end of the lease period. The Company has finance lease obligations of $3.4 million, also included above.</w:t>
      </w:r>
    </w:p>
    <w:p>
      <w:pPr>
        <w:spacing w:after="0" w:line="23" w:lineRule="exact"/>
        <w:rPr>
          <w:rFonts w:ascii="Arial" w:cs="Arial" w:eastAsia="Arial" w:hAnsi="Arial"/>
          <w:sz w:val="13"/>
          <w:szCs w:val="13"/>
          <w:color w:val="050505"/>
        </w:rPr>
      </w:pPr>
    </w:p>
    <w:p>
      <w:pPr>
        <w:jc w:val="both"/>
        <w:ind w:firstLine="8"/>
        <w:spacing w:after="0" w:line="251" w:lineRule="auto"/>
        <w:tabs>
          <w:tab w:leader="none" w:pos="193" w:val="left"/>
        </w:tabs>
        <w:numPr>
          <w:ilvl w:val="0"/>
          <w:numId w:val="19"/>
        </w:numPr>
        <w:rPr>
          <w:rFonts w:ascii="Arial" w:cs="Arial" w:eastAsia="Arial" w:hAnsi="Arial"/>
          <w:sz w:val="13"/>
          <w:szCs w:val="13"/>
          <w:color w:val="050505"/>
        </w:rPr>
      </w:pPr>
      <w:r>
        <w:rPr>
          <w:rFonts w:ascii="Arial" w:cs="Arial" w:eastAsia="Arial" w:hAnsi="Arial"/>
          <w:sz w:val="13"/>
          <w:szCs w:val="13"/>
          <w:color w:val="050505"/>
        </w:rPr>
        <w:t xml:space="preserve">We are subject to minimum royalty payments associated with our license agreements for the use of licensed content. See </w:t>
      </w:r>
      <w:r>
        <w:rPr>
          <w:rFonts w:ascii="Arial" w:cs="Arial" w:eastAsia="Arial" w:hAnsi="Arial"/>
          <w:sz w:val="13"/>
          <w:szCs w:val="13"/>
          <w:i w:val="1"/>
          <w:iCs w:val="1"/>
          <w:color w:val="050505"/>
        </w:rPr>
        <w:t>“Risk Factors — Risks Related to Our Business—</w:t>
      </w:r>
      <w:r>
        <w:rPr>
          <w:rFonts w:ascii="Arial" w:cs="Arial" w:eastAsia="Arial" w:hAnsi="Arial"/>
          <w:sz w:val="13"/>
          <w:szCs w:val="13"/>
          <w:color w:val="050505"/>
        </w:rPr>
        <w:t xml:space="preserve"> </w:t>
      </w:r>
      <w:r>
        <w:rPr>
          <w:rFonts w:ascii="Arial" w:cs="Arial" w:eastAsia="Arial" w:hAnsi="Arial"/>
          <w:sz w:val="13"/>
          <w:szCs w:val="13"/>
          <w:i w:val="1"/>
          <w:iCs w:val="1"/>
          <w:color w:val="000000"/>
        </w:rPr>
        <w:t>We are a party to many</w:t>
      </w:r>
      <w:r>
        <w:rPr>
          <w:rFonts w:ascii="Arial" w:cs="Arial" w:eastAsia="Arial" w:hAnsi="Arial"/>
          <w:sz w:val="13"/>
          <w:szCs w:val="13"/>
          <w:color w:val="050505"/>
        </w:rPr>
        <w:t xml:space="preserve"> </w:t>
      </w:r>
      <w:r>
        <w:rPr>
          <w:rFonts w:ascii="Arial" w:cs="Arial" w:eastAsia="Arial" w:hAnsi="Arial"/>
          <w:sz w:val="13"/>
          <w:szCs w:val="13"/>
          <w:i w:val="1"/>
          <w:iCs w:val="1"/>
          <w:color w:val="000000"/>
        </w:rPr>
        <w:t xml:space="preserve">music license agreements that are complex and impose numerous obligations upon us that may make it difficult to operate our business, and a breach of such agreements could adversely affect our business, operating results, and financial condition” </w:t>
      </w:r>
      <w:r>
        <w:rPr>
          <w:rFonts w:ascii="Arial" w:cs="Arial" w:eastAsia="Arial" w:hAnsi="Arial"/>
          <w:sz w:val="13"/>
          <w:szCs w:val="13"/>
          <w:color w:val="000000"/>
        </w:rPr>
        <w:t>in our Fiscal Q2 10-Q.</w:t>
      </w:r>
    </w:p>
    <w:p>
      <w:pPr>
        <w:spacing w:after="0" w:line="30" w:lineRule="exact"/>
        <w:rPr>
          <w:rFonts w:ascii="Arial" w:cs="Arial" w:eastAsia="Arial" w:hAnsi="Arial"/>
          <w:sz w:val="13"/>
          <w:szCs w:val="13"/>
          <w:color w:val="050505"/>
        </w:rPr>
      </w:pPr>
    </w:p>
    <w:p>
      <w:pPr>
        <w:jc w:val="both"/>
        <w:ind w:firstLine="8"/>
        <w:spacing w:after="0" w:line="262" w:lineRule="auto"/>
        <w:tabs>
          <w:tab w:leader="none" w:pos="193" w:val="left"/>
        </w:tabs>
        <w:numPr>
          <w:ilvl w:val="0"/>
          <w:numId w:val="19"/>
        </w:numPr>
        <w:rPr>
          <w:rFonts w:ascii="Arial" w:cs="Arial" w:eastAsia="Arial" w:hAnsi="Arial"/>
          <w:sz w:val="13"/>
          <w:szCs w:val="13"/>
          <w:color w:val="auto"/>
        </w:rPr>
      </w:pPr>
      <w:r>
        <w:rPr>
          <w:rFonts w:ascii="Arial" w:cs="Arial" w:eastAsia="Arial" w:hAnsi="Arial"/>
          <w:sz w:val="13"/>
          <w:szCs w:val="13"/>
          <w:color w:val="auto"/>
        </w:rPr>
        <w:t>Pursuant to the Amended Credit Agreement, we are required to pay a commitment fee of 0.325% and 0.375% on a quarterly basis based on the unused portion of the revolving credit facility for the revolving loans maturing on December 10, 2026 and June 20, 2024, respectively. As of March 31, 2022, we were contingently liable for approximately $4.8 million in standby letters of credit for our operating lease obligations.</w:t>
      </w:r>
    </w:p>
    <w:p>
      <w:pPr>
        <w:spacing w:after="0" w:line="23" w:lineRule="exact"/>
        <w:rPr>
          <w:rFonts w:ascii="Arial" w:cs="Arial" w:eastAsia="Arial" w:hAnsi="Arial"/>
          <w:sz w:val="13"/>
          <w:szCs w:val="13"/>
          <w:color w:val="auto"/>
        </w:rPr>
      </w:pPr>
    </w:p>
    <w:p>
      <w:pPr>
        <w:ind w:left="200" w:hanging="192"/>
        <w:spacing w:after="0"/>
        <w:tabs>
          <w:tab w:leader="none" w:pos="2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Other purchase obligations include all other non-cancelable contractual obligations. These contracts are primarily related to cloud computing costs.</w:t>
      </w:r>
    </w:p>
    <w:p>
      <w:pPr>
        <w:spacing w:after="0" w:line="53" w:lineRule="exact"/>
        <w:rPr>
          <w:rFonts w:ascii="Arial" w:cs="Arial" w:eastAsia="Arial" w:hAnsi="Arial"/>
          <w:sz w:val="13"/>
          <w:szCs w:val="13"/>
          <w:color w:val="auto"/>
        </w:rPr>
      </w:pPr>
    </w:p>
    <w:p>
      <w:pPr>
        <w:ind w:firstLine="8"/>
        <w:spacing w:after="0" w:line="264" w:lineRule="auto"/>
        <w:tabs>
          <w:tab w:leader="none" w:pos="189" w:val="left"/>
        </w:tabs>
        <w:numPr>
          <w:ilvl w:val="0"/>
          <w:numId w:val="19"/>
        </w:numPr>
        <w:rPr>
          <w:rFonts w:ascii="Arial" w:cs="Arial" w:eastAsia="Arial" w:hAnsi="Arial"/>
          <w:sz w:val="13"/>
          <w:szCs w:val="13"/>
          <w:color w:val="auto"/>
        </w:rPr>
      </w:pPr>
      <w:r>
        <w:rPr>
          <w:rFonts w:ascii="Arial" w:cs="Arial" w:eastAsia="Arial" w:hAnsi="Arial"/>
          <w:sz w:val="13"/>
          <w:szCs w:val="13"/>
          <w:color w:val="auto"/>
        </w:rPr>
        <w:t xml:space="preserve">Refer to </w:t>
      </w:r>
      <w:r>
        <w:rPr>
          <w:rFonts w:ascii="Arial" w:cs="Arial" w:eastAsia="Arial" w:hAnsi="Arial"/>
          <w:sz w:val="13"/>
          <w:szCs w:val="13"/>
          <w:i w:val="1"/>
          <w:iCs w:val="1"/>
          <w:color w:val="auto"/>
        </w:rPr>
        <w:t>Note 9 - Debt</w:t>
      </w:r>
      <w:r>
        <w:rPr>
          <w:rFonts w:ascii="Arial" w:cs="Arial" w:eastAsia="Arial" w:hAnsi="Arial"/>
          <w:sz w:val="13"/>
          <w:szCs w:val="13"/>
          <w:color w:val="auto"/>
        </w:rPr>
        <w:t xml:space="preserve"> in the Notes to Condensed Consolidated Financial Statements in Part I, Item 1 of this Quarterly Report on Form 10-Q for further details regarding our convertible senior notes obligations.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1" w:name="page42"/>
    <w:bookmarkEnd w:id="41"/>
    <w:p>
      <w:pPr>
        <w:jc w:val="both"/>
        <w:ind w:right="20"/>
        <w:spacing w:after="0" w:line="286" w:lineRule="auto"/>
        <w:rPr>
          <w:sz w:val="20"/>
          <w:szCs w:val="20"/>
          <w:color w:val="auto"/>
        </w:rPr>
      </w:pPr>
      <w:r>
        <w:rPr>
          <w:rFonts w:ascii="Arial" w:cs="Arial" w:eastAsia="Arial" w:hAnsi="Arial"/>
          <w:sz w:val="16"/>
          <w:szCs w:val="16"/>
          <w:color w:val="auto"/>
        </w:rPr>
        <w:t>Subsequent to March 31, 2022, the Company entered into content related agreements with commitments of approximately 142.5 million with payments of $11.2 million in remaining fiscal 2022, $45.4 million in fiscal 2023, $48.2 million in fiscal 2024, and $37.7 million in fiscal 2025.</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blanket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non-cancellable, non-returnable components based on our provided forecasts.</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We previously disclosed that, as of December 31, 2021, our commitments to contract with third-party suppliers for on-hand inventory and component purchase commitments related to the manufacture of our products were estimated to be $550 million. This was an estimate at December 31, 2021 of the potential amount that might be paid to third-party suppliers under our demand forecasts and open purchase orders existing at that time. Since that time, Peloton has further materially reduced its demand forecasts, and has engaged in discussions with certain third-party suppliers regarding obligations under the governing contracts. As a result of these reductions and the resulting discussions, we now estimate that, as of March 31, 2022, our obligations under our contracts with third-party suppliers and contract manufacturers are collectively between $120 million and $280 million. While we are not under any legal obligation to do so, we also are currently negotiating to acquire certain additional inventory purchased by our suppliers under previous demand plan forecasts, where appropriate, in an effort to maintain long-term relationships and supply continuity, flexibility, and scalability. The timing of payments and consumption of any such inventory is part of our ongoing discussions. As of March 31, 2022, we believe these negotiated purchases, in excess of our obligations under our contracts, could range from $180 million to $470 million, but these negotiations are ongoing and the range may change as a result before final agreements are reached. See </w:t>
      </w:r>
      <w:r>
        <w:rPr>
          <w:rFonts w:ascii="Arial" w:cs="Arial" w:eastAsia="Arial" w:hAnsi="Arial"/>
          <w:sz w:val="16"/>
          <w:szCs w:val="16"/>
          <w:i w:val="1"/>
          <w:iCs w:val="1"/>
          <w:color w:val="auto"/>
        </w:rPr>
        <w:t>“Risk Factors—Risks Related to Our Business—Our operating results could be adversely affected if we are unable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accurately forecast consumer demand for our products and services and adequately manage our inventory” </w:t>
      </w:r>
      <w:r>
        <w:rPr>
          <w:rFonts w:ascii="Arial" w:cs="Arial" w:eastAsia="Arial" w:hAnsi="Arial"/>
          <w:sz w:val="16"/>
          <w:szCs w:val="16"/>
          <w:color w:val="auto"/>
        </w:rPr>
        <w:t>in our Fiscal Q2 10-Q.</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undisclosed off-balance sheet arrangements as of March 31, 2022.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w:t>
      </w:r>
      <w:r>
        <w:rPr>
          <w:rFonts w:ascii="Arial" w:cs="Arial" w:eastAsia="Arial" w:hAnsi="Arial"/>
          <w:sz w:val="16"/>
          <w:szCs w:val="16"/>
          <w:i w:val="1"/>
          <w:iCs w:val="1"/>
          <w:color w:val="auto"/>
        </w:rPr>
        <w:t>Note 2—Summary of Significant Accounting Policies</w:t>
      </w:r>
      <w:r>
        <w:rPr>
          <w:rFonts w:ascii="Arial" w:cs="Arial" w:eastAsia="Arial" w:hAnsi="Arial"/>
          <w:sz w:val="16"/>
          <w:szCs w:val="16"/>
          <w:color w:val="auto"/>
        </w:rPr>
        <w:t xml:space="preserve"> in the Notes to Condensed Consolidated Financial Statements in Part I, Item 1 of this Quarterly Report on Form 10-Q and in our Form 10-K.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Accounting Pronouncements</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in the Notes to Condensed Consolidated Financial Statements in Part I, Item 1 of this Quarterly Report on Form 10-Q under the heading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xml:space="preserve"> for a discussion about new accounting pronouncements adopted and not yet adopted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had Cash and cash equivalents of $879.3 million as of March 31, 2022.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Quarterly Report on Form 10-Q would not have had a material impact on our consolidated financial statements.</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Amended Credit Agreement. We monitor our cost of borrowing under our facility, taking into account our funding requirements, and our expectations for short-term rates in the future. A hypothetical 10% change in the interest rate on our Amended Credit Agreement for all periods presented would not have a material impact on our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are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use derivative instruments, such as foreign currency forwards, and have the ability to use option contracts, to hedge certain exposures to fluctuations in foreign currency exchange rates. Our exposure to foreign currency exchange rates has historically been partially hedged as our foreign currency denominated inflows create a natural hedge against our foreign currency denominated expenses.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subject to the effects of inflation through elevated supply chain costs, including logistics costs. Additionally, because we purchase component parts from our suppliers, we may be adversely impacted by their inability to adequately mitigate inflationary, industry, or economic pressures. Although we do not believe that inflation has had a material impact on our business, financial condition or results of operations, our business could be more affected by inflation in the future which could have an adverse effect on our ability to maintain current levels of gross margin and operating expenses as a percentage of net revenue if we are unable to fully offset such higher costs through price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5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Under the supervision of our Chief Executive Officer and Chief Financial Officer, we evaluated the effectiveness of our disclosure controls and procedures (as defined in Rules 13a-15(e) and 15d-15(e) under the Exchange Act) as of March 31, 2022.</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As described below, we previously identified a material weakness in our internal control over financial reporting. Solely as a result of this material weakness, our Chief Executive Officer and Chief Financial Officer concluded that our disclosure controls and procedures were not effective as of March 31, 2022 due to the material weakness in our internal control over financial reporting described below.</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Previously Reported Material Weakness</w:t>
      </w:r>
    </w:p>
    <w:p>
      <w:pPr>
        <w:spacing w:after="0" w:line="44"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As disclosed in Item 9A. “Controls and Procedures” of our Form 10-K, we previously identified material weakness in our internal control over financial reporting related to controls around the identification and valuation of inventory:</w:t>
      </w:r>
    </w:p>
    <w:p>
      <w:pPr>
        <w:spacing w:after="0" w:line="210" w:lineRule="exact"/>
        <w:rPr>
          <w:sz w:val="20"/>
          <w:szCs w:val="20"/>
          <w:color w:val="auto"/>
        </w:rPr>
      </w:pPr>
    </w:p>
    <w:p>
      <w:pPr>
        <w:jc w:val="both"/>
        <w:ind w:left="660" w:hanging="328"/>
        <w:spacing w:after="0" w:line="268"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Controls were not effectively designed, documented, and maintained to verify that the existence of all inventories subject to physical inventory counts were correctly counted, and our process for compiling and communicating inventory data to ensure accurate reporting in our financial statements was not effective, including inadequate verification for completeness and accuracy of key reports used to review and monitor inventory balances.</w:t>
      </w:r>
    </w:p>
    <w:p>
      <w:pPr>
        <w:spacing w:after="0" w:line="3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material weakness did not result in any material misstatement in our financial statements or disclosures. Based on additional procedures and post-closing review, management concluded that the condensed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Remediation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have commenced measures to remediate the identified material weakness, which include:</w:t>
      </w:r>
    </w:p>
    <w:p>
      <w:pPr>
        <w:spacing w:after="0" w:line="248" w:lineRule="exact"/>
        <w:rPr>
          <w:sz w:val="20"/>
          <w:szCs w:val="20"/>
          <w:color w:val="auto"/>
        </w:rPr>
      </w:pPr>
    </w:p>
    <w:p>
      <w:pPr>
        <w:ind w:left="660" w:hanging="328"/>
        <w:spacing w:after="0" w:line="256"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Evaluating the effectiveness of our current cycle count program and controls, including IT general controls over systems facilitating cycle counts, to automate inventory count and reporting.</w:t>
      </w:r>
    </w:p>
    <w:p>
      <w:pPr>
        <w:spacing w:after="0" w:line="1" w:lineRule="exact"/>
        <w:rPr>
          <w:rFonts w:ascii="Arial" w:cs="Arial" w:eastAsia="Arial" w:hAnsi="Arial"/>
          <w:sz w:val="16"/>
          <w:szCs w:val="16"/>
          <w:color w:val="auto"/>
        </w:rPr>
      </w:pPr>
    </w:p>
    <w:p>
      <w:pPr>
        <w:ind w:left="660" w:hanging="328"/>
        <w:spacing w:after="0" w:line="244"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Implementing a global inventory count policy and standard operating procedures to ensure consistent communication of the inventory count process and adherence to these policies at facilities managed by us and third party logistics service providers.</w:t>
      </w:r>
    </w:p>
    <w:p>
      <w:pPr>
        <w:ind w:left="660" w:right="560" w:hanging="328"/>
        <w:spacing w:after="0" w:line="249"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Providing training of standard operating procedures and internal controls to key stakeholders within the supply chain, logistics, and inventory processes.</w:t>
      </w:r>
    </w:p>
    <w:p>
      <w:pPr>
        <w:ind w:left="660" w:right="460" w:hanging="328"/>
        <w:spacing w:after="0" w:line="283"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Implementing enhanced documentation associated with management review controls and validation of the completeness and accuracy of key reports used across the inventory process.</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actions that we are taking are subject to ongoing senior management review, as well as oversight of the audit committee of our board of directors. We may also conclude that additional measures may be required to remediate the material weakness. We will not be able to conclude that we have remediated the material weakness until the applicable controls operate for a sufficient period of time and management has concluded, through formal testing, that these controls are operating effectively. We will continue to monitor the design and effectiveness of these and other processes, procedures and controls and make any further changes management deems appropriate.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than the remediation efforts described above, there were no changes in our internal control over financial reporting (as defined in Rules 13a-15(f) and 15d-15(f) under the Exchange Act) during the quarter ended March 31, 2022 that have materially affected, or are reasonably likely to materially affect, our internal control over financial reporting.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ectPr>
          <w:pgSz w:w="11900" w:h="16838" w:orient="portrait"/>
          <w:cols w:equalWidth="0" w:num="1">
            <w:col w:w="11240"/>
          </w:cols>
          <w:pgMar w:left="320" w:top="827"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46" w:lineRule="exact"/>
        <w:rPr>
          <w:sz w:val="20"/>
          <w:szCs w:val="20"/>
          <w:color w:val="auto"/>
        </w:rPr>
      </w:pPr>
    </w:p>
    <w:p>
      <w:pPr>
        <w:ind w:right="1360"/>
        <w:spacing w:after="0" w:line="304" w:lineRule="auto"/>
        <w:rPr>
          <w:sz w:val="20"/>
          <w:szCs w:val="20"/>
          <w:color w:val="auto"/>
        </w:rPr>
      </w:pPr>
      <w:r>
        <w:rPr>
          <w:rFonts w:ascii="Arial" w:cs="Arial" w:eastAsia="Arial" w:hAnsi="Arial"/>
          <w:sz w:val="16"/>
          <w:szCs w:val="16"/>
          <w:color w:val="auto"/>
        </w:rPr>
        <w:t>From time to time, we may be involved in claims and proceedings arising in the ordinary course of our business. The outcome of any such claims or proceedings, regardless of the merits, is inherently uncertain.</w:t>
      </w:r>
    </w:p>
    <w:p>
      <w:pPr>
        <w:spacing w:after="0" w:line="16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 xml:space="preserve">For a discussion of legal proceedings in which we are involved, see </w:t>
      </w:r>
      <w:r>
        <w:rPr>
          <w:rFonts w:ascii="Arial" w:cs="Arial" w:eastAsia="Arial" w:hAnsi="Arial"/>
          <w:sz w:val="16"/>
          <w:szCs w:val="16"/>
          <w:i w:val="1"/>
          <w:iCs w:val="1"/>
          <w:color w:val="auto"/>
        </w:rPr>
        <w:t>Note 10 - Commitments and Contingencies</w:t>
      </w:r>
      <w:r>
        <w:rPr>
          <w:rFonts w:ascii="Arial" w:cs="Arial" w:eastAsia="Arial" w:hAnsi="Arial"/>
          <w:sz w:val="16"/>
          <w:szCs w:val="16"/>
          <w:color w:val="auto"/>
        </w:rPr>
        <w:t xml:space="preserve"> in the Notes to Condensed Consolidated Financial Statements in Part I, Item 1 of this Quarterly Report on Form 10-Q.</w:t>
      </w:r>
    </w:p>
    <w:p>
      <w:pPr>
        <w:spacing w:after="0" w:line="196"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In addition, as previously disclosed, we have received reports of a number of injuries associated with our Tread+ product, one of which led to the death of a child. In April 2021, the U.S. Consumer Product Safety Commission (“CPSC”) issued a warning to consumers about the safety hazards associated with the Tread+ and is continuing to investigate the matter. We are also subject to investigations by the U.S. Department of Justice (“DOJ”), U.S. Department of Homeland Security (“DHS”), and the SEC related to this matter. We intend to cooperate fully with each of these investigations, and at this time, we are unable to predict the eventual scope, duration or outcome of the investigations. See also Part II, Item 1A. “Risk Factors — Risks Related to Laws, Regulation, and Legal Proceedings” in our Fiscal Q2 10-Q for more information on these matters.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61" w:lineRule="exact"/>
        <w:rPr>
          <w:sz w:val="20"/>
          <w:szCs w:val="20"/>
          <w:color w:val="auto"/>
        </w:rPr>
      </w:pPr>
    </w:p>
    <w:p>
      <w:pPr>
        <w:jc w:val="both"/>
        <w:spacing w:after="0" w:line="257" w:lineRule="auto"/>
        <w:rPr>
          <w:rFonts w:ascii="Arial" w:cs="Arial" w:eastAsia="Arial" w:hAnsi="Arial"/>
          <w:sz w:val="16"/>
          <w:szCs w:val="16"/>
          <w:i w:val="1"/>
          <w:iCs w:val="1"/>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the accompanying notes and the information included elsewhere in this Quarterly Report on Form 10-Q and in our Form 10-K and our other public filings before deciding whether to invest in shares of our Class A common stock. These risks and uncertainties are not the only ones we face. Additional risks and uncertainties that we are unaware of or that we currently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 Except for as stated below, as well as in Part II. Item 1A. “</w:t>
      </w:r>
      <w:hyperlink r:id="rId66">
        <w:r>
          <w:rPr>
            <w:rFonts w:ascii="Arial" w:cs="Arial" w:eastAsia="Arial" w:hAnsi="Arial"/>
            <w:sz w:val="16"/>
            <w:szCs w:val="16"/>
            <w:i w:val="1"/>
            <w:iCs w:val="1"/>
            <w:u w:val="single" w:color="auto"/>
            <w:color w:val="0000FF"/>
          </w:rPr>
          <w:t>Risk Factors</w:t>
        </w:r>
      </w:hyperlink>
      <w:r>
        <w:rPr>
          <w:rFonts w:ascii="Arial" w:cs="Arial" w:eastAsia="Arial" w:hAnsi="Arial"/>
          <w:sz w:val="16"/>
          <w:szCs w:val="16"/>
          <w:i w:val="1"/>
          <w:iCs w:val="1"/>
          <w:color w:val="auto"/>
        </w:rPr>
        <w:t>” in our Fiscal Q2 10-Q, which section is incorporated herein by reference, there have been no material changes to our risk factors since the Form 10-K.</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Business</w:t>
      </w:r>
    </w:p>
    <w:p>
      <w:pPr>
        <w:spacing w:after="0" w:line="25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If we are unable to anticipate consumer preferences and successfully develop and introduce new, innovative, and updated products and services in a timely manner, or effectively manage the introduction of new or enhanced products and services or the way in which such products and services are offered, our business may be adversely affected.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via the appropriate channels, or our new or enhanced offerings are not accepted by our Subscribers, or our competitors introduce similar or better offerings faster than us, our rate of growth could be negatively affected.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through lower sales or greater churn, pricing pressure, lower gross margins, discounting of our products and services, and excess inventory levels.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Even if we are successful in anticipating consumer preferences, our ability to address them will partially depend upon our continued ability to bring our offerings to market in a way that adequately meets demand. For example, we are looking at ways to broaden our sales channels, including through distribution to third-party retailers, rethinking the value proposition of our Peloton App, and further expanding into international markets. Additionally, in March 2022, we began experimenting with a new pricing model in select markets, where Subscribers pay a single monthly fee for the combined use of their Connected Fitness Product and their Connected Fitness Subscription, rather than paying an initial upfront purchase price for their Connected Fitness Product. Development of new or enhanced products and services and new ways to offer them requires significant time and financial investment, which could result in increased costs and a reduction in our profit margins. For example, we have historically incurred higher levels of sales and marketing expenses when we introduce a new product or service.</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Moreover, when we introduce new or enhanced products and services, the timing and the way in which we offer them could adversely impact the sales of our existing products and services. For instance, consumers may choose to forgo purchasing existing products or services in advance of new product and service launches, whether or not we have formally announced any such new product or service, and we may experience higher returns from users of existing products once we announce a new or enhanced product. As we introduce new or enhanced products and services, we may face additional challenges managing a more complex supply chain and manufacturing process, including the time and cost associated with onboarding and overseeing additional suppliers, contract manufacturers, and logistics providers. We may also face challenges managing the inventory of new or existing products, which could lead to excess inventory and discounting of such products. In addition, new or enhanced products or services may have varying selling prices and costs compared to legacy products and services, which could negatively impact our brand, gross margins and operating results.</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45" w:name="page46"/>
    <w:bookmarkEnd w:id="45"/>
    <w:p>
      <w:pPr>
        <w:jc w:val="both"/>
        <w:spacing w:after="0" w:line="294" w:lineRule="auto"/>
        <w:rPr>
          <w:sz w:val="20"/>
          <w:szCs w:val="20"/>
          <w:color w:val="auto"/>
        </w:rPr>
      </w:pPr>
      <w:r>
        <w:rPr>
          <w:rFonts w:ascii="Arial" w:cs="Arial" w:eastAsia="Arial" w:hAnsi="Arial"/>
          <w:sz w:val="16"/>
          <w:szCs w:val="16"/>
          <w:b w:val="1"/>
          <w:bCs w:val="1"/>
          <w:i w:val="1"/>
          <w:iCs w:val="1"/>
          <w:color w:val="auto"/>
        </w:rPr>
        <w:t>If we are unable to anticipate appropriate pricing levels for our Connected Fitness Products and subscriptions, our business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If we are unable to anticipate appropriate pricing levels for our portfolio of Connected Fitness Products and subscription services, whether due to consumer</w:t>
      </w:r>
    </w:p>
    <w:p>
      <w:pPr>
        <w:spacing w:after="0" w:line="5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sentiment and spending power, brand perception, competitive pressure, or otherwise, our revenues and/or gross margins could be significantly reduced. Our decisions around the development of new products and services are in part based upon assumptions around pricing levels. For example, in April 2022, we announced a pricing decrease for our Connected Fitness Products and a pricing increase for our Connected Fitness Subscriptions, and there is no assurance that consumers and Members will be receptive to these changes. If there is price compression in the market after these decisions are made, it could have a negative effect on our business.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Further, in March 2022 we began experimenting with a new pricing model in select markets, where Subscribers pay a single monthly fee for the combined use of their Connected Fitness Product and their Connected Fitness Subscription, rather than paying an initial upfront purchase price for their Connected Fitness Product. No assurance can be given that this or any other new offerings will be successful and will not adversely affect our reputation, operating results, and financial condition. Additionally, our focus on long-term Member engagement over short-term financial condition or results of operations can result in us making decisions that may reduce our short-term revenue or profitability if we believe that such decisions benefit the aggregate Member experience and will thereby improve our financial performance over the long term. These decisions may not produce the long-term benefits that we expect, in which case our Member growth and engagement as well as our business, operating results, and financial condition could be negatively impacted.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48"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We are reporting the following information in lieu of reporting on a Current Report on Form 8-K under Item 5.02 Departure of Directors or Certain Officers; Election of Directors; Appointment of Certain Officers; Compensatory Arrangements of Certain Officers.</w:t>
      </w:r>
    </w:p>
    <w:p>
      <w:pPr>
        <w:spacing w:after="0" w:line="16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May 6, 2022, William Lynch informed the board of directors (the “Board”) of Peloton Interactive, Inc. (the “Company”) of his resignation as a member of the Board, effective as of May 6, 2022 (the “Resignation Effectiveness”). Mr. Lynch’s resignation was not resulting from any matter relating to the Company’s operations, policies or practices. The Board has reduced the number of directors authorized to serve on the Board from nine directors to eight directors effective upon the Resignation Effectiveness.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183515</wp:posOffset>
            </wp:positionV>
            <wp:extent cx="522605" cy="43802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22605" cy="4380230"/>
                    </a:xfrm>
                    <a:prstGeom prst="rect">
                      <a:avLst/>
                    </a:prstGeom>
                    <a:noFill/>
                  </pic:spPr>
                </pic:pic>
              </a:graphicData>
            </a:graphic>
          </wp:anchor>
        </w:drawing>
      </w:r>
    </w:p>
    <w:p>
      <w:pPr>
        <w:spacing w:after="0" w:line="269" w:lineRule="exact"/>
        <w:rPr>
          <w:sz w:val="20"/>
          <w:szCs w:val="20"/>
          <w:color w:val="auto"/>
        </w:rPr>
      </w:pPr>
    </w:p>
    <w:tbl>
      <w:tblPr>
        <w:tblLayout w:type="fixed"/>
        <w:tblInd w:w="80" w:type="dxa"/>
        <w:tblCellMar>
          <w:top w:w="0" w:type="dxa"/>
          <w:left w:w="0" w:type="dxa"/>
          <w:bottom w:w="0" w:type="dxa"/>
          <w:right w:w="0" w:type="dxa"/>
        </w:tblCellMar>
      </w:tblPr>
      <w:tr>
        <w:trPr>
          <w:trHeight w:val="419"/>
        </w:trPr>
        <w:tc>
          <w:tcPr>
            <w:tcW w:w="820" w:type="dxa"/>
            <w:vAlign w:val="bottom"/>
            <w:shd w:val="clear" w:color="auto" w:fill="FEFEFE"/>
          </w:tcPr>
          <w:p>
            <w:pPr>
              <w:spacing w:after="0"/>
              <w:rPr>
                <w:sz w:val="24"/>
                <w:szCs w:val="24"/>
                <w:color w:val="auto"/>
              </w:rPr>
            </w:pPr>
          </w:p>
        </w:tc>
        <w:tc>
          <w:tcPr>
            <w:tcW w:w="140" w:type="dxa"/>
            <w:vAlign w:val="bottom"/>
            <w:tcBorders>
              <w:bottom w:val="single" w:sz="8" w:color="FEFEFE"/>
              <w:right w:val="single" w:sz="8" w:color="FEFEFE"/>
            </w:tcBorders>
            <w:shd w:val="clear" w:color="auto" w:fill="FEFEFE"/>
          </w:tcPr>
          <w:p>
            <w:pPr>
              <w:spacing w:after="0"/>
              <w:rPr>
                <w:sz w:val="24"/>
                <w:szCs w:val="24"/>
                <w:color w:val="auto"/>
              </w:rPr>
            </w:pPr>
          </w:p>
        </w:tc>
        <w:tc>
          <w:tcPr>
            <w:tcW w:w="580" w:type="dxa"/>
            <w:vAlign w:val="bottom"/>
            <w:tcBorders>
              <w:bottom w:val="single" w:sz="8" w:color="FEFEFE"/>
            </w:tcBorders>
            <w:shd w:val="clear" w:color="auto" w:fill="FEFEFE"/>
          </w:tcPr>
          <w:p>
            <w:pPr>
              <w:spacing w:after="0"/>
              <w:rPr>
                <w:sz w:val="24"/>
                <w:szCs w:val="24"/>
                <w:color w:val="auto"/>
              </w:rPr>
            </w:pPr>
          </w:p>
        </w:tc>
        <w:tc>
          <w:tcPr>
            <w:tcW w:w="1760" w:type="dxa"/>
            <w:vAlign w:val="bottom"/>
            <w:tcBorders>
              <w:bottom w:val="single" w:sz="8" w:color="FEFEFE"/>
            </w:tcBorders>
            <w:shd w:val="clear" w:color="auto" w:fill="FEFEFE"/>
          </w:tcPr>
          <w:p>
            <w:pPr>
              <w:spacing w:after="0"/>
              <w:rPr>
                <w:sz w:val="24"/>
                <w:szCs w:val="24"/>
                <w:color w:val="auto"/>
              </w:rPr>
            </w:pPr>
          </w:p>
        </w:tc>
        <w:tc>
          <w:tcPr>
            <w:tcW w:w="1460" w:type="dxa"/>
            <w:vAlign w:val="bottom"/>
            <w:tcBorders>
              <w:bottom w:val="single" w:sz="8" w:color="FEFEFE"/>
            </w:tcBorders>
            <w:shd w:val="clear" w:color="auto" w:fill="FEFEFE"/>
          </w:tcPr>
          <w:p>
            <w:pPr>
              <w:spacing w:after="0"/>
              <w:rPr>
                <w:sz w:val="24"/>
                <w:szCs w:val="24"/>
                <w:color w:val="auto"/>
              </w:rPr>
            </w:pPr>
          </w:p>
        </w:tc>
        <w:tc>
          <w:tcPr>
            <w:tcW w:w="260" w:type="dxa"/>
            <w:vAlign w:val="bottom"/>
            <w:tcBorders>
              <w:bottom w:val="single" w:sz="8" w:color="FEFEFE"/>
              <w:right w:val="single" w:sz="8" w:color="FEFEFE"/>
            </w:tcBorders>
            <w:shd w:val="clear" w:color="auto" w:fill="FEFEFE"/>
          </w:tcPr>
          <w:p>
            <w:pPr>
              <w:spacing w:after="0"/>
              <w:rPr>
                <w:sz w:val="24"/>
                <w:szCs w:val="24"/>
                <w:color w:val="auto"/>
              </w:rPr>
            </w:pPr>
          </w:p>
        </w:tc>
        <w:tc>
          <w:tcPr>
            <w:tcW w:w="180" w:type="dxa"/>
            <w:vAlign w:val="bottom"/>
            <w:tcBorders>
              <w:bottom w:val="single" w:sz="8" w:color="FEFEFE"/>
            </w:tcBorders>
            <w:shd w:val="clear" w:color="auto" w:fill="FEFEFE"/>
          </w:tcPr>
          <w:p>
            <w:pPr>
              <w:spacing w:after="0"/>
              <w:rPr>
                <w:sz w:val="24"/>
                <w:szCs w:val="24"/>
                <w:color w:val="auto"/>
              </w:rPr>
            </w:pPr>
          </w:p>
        </w:tc>
        <w:tc>
          <w:tcPr>
            <w:tcW w:w="60" w:type="dxa"/>
            <w:vAlign w:val="bottom"/>
            <w:tcBorders>
              <w:bottom w:val="single" w:sz="8" w:color="FEFEFE"/>
            </w:tcBorders>
            <w:shd w:val="clear" w:color="auto" w:fill="FEFEFE"/>
          </w:tcPr>
          <w:p>
            <w:pPr>
              <w:spacing w:after="0"/>
              <w:rPr>
                <w:sz w:val="24"/>
                <w:szCs w:val="24"/>
                <w:color w:val="auto"/>
              </w:rPr>
            </w:pPr>
          </w:p>
        </w:tc>
        <w:tc>
          <w:tcPr>
            <w:tcW w:w="20" w:type="dxa"/>
            <w:vAlign w:val="bottom"/>
            <w:tcBorders>
              <w:bottom w:val="single" w:sz="8" w:color="FEFEFE"/>
            </w:tcBorders>
            <w:shd w:val="clear" w:color="auto" w:fill="FEFEFE"/>
          </w:tcPr>
          <w:p>
            <w:pPr>
              <w:spacing w:after="0"/>
              <w:rPr>
                <w:sz w:val="24"/>
                <w:szCs w:val="24"/>
                <w:color w:val="auto"/>
              </w:rPr>
            </w:pPr>
          </w:p>
        </w:tc>
        <w:tc>
          <w:tcPr>
            <w:tcW w:w="20" w:type="dxa"/>
            <w:vAlign w:val="bottom"/>
            <w:tcBorders>
              <w:bottom w:val="single" w:sz="8" w:color="FEFEFE"/>
            </w:tcBorders>
            <w:shd w:val="clear" w:color="auto" w:fill="FEFEFE"/>
          </w:tcPr>
          <w:p>
            <w:pPr>
              <w:spacing w:after="0"/>
              <w:rPr>
                <w:sz w:val="24"/>
                <w:szCs w:val="24"/>
                <w:color w:val="auto"/>
              </w:rPr>
            </w:pPr>
          </w:p>
        </w:tc>
        <w:tc>
          <w:tcPr>
            <w:tcW w:w="100" w:type="dxa"/>
            <w:vAlign w:val="bottom"/>
            <w:tcBorders>
              <w:bottom w:val="single" w:sz="8" w:color="FEFEFE"/>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spacing w:after="0"/>
              <w:rPr>
                <w:sz w:val="24"/>
                <w:szCs w:val="24"/>
                <w:color w:val="auto"/>
              </w:rPr>
            </w:pPr>
          </w:p>
        </w:tc>
        <w:tc>
          <w:tcPr>
            <w:tcW w:w="2520" w:type="dxa"/>
            <w:vAlign w:val="bottom"/>
            <w:tcBorders>
              <w:bottom w:val="single" w:sz="8" w:color="auto"/>
            </w:tcBorders>
            <w:gridSpan w:val="2"/>
            <w:shd w:val="clear" w:color="auto" w:fill="FEFEFE"/>
          </w:tcPr>
          <w:p>
            <w:pPr>
              <w:jc w:val="right"/>
              <w:ind w:right="19"/>
              <w:spacing w:after="0"/>
              <w:rPr>
                <w:sz w:val="20"/>
                <w:szCs w:val="20"/>
                <w:color w:val="auto"/>
              </w:rPr>
            </w:pPr>
            <w:r>
              <w:rPr>
                <w:rFonts w:ascii="Arial" w:cs="Arial" w:eastAsia="Arial" w:hAnsi="Arial"/>
                <w:sz w:val="16"/>
                <w:szCs w:val="16"/>
                <w:b w:val="1"/>
                <w:bCs w:val="1"/>
                <w:color w:val="auto"/>
              </w:rPr>
              <w:t>Incorporated by Reference</w:t>
            </w:r>
          </w:p>
        </w:tc>
        <w:tc>
          <w:tcPr>
            <w:tcW w:w="1120" w:type="dxa"/>
            <w:vAlign w:val="bottom"/>
            <w:tcBorders>
              <w:bottom w:val="single" w:sz="8" w:color="auto"/>
            </w:tcBorders>
            <w:shd w:val="clear" w:color="auto" w:fill="FEFEFE"/>
          </w:tcPr>
          <w:p>
            <w:pPr>
              <w:spacing w:after="0"/>
              <w:rPr>
                <w:sz w:val="24"/>
                <w:szCs w:val="24"/>
                <w:color w:val="auto"/>
              </w:rPr>
            </w:pPr>
          </w:p>
        </w:tc>
      </w:tr>
      <w:tr>
        <w:trPr>
          <w:trHeight w:val="168"/>
        </w:trPr>
        <w:tc>
          <w:tcPr>
            <w:tcW w:w="820" w:type="dxa"/>
            <w:vAlign w:val="bottom"/>
          </w:tcPr>
          <w:p>
            <w:pPr>
              <w:jc w:val="right"/>
              <w:ind w:right="59"/>
              <w:spacing w:after="0" w:line="168" w:lineRule="exact"/>
              <w:rPr>
                <w:sz w:val="20"/>
                <w:szCs w:val="20"/>
                <w:color w:val="auto"/>
              </w:rPr>
            </w:pPr>
            <w:r>
              <w:rPr>
                <w:rFonts w:ascii="Arial" w:cs="Arial" w:eastAsia="Arial" w:hAnsi="Arial"/>
                <w:sz w:val="16"/>
                <w:szCs w:val="16"/>
                <w:b w:val="1"/>
                <w:bCs w:val="1"/>
                <w:color w:val="auto"/>
              </w:rPr>
              <w:t>Exhibit</w:t>
            </w:r>
          </w:p>
        </w:tc>
        <w:tc>
          <w:tcPr>
            <w:tcW w:w="140" w:type="dxa"/>
            <w:vAlign w:val="bottom"/>
            <w:tcBorders>
              <w:right w:val="single" w:sz="8" w:color="FEFEFE"/>
            </w:tcBorders>
            <w:shd w:val="clear" w:color="auto" w:fill="FEFEFE"/>
          </w:tcPr>
          <w:p>
            <w:pPr>
              <w:spacing w:after="0"/>
              <w:rPr>
                <w:sz w:val="14"/>
                <w:szCs w:val="14"/>
                <w:color w:val="auto"/>
              </w:rPr>
            </w:pPr>
          </w:p>
        </w:tc>
        <w:tc>
          <w:tcPr>
            <w:tcW w:w="580" w:type="dxa"/>
            <w:vAlign w:val="bottom"/>
            <w:shd w:val="clear" w:color="auto" w:fill="FEFEFE"/>
          </w:tcPr>
          <w:p>
            <w:pPr>
              <w:spacing w:after="0"/>
              <w:rPr>
                <w:sz w:val="14"/>
                <w:szCs w:val="14"/>
                <w:color w:val="auto"/>
              </w:rPr>
            </w:pPr>
          </w:p>
        </w:tc>
        <w:tc>
          <w:tcPr>
            <w:tcW w:w="3860" w:type="dxa"/>
            <w:vAlign w:val="bottom"/>
            <w:gridSpan w:val="8"/>
            <w:shd w:val="clear" w:color="auto" w:fill="FEFEFE"/>
          </w:tcPr>
          <w:p>
            <w:pPr>
              <w:ind w:left="1180"/>
              <w:spacing w:after="0" w:line="168" w:lineRule="exact"/>
              <w:rPr>
                <w:sz w:val="20"/>
                <w:szCs w:val="20"/>
                <w:color w:val="auto"/>
              </w:rPr>
            </w:pPr>
            <w:r>
              <w:rPr>
                <w:rFonts w:ascii="Arial" w:cs="Arial" w:eastAsia="Arial" w:hAnsi="Arial"/>
                <w:sz w:val="16"/>
                <w:szCs w:val="16"/>
                <w:b w:val="1"/>
                <w:bCs w:val="1"/>
                <w:color w:val="auto"/>
              </w:rPr>
              <w:t>Exhibit Title</w:t>
            </w:r>
          </w:p>
        </w:tc>
        <w:tc>
          <w:tcPr>
            <w:tcW w:w="840" w:type="dxa"/>
            <w:vAlign w:val="bottom"/>
            <w:shd w:val="clear" w:color="auto" w:fill="FEFEFE"/>
          </w:tcPr>
          <w:p>
            <w:pPr>
              <w:ind w:left="220"/>
              <w:spacing w:after="0" w:line="168" w:lineRule="exact"/>
              <w:rPr>
                <w:sz w:val="20"/>
                <w:szCs w:val="20"/>
                <w:color w:val="auto"/>
              </w:rPr>
            </w:pPr>
            <w:r>
              <w:rPr>
                <w:rFonts w:ascii="Arial" w:cs="Arial" w:eastAsia="Arial" w:hAnsi="Arial"/>
                <w:sz w:val="16"/>
                <w:szCs w:val="16"/>
                <w:b w:val="1"/>
                <w:bCs w:val="1"/>
                <w:color w:val="auto"/>
              </w:rPr>
              <w:t>Form</w:t>
            </w:r>
          </w:p>
        </w:tc>
        <w:tc>
          <w:tcPr>
            <w:tcW w:w="1120" w:type="dxa"/>
            <w:vAlign w:val="bottom"/>
            <w:shd w:val="clear" w:color="auto" w:fill="FEFEFE"/>
          </w:tcPr>
          <w:p>
            <w:pPr>
              <w:jc w:val="right"/>
              <w:ind w:right="199"/>
              <w:spacing w:after="0" w:line="168" w:lineRule="exact"/>
              <w:rPr>
                <w:sz w:val="20"/>
                <w:szCs w:val="20"/>
                <w:color w:val="auto"/>
              </w:rPr>
            </w:pPr>
            <w:r>
              <w:rPr>
                <w:rFonts w:ascii="Arial" w:cs="Arial" w:eastAsia="Arial" w:hAnsi="Arial"/>
                <w:sz w:val="16"/>
                <w:szCs w:val="16"/>
                <w:b w:val="1"/>
                <w:bCs w:val="1"/>
                <w:color w:val="auto"/>
              </w:rPr>
              <w:t>File No.</w:t>
            </w:r>
          </w:p>
        </w:tc>
        <w:tc>
          <w:tcPr>
            <w:tcW w:w="1400" w:type="dxa"/>
            <w:vAlign w:val="bottom"/>
            <w:shd w:val="clear" w:color="auto" w:fill="FEFEFE"/>
          </w:tcPr>
          <w:p>
            <w:pPr>
              <w:jc w:val="right"/>
              <w:ind w:right="399"/>
              <w:spacing w:after="0" w:line="168" w:lineRule="exact"/>
              <w:rPr>
                <w:sz w:val="20"/>
                <w:szCs w:val="20"/>
                <w:color w:val="auto"/>
              </w:rPr>
            </w:pPr>
            <w:r>
              <w:rPr>
                <w:rFonts w:ascii="Arial" w:cs="Arial" w:eastAsia="Arial" w:hAnsi="Arial"/>
                <w:sz w:val="16"/>
                <w:szCs w:val="16"/>
                <w:b w:val="1"/>
                <w:bCs w:val="1"/>
                <w:color w:val="auto"/>
              </w:rPr>
              <w:t>Exhibit</w:t>
            </w:r>
          </w:p>
        </w:tc>
        <w:tc>
          <w:tcPr>
            <w:tcW w:w="1120" w:type="dxa"/>
            <w:vAlign w:val="bottom"/>
            <w:shd w:val="clear" w:color="auto" w:fill="FEFEFE"/>
          </w:tcPr>
          <w:p>
            <w:pPr>
              <w:jc w:val="right"/>
              <w:ind w:right="119"/>
              <w:spacing w:after="0" w:line="168" w:lineRule="exact"/>
              <w:rPr>
                <w:sz w:val="20"/>
                <w:szCs w:val="20"/>
                <w:color w:val="auto"/>
              </w:rPr>
            </w:pPr>
            <w:r>
              <w:rPr>
                <w:rFonts w:ascii="Arial" w:cs="Arial" w:eastAsia="Arial" w:hAnsi="Arial"/>
                <w:sz w:val="16"/>
                <w:szCs w:val="16"/>
                <w:b w:val="1"/>
                <w:bCs w:val="1"/>
                <w:color w:val="auto"/>
              </w:rPr>
              <w:t>Filing Date</w:t>
            </w:r>
          </w:p>
        </w:tc>
      </w:tr>
      <w:tr>
        <w:trPr>
          <w:trHeight w:val="224"/>
        </w:trPr>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140" w:type="dxa"/>
            <w:vAlign w:val="bottom"/>
            <w:tcBorders>
              <w:bottom w:val="single" w:sz="8" w:color="FEFEFE"/>
              <w:right w:val="single" w:sz="8" w:color="FEFEFE"/>
            </w:tcBorders>
            <w:shd w:val="clear" w:color="auto" w:fill="FEFEFE"/>
          </w:tcPr>
          <w:p>
            <w:pPr>
              <w:spacing w:after="0"/>
              <w:rPr>
                <w:sz w:val="19"/>
                <w:szCs w:val="19"/>
                <w:color w:val="auto"/>
              </w:rPr>
            </w:pPr>
          </w:p>
        </w:tc>
        <w:tc>
          <w:tcPr>
            <w:tcW w:w="580" w:type="dxa"/>
            <w:vAlign w:val="bottom"/>
            <w:tcBorders>
              <w:bottom w:val="single" w:sz="8" w:color="FEFEFE"/>
            </w:tcBorders>
            <w:shd w:val="clear" w:color="auto" w:fill="FEFEFE"/>
          </w:tcPr>
          <w:p>
            <w:pPr>
              <w:spacing w:after="0"/>
              <w:rPr>
                <w:sz w:val="19"/>
                <w:szCs w:val="19"/>
                <w:color w:val="auto"/>
              </w:rPr>
            </w:pPr>
          </w:p>
        </w:tc>
        <w:tc>
          <w:tcPr>
            <w:tcW w:w="1760" w:type="dxa"/>
            <w:vAlign w:val="bottom"/>
            <w:tcBorders>
              <w:bottom w:val="single" w:sz="8" w:color="FEFEFE"/>
            </w:tcBorders>
            <w:shd w:val="clear" w:color="auto" w:fill="FEFEFE"/>
          </w:tcPr>
          <w:p>
            <w:pPr>
              <w:spacing w:after="0"/>
              <w:rPr>
                <w:sz w:val="19"/>
                <w:szCs w:val="19"/>
                <w:color w:val="auto"/>
              </w:rPr>
            </w:pPr>
          </w:p>
        </w:tc>
        <w:tc>
          <w:tcPr>
            <w:tcW w:w="1460" w:type="dxa"/>
            <w:vAlign w:val="bottom"/>
            <w:tcBorders>
              <w:bottom w:val="single" w:sz="8" w:color="FEFEFE"/>
            </w:tcBorders>
            <w:shd w:val="clear" w:color="auto" w:fill="FEFEFE"/>
          </w:tcPr>
          <w:p>
            <w:pPr>
              <w:spacing w:after="0"/>
              <w:rPr>
                <w:sz w:val="19"/>
                <w:szCs w:val="19"/>
                <w:color w:val="auto"/>
              </w:rPr>
            </w:pPr>
          </w:p>
        </w:tc>
        <w:tc>
          <w:tcPr>
            <w:tcW w:w="260" w:type="dxa"/>
            <w:vAlign w:val="bottom"/>
            <w:tcBorders>
              <w:bottom w:val="single" w:sz="8" w:color="FEFEFE"/>
              <w:right w:val="single" w:sz="8" w:color="FEFEFE"/>
            </w:tcBorders>
            <w:shd w:val="clear" w:color="auto" w:fill="FEFEFE"/>
          </w:tcPr>
          <w:p>
            <w:pPr>
              <w:spacing w:after="0"/>
              <w:rPr>
                <w:sz w:val="19"/>
                <w:szCs w:val="19"/>
                <w:color w:val="auto"/>
              </w:rPr>
            </w:pPr>
          </w:p>
        </w:tc>
        <w:tc>
          <w:tcPr>
            <w:tcW w:w="180" w:type="dxa"/>
            <w:vAlign w:val="bottom"/>
            <w:tcBorders>
              <w:bottom w:val="single" w:sz="8" w:color="FEFEFE"/>
            </w:tcBorders>
            <w:shd w:val="clear" w:color="auto" w:fill="FEFEFE"/>
          </w:tcPr>
          <w:p>
            <w:pPr>
              <w:spacing w:after="0"/>
              <w:rPr>
                <w:sz w:val="19"/>
                <w:szCs w:val="19"/>
                <w:color w:val="auto"/>
              </w:rPr>
            </w:pPr>
          </w:p>
        </w:tc>
        <w:tc>
          <w:tcPr>
            <w:tcW w:w="60" w:type="dxa"/>
            <w:vAlign w:val="bottom"/>
            <w:tcBorders>
              <w:bottom w:val="single" w:sz="8" w:color="FEFEFE"/>
            </w:tcBorders>
            <w:shd w:val="clear" w:color="auto" w:fill="FEFEFE"/>
          </w:tcPr>
          <w:p>
            <w:pPr>
              <w:spacing w:after="0"/>
              <w:rPr>
                <w:sz w:val="19"/>
                <w:szCs w:val="19"/>
                <w:color w:val="auto"/>
              </w:rPr>
            </w:pPr>
          </w:p>
        </w:tc>
        <w:tc>
          <w:tcPr>
            <w:tcW w:w="20" w:type="dxa"/>
            <w:vAlign w:val="bottom"/>
            <w:tcBorders>
              <w:bottom w:val="single" w:sz="8" w:color="FEFEFE"/>
            </w:tcBorders>
            <w:shd w:val="clear" w:color="auto" w:fill="FEFEFE"/>
          </w:tcPr>
          <w:p>
            <w:pPr>
              <w:spacing w:after="0"/>
              <w:rPr>
                <w:sz w:val="19"/>
                <w:szCs w:val="19"/>
                <w:color w:val="auto"/>
              </w:rPr>
            </w:pPr>
          </w:p>
        </w:tc>
        <w:tc>
          <w:tcPr>
            <w:tcW w:w="20" w:type="dxa"/>
            <w:vAlign w:val="bottom"/>
            <w:tcBorders>
              <w:bottom w:val="single" w:sz="8" w:color="FEFEFE"/>
            </w:tcBorders>
            <w:shd w:val="clear" w:color="auto" w:fill="FEFEFE"/>
          </w:tcPr>
          <w:p>
            <w:pPr>
              <w:spacing w:after="0"/>
              <w:rPr>
                <w:sz w:val="19"/>
                <w:szCs w:val="19"/>
                <w:color w:val="auto"/>
              </w:rPr>
            </w:pPr>
          </w:p>
        </w:tc>
        <w:tc>
          <w:tcPr>
            <w:tcW w:w="100" w:type="dxa"/>
            <w:vAlign w:val="bottom"/>
            <w:tcBorders>
              <w:bottom w:val="single" w:sz="8" w:color="FEFEFE"/>
            </w:tcBorders>
            <w:shd w:val="clear" w:color="auto" w:fill="FEFEFE"/>
          </w:tcPr>
          <w:p>
            <w:pPr>
              <w:spacing w:after="0"/>
              <w:rPr>
                <w:sz w:val="19"/>
                <w:szCs w:val="19"/>
                <w:color w:val="auto"/>
              </w:rPr>
            </w:pPr>
          </w:p>
        </w:tc>
        <w:tc>
          <w:tcPr>
            <w:tcW w:w="840" w:type="dxa"/>
            <w:vAlign w:val="bottom"/>
            <w:tcBorders>
              <w:bottom w:val="single" w:sz="8" w:color="FEFEFE"/>
            </w:tcBorders>
            <w:shd w:val="clear" w:color="auto" w:fill="FEFEFE"/>
          </w:tcPr>
          <w:p>
            <w:pPr>
              <w:spacing w:after="0"/>
              <w:rPr>
                <w:sz w:val="19"/>
                <w:szCs w:val="19"/>
                <w:color w:val="auto"/>
              </w:rPr>
            </w:pPr>
          </w:p>
        </w:tc>
        <w:tc>
          <w:tcPr>
            <w:tcW w:w="1120" w:type="dxa"/>
            <w:vAlign w:val="bottom"/>
            <w:tcBorders>
              <w:bottom w:val="single" w:sz="8" w:color="FEFEFE"/>
            </w:tcBorders>
            <w:shd w:val="clear" w:color="auto" w:fill="FEFEFE"/>
          </w:tcPr>
          <w:p>
            <w:pPr>
              <w:spacing w:after="0"/>
              <w:rPr>
                <w:sz w:val="19"/>
                <w:szCs w:val="19"/>
                <w:color w:val="auto"/>
              </w:rPr>
            </w:pPr>
          </w:p>
        </w:tc>
        <w:tc>
          <w:tcPr>
            <w:tcW w:w="1400" w:type="dxa"/>
            <w:vAlign w:val="bottom"/>
            <w:tcBorders>
              <w:bottom w:val="single" w:sz="8" w:color="FEFEFE"/>
            </w:tcBorders>
            <w:shd w:val="clear" w:color="auto" w:fill="FEFEFE"/>
          </w:tcPr>
          <w:p>
            <w:pPr>
              <w:spacing w:after="0"/>
              <w:rPr>
                <w:sz w:val="19"/>
                <w:szCs w:val="19"/>
                <w:color w:val="auto"/>
              </w:rPr>
            </w:pPr>
          </w:p>
        </w:tc>
        <w:tc>
          <w:tcPr>
            <w:tcW w:w="1120" w:type="dxa"/>
            <w:vAlign w:val="bottom"/>
            <w:tcBorders>
              <w:bottom w:val="single" w:sz="8" w:color="FEFEFE"/>
            </w:tcBorders>
            <w:shd w:val="clear" w:color="auto" w:fill="FEFEFE"/>
          </w:tcPr>
          <w:p>
            <w:pPr>
              <w:spacing w:after="0"/>
              <w:rPr>
                <w:sz w:val="19"/>
                <w:szCs w:val="19"/>
                <w:color w:val="auto"/>
              </w:rPr>
            </w:pPr>
          </w:p>
        </w:tc>
      </w:tr>
      <w:tr>
        <w:trPr>
          <w:trHeight w:val="188"/>
        </w:trPr>
        <w:tc>
          <w:tcPr>
            <w:tcW w:w="820" w:type="dxa"/>
            <w:vAlign w:val="bottom"/>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Borders>
              <w:right w:val="single" w:sz="8" w:color="FEFEFE"/>
            </w:tcBorders>
          </w:tcPr>
          <w:p>
            <w:pPr>
              <w:spacing w:after="0"/>
              <w:rPr>
                <w:sz w:val="16"/>
                <w:szCs w:val="16"/>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Offer Letter by and between Barry McCarthy and the</w:t>
            </w:r>
          </w:p>
        </w:tc>
        <w:tc>
          <w:tcPr>
            <w:tcW w:w="840" w:type="dxa"/>
            <w:vAlign w:val="bottom"/>
            <w:shd w:val="clear" w:color="auto" w:fill="FEFEFE"/>
          </w:tcPr>
          <w:p>
            <w:pPr>
              <w:ind w:left="20"/>
              <w:spacing w:after="0"/>
              <w:rPr>
                <w:sz w:val="20"/>
                <w:szCs w:val="20"/>
                <w:color w:val="auto"/>
              </w:rPr>
            </w:pPr>
            <w:r>
              <w:rPr>
                <w:rFonts w:ascii="Arial" w:cs="Arial" w:eastAsia="Arial" w:hAnsi="Arial"/>
                <w:sz w:val="16"/>
                <w:szCs w:val="16"/>
                <w:color w:val="auto"/>
              </w:rPr>
              <w:t>8-K</w:t>
            </w:r>
          </w:p>
        </w:tc>
        <w:tc>
          <w:tcPr>
            <w:tcW w:w="1120" w:type="dxa"/>
            <w:vAlign w:val="bottom"/>
            <w:shd w:val="clear" w:color="auto" w:fill="FEFEFE"/>
          </w:tcPr>
          <w:p>
            <w:pPr>
              <w:jc w:val="right"/>
              <w:ind w:right="259"/>
              <w:spacing w:after="0"/>
              <w:rPr>
                <w:sz w:val="20"/>
                <w:szCs w:val="20"/>
                <w:color w:val="auto"/>
              </w:rPr>
            </w:pPr>
            <w:r>
              <w:rPr>
                <w:rFonts w:ascii="Arial" w:cs="Arial" w:eastAsia="Arial" w:hAnsi="Arial"/>
                <w:sz w:val="16"/>
                <w:szCs w:val="16"/>
                <w:color w:val="auto"/>
                <w:w w:val="99"/>
              </w:rPr>
              <w:t>001-39058</w:t>
            </w:r>
          </w:p>
        </w:tc>
        <w:tc>
          <w:tcPr>
            <w:tcW w:w="1400" w:type="dxa"/>
            <w:vAlign w:val="bottom"/>
            <w:shd w:val="clear" w:color="auto" w:fill="FEFEFE"/>
          </w:tcPr>
          <w:p>
            <w:pPr>
              <w:jc w:val="right"/>
              <w:ind w:right="39"/>
              <w:spacing w:after="0"/>
              <w:rPr>
                <w:sz w:val="20"/>
                <w:szCs w:val="20"/>
                <w:color w:val="auto"/>
              </w:rPr>
            </w:pPr>
            <w:r>
              <w:rPr>
                <w:rFonts w:ascii="Arial" w:cs="Arial" w:eastAsia="Arial" w:hAnsi="Arial"/>
                <w:sz w:val="16"/>
                <w:szCs w:val="16"/>
                <w:color w:val="auto"/>
              </w:rPr>
              <w:t>10.1</w:t>
            </w:r>
          </w:p>
        </w:tc>
        <w:tc>
          <w:tcPr>
            <w:tcW w:w="1120" w:type="dxa"/>
            <w:vAlign w:val="bottom"/>
            <w:shd w:val="clear" w:color="auto" w:fill="FEFEFE"/>
          </w:tcPr>
          <w:p>
            <w:pPr>
              <w:jc w:val="right"/>
              <w:spacing w:after="0"/>
              <w:rPr>
                <w:sz w:val="20"/>
                <w:szCs w:val="20"/>
                <w:color w:val="auto"/>
              </w:rPr>
            </w:pPr>
            <w:r>
              <w:rPr>
                <w:rFonts w:ascii="Arial" w:cs="Arial" w:eastAsia="Arial" w:hAnsi="Arial"/>
                <w:sz w:val="16"/>
                <w:szCs w:val="16"/>
                <w:color w:val="auto"/>
              </w:rPr>
              <w:t>02/08/2022</w:t>
            </w:r>
          </w:p>
        </w:tc>
      </w:tr>
      <w:tr>
        <w:trPr>
          <w:trHeight w:val="230"/>
        </w:trPr>
        <w:tc>
          <w:tcPr>
            <w:tcW w:w="820" w:type="dxa"/>
            <w:vAlign w:val="bottom"/>
          </w:tcPr>
          <w:p>
            <w:pPr>
              <w:spacing w:after="0"/>
              <w:rPr>
                <w:sz w:val="20"/>
                <w:szCs w:val="20"/>
                <w:color w:val="auto"/>
              </w:rPr>
            </w:pPr>
          </w:p>
        </w:tc>
        <w:tc>
          <w:tcPr>
            <w:tcW w:w="140" w:type="dxa"/>
            <w:vAlign w:val="bottom"/>
            <w:tcBorders>
              <w:right w:val="single" w:sz="8" w:color="FEFEFE"/>
            </w:tcBorders>
          </w:tcPr>
          <w:p>
            <w:pPr>
              <w:spacing w:after="0"/>
              <w:rPr>
                <w:sz w:val="20"/>
                <w:szCs w:val="20"/>
                <w:color w:val="auto"/>
              </w:rPr>
            </w:pPr>
          </w:p>
        </w:tc>
        <w:tc>
          <w:tcPr>
            <w:tcW w:w="4440" w:type="dxa"/>
            <w:vAlign w:val="bottom"/>
            <w:gridSpan w:val="9"/>
            <w:shd w:val="clear" w:color="auto" w:fill="FEFEFE"/>
          </w:tcPr>
          <w:p>
            <w:pPr>
              <w:spacing w:after="0"/>
              <w:rPr>
                <w:sz w:val="20"/>
                <w:szCs w:val="20"/>
                <w:color w:val="auto"/>
              </w:rPr>
            </w:pPr>
            <w:r>
              <w:rPr>
                <w:rFonts w:ascii="Arial" w:cs="Arial" w:eastAsia="Arial" w:hAnsi="Arial"/>
                <w:sz w:val="16"/>
                <w:szCs w:val="16"/>
                <w:color w:val="auto"/>
              </w:rPr>
              <w:t>Registrant, dated February 7, 2022.</w:t>
            </w:r>
          </w:p>
        </w:tc>
        <w:tc>
          <w:tcPr>
            <w:tcW w:w="840" w:type="dxa"/>
            <w:vAlign w:val="bottom"/>
            <w:shd w:val="clear" w:color="auto" w:fill="FEFEFE"/>
          </w:tcPr>
          <w:p>
            <w:pPr>
              <w:spacing w:after="0"/>
              <w:rPr>
                <w:sz w:val="20"/>
                <w:szCs w:val="20"/>
                <w:color w:val="auto"/>
              </w:rPr>
            </w:pPr>
          </w:p>
        </w:tc>
        <w:tc>
          <w:tcPr>
            <w:tcW w:w="1120" w:type="dxa"/>
            <w:vAlign w:val="bottom"/>
            <w:shd w:val="clear" w:color="auto" w:fill="FEFEFE"/>
          </w:tcPr>
          <w:p>
            <w:pPr>
              <w:spacing w:after="0"/>
              <w:rPr>
                <w:sz w:val="20"/>
                <w:szCs w:val="20"/>
                <w:color w:val="auto"/>
              </w:rPr>
            </w:pPr>
          </w:p>
        </w:tc>
        <w:tc>
          <w:tcPr>
            <w:tcW w:w="1400" w:type="dxa"/>
            <w:vAlign w:val="bottom"/>
            <w:shd w:val="clear" w:color="auto" w:fill="FEFEFE"/>
          </w:tcPr>
          <w:p>
            <w:pPr>
              <w:spacing w:after="0"/>
              <w:rPr>
                <w:sz w:val="20"/>
                <w:szCs w:val="20"/>
                <w:color w:val="auto"/>
              </w:rPr>
            </w:pPr>
          </w:p>
        </w:tc>
        <w:tc>
          <w:tcPr>
            <w:tcW w:w="1120" w:type="dxa"/>
            <w:vAlign w:val="bottom"/>
            <w:shd w:val="clear" w:color="auto" w:fill="FEFEFE"/>
          </w:tcPr>
          <w:p>
            <w:pPr>
              <w:spacing w:after="0"/>
              <w:rPr>
                <w:sz w:val="20"/>
                <w:szCs w:val="20"/>
                <w:color w:val="auto"/>
              </w:rPr>
            </w:pPr>
          </w:p>
        </w:tc>
      </w:tr>
      <w:tr>
        <w:trPr>
          <w:trHeight w:val="175"/>
        </w:trPr>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31.1</w:t>
            </w:r>
          </w:p>
        </w:tc>
        <w:tc>
          <w:tcPr>
            <w:tcW w:w="140" w:type="dxa"/>
            <w:vAlign w:val="bottom"/>
          </w:tcPr>
          <w:p>
            <w:pPr>
              <w:spacing w:after="0"/>
              <w:rPr>
                <w:sz w:val="15"/>
                <w:szCs w:val="15"/>
                <w:color w:val="auto"/>
              </w:rPr>
            </w:pPr>
          </w:p>
        </w:tc>
        <w:tc>
          <w:tcPr>
            <w:tcW w:w="4440" w:type="dxa"/>
            <w:vAlign w:val="bottom"/>
            <w:gridSpan w:val="9"/>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Rules</w:t>
            </w:r>
          </w:p>
        </w:tc>
        <w:tc>
          <w:tcPr>
            <w:tcW w:w="840" w:type="dxa"/>
            <w:vAlign w:val="bottom"/>
            <w:shd w:val="clear" w:color="auto" w:fill="FEFEFE"/>
          </w:tcPr>
          <w:p>
            <w:pPr>
              <w:spacing w:after="0"/>
              <w:rPr>
                <w:sz w:val="15"/>
                <w:szCs w:val="15"/>
                <w:color w:val="auto"/>
              </w:rPr>
            </w:pPr>
          </w:p>
        </w:tc>
        <w:tc>
          <w:tcPr>
            <w:tcW w:w="1120" w:type="dxa"/>
            <w:vAlign w:val="bottom"/>
            <w:shd w:val="clear" w:color="auto" w:fill="FEFEFE"/>
          </w:tcPr>
          <w:p>
            <w:pPr>
              <w:spacing w:after="0"/>
              <w:rPr>
                <w:sz w:val="15"/>
                <w:szCs w:val="15"/>
                <w:color w:val="auto"/>
              </w:rPr>
            </w:pPr>
          </w:p>
        </w:tc>
        <w:tc>
          <w:tcPr>
            <w:tcW w:w="1400" w:type="dxa"/>
            <w:vAlign w:val="bottom"/>
            <w:shd w:val="clear" w:color="auto" w:fill="FEFEFE"/>
          </w:tcPr>
          <w:p>
            <w:pPr>
              <w:spacing w:after="0"/>
              <w:rPr>
                <w:sz w:val="15"/>
                <w:szCs w:val="15"/>
                <w:color w:val="auto"/>
              </w:rPr>
            </w:pPr>
          </w:p>
        </w:tc>
        <w:tc>
          <w:tcPr>
            <w:tcW w:w="1120" w:type="dxa"/>
            <w:vAlign w:val="bottom"/>
            <w:shd w:val="clear" w:color="auto" w:fill="FEFEFE"/>
          </w:tcPr>
          <w:p>
            <w:pPr>
              <w:spacing w:after="0"/>
              <w:rPr>
                <w:sz w:val="15"/>
                <w:szCs w:val="15"/>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13a-14(a) and 15d-14(a) under the Exchange Act, as</w:t>
            </w:r>
          </w:p>
        </w:tc>
        <w:tc>
          <w:tcPr>
            <w:tcW w:w="50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FEFEFE"/>
              <w:bottom w:val="single" w:sz="8" w:color="FEFEFE"/>
            </w:tcBorders>
            <w:shd w:val="clear" w:color="auto" w:fill="FEFEFE"/>
          </w:tcPr>
          <w:p>
            <w:pPr>
              <w:spacing w:after="0"/>
              <w:rPr>
                <w:sz w:val="14"/>
                <w:szCs w:val="14"/>
                <w:color w:val="auto"/>
              </w:rPr>
            </w:pPr>
          </w:p>
        </w:tc>
        <w:tc>
          <w:tcPr>
            <w:tcW w:w="1120" w:type="dxa"/>
            <w:vAlign w:val="bottom"/>
            <w:tcBorders>
              <w:top w:val="single" w:sz="8" w:color="FEFEFE"/>
              <w:bottom w:val="single" w:sz="8" w:color="FEFEFE"/>
            </w:tcBorders>
            <w:shd w:val="clear" w:color="auto" w:fill="FEFEFE"/>
          </w:tcPr>
          <w:p>
            <w:pPr>
              <w:spacing w:after="0"/>
              <w:rPr>
                <w:sz w:val="14"/>
                <w:szCs w:val="14"/>
                <w:color w:val="auto"/>
              </w:rPr>
            </w:pPr>
          </w:p>
        </w:tc>
        <w:tc>
          <w:tcPr>
            <w:tcW w:w="1400" w:type="dxa"/>
            <w:vAlign w:val="bottom"/>
            <w:tcBorders>
              <w:top w:val="single" w:sz="8" w:color="FEFEFE"/>
              <w:bottom w:val="single" w:sz="8" w:color="FEFEFE"/>
            </w:tcBorders>
            <w:shd w:val="clear" w:color="auto" w:fill="FEFEFE"/>
          </w:tcPr>
          <w:p>
            <w:pPr>
              <w:spacing w:after="0"/>
              <w:rPr>
                <w:sz w:val="14"/>
                <w:szCs w:val="14"/>
                <w:color w:val="auto"/>
              </w:rPr>
            </w:pPr>
          </w:p>
        </w:tc>
        <w:tc>
          <w:tcPr>
            <w:tcW w:w="11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40" w:type="dxa"/>
            <w:vAlign w:val="bottom"/>
            <w:gridSpan w:val="9"/>
          </w:tcPr>
          <w:p>
            <w:pPr>
              <w:spacing w:after="0" w:line="169" w:lineRule="exact"/>
              <w:rPr>
                <w:sz w:val="20"/>
                <w:szCs w:val="20"/>
                <w:color w:val="auto"/>
              </w:rPr>
            </w:pPr>
            <w:r>
              <w:rPr>
                <w:rFonts w:ascii="Arial" w:cs="Arial" w:eastAsia="Arial" w:hAnsi="Arial"/>
                <w:sz w:val="16"/>
                <w:szCs w:val="16"/>
                <w:color w:val="0000FF"/>
              </w:rPr>
              <w:t>Adopted Pursuant to Section 302 of the Sarbanes-Oxley Act</w:t>
            </w:r>
          </w:p>
        </w:tc>
        <w:tc>
          <w:tcPr>
            <w:tcW w:w="84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40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2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of 2002.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FEFEFE"/>
            </w:tcBorders>
            <w:shd w:val="clear" w:color="auto" w:fill="FEFEFE"/>
          </w:tcPr>
          <w:p>
            <w:pPr>
              <w:spacing w:after="0"/>
              <w:rPr>
                <w:sz w:val="14"/>
                <w:szCs w:val="14"/>
                <w:color w:val="auto"/>
              </w:rPr>
            </w:pPr>
          </w:p>
        </w:tc>
        <w:tc>
          <w:tcPr>
            <w:tcW w:w="1120" w:type="dxa"/>
            <w:vAlign w:val="bottom"/>
            <w:tcBorders>
              <w:top w:val="single" w:sz="8" w:color="FEFEFE"/>
            </w:tcBorders>
            <w:shd w:val="clear" w:color="auto" w:fill="FEFEFE"/>
          </w:tcPr>
          <w:p>
            <w:pPr>
              <w:spacing w:after="0"/>
              <w:rPr>
                <w:sz w:val="14"/>
                <w:szCs w:val="14"/>
                <w:color w:val="auto"/>
              </w:rPr>
            </w:pPr>
          </w:p>
        </w:tc>
        <w:tc>
          <w:tcPr>
            <w:tcW w:w="1400" w:type="dxa"/>
            <w:vAlign w:val="bottom"/>
            <w:tcBorders>
              <w:top w:val="single" w:sz="8" w:color="FEFEFE"/>
            </w:tcBorders>
            <w:shd w:val="clear" w:color="auto" w:fill="FEFEFE"/>
          </w:tcPr>
          <w:p>
            <w:pPr>
              <w:spacing w:after="0"/>
              <w:rPr>
                <w:sz w:val="14"/>
                <w:szCs w:val="14"/>
                <w:color w:val="auto"/>
              </w:rPr>
            </w:pPr>
          </w:p>
        </w:tc>
        <w:tc>
          <w:tcPr>
            <w:tcW w:w="1120" w:type="dxa"/>
            <w:vAlign w:val="bottom"/>
            <w:tcBorders>
              <w:top w:val="single" w:sz="8" w:color="FEFEFE"/>
            </w:tcBorders>
            <w:shd w:val="clear" w:color="auto" w:fill="FEFEFE"/>
          </w:tcPr>
          <w:p>
            <w:pPr>
              <w:spacing w:after="0"/>
              <w:rPr>
                <w:sz w:val="14"/>
                <w:szCs w:val="14"/>
                <w:color w:val="auto"/>
              </w:rPr>
            </w:pPr>
          </w:p>
        </w:tc>
      </w:tr>
      <w:tr>
        <w:trPr>
          <w:trHeight w:val="34"/>
        </w:trPr>
        <w:tc>
          <w:tcPr>
            <w:tcW w:w="82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7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FEFEFE"/>
            </w:tcBorders>
            <w:shd w:val="clear" w:color="auto" w:fill="FEFEFE"/>
          </w:tcPr>
          <w:p>
            <w:pPr>
              <w:spacing w:after="0"/>
              <w:rPr>
                <w:sz w:val="2"/>
                <w:szCs w:val="2"/>
                <w:color w:val="auto"/>
              </w:rPr>
            </w:pPr>
          </w:p>
        </w:tc>
        <w:tc>
          <w:tcPr>
            <w:tcW w:w="1120" w:type="dxa"/>
            <w:vAlign w:val="bottom"/>
            <w:tcBorders>
              <w:bottom w:val="single" w:sz="8" w:color="FEFEFE"/>
            </w:tcBorders>
            <w:shd w:val="clear" w:color="auto" w:fill="FEFEFE"/>
          </w:tcPr>
          <w:p>
            <w:pPr>
              <w:spacing w:after="0"/>
              <w:rPr>
                <w:sz w:val="2"/>
                <w:szCs w:val="2"/>
                <w:color w:val="auto"/>
              </w:rPr>
            </w:pPr>
          </w:p>
        </w:tc>
        <w:tc>
          <w:tcPr>
            <w:tcW w:w="1400" w:type="dxa"/>
            <w:vAlign w:val="bottom"/>
            <w:tcBorders>
              <w:bottom w:val="single" w:sz="8" w:color="FEFEFE"/>
            </w:tcBorders>
            <w:shd w:val="clear" w:color="auto" w:fill="FEFEFE"/>
          </w:tcPr>
          <w:p>
            <w:pPr>
              <w:spacing w:after="0"/>
              <w:rPr>
                <w:sz w:val="2"/>
                <w:szCs w:val="2"/>
                <w:color w:val="auto"/>
              </w:rPr>
            </w:pPr>
          </w:p>
        </w:tc>
        <w:tc>
          <w:tcPr>
            <w:tcW w:w="1120" w:type="dxa"/>
            <w:vAlign w:val="bottom"/>
            <w:tcBorders>
              <w:bottom w:val="single" w:sz="8" w:color="FEFEFE"/>
            </w:tcBorders>
            <w:shd w:val="clear" w:color="auto" w:fill="FEFEFE"/>
          </w:tcPr>
          <w:p>
            <w:pPr>
              <w:spacing w:after="0"/>
              <w:rPr>
                <w:sz w:val="2"/>
                <w:szCs w:val="2"/>
                <w:color w:val="auto"/>
              </w:rPr>
            </w:pPr>
          </w:p>
        </w:tc>
      </w:tr>
      <w:tr>
        <w:trPr>
          <w:trHeight w:val="175"/>
        </w:trPr>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31.2</w:t>
            </w:r>
          </w:p>
        </w:tc>
        <w:tc>
          <w:tcPr>
            <w:tcW w:w="140" w:type="dxa"/>
            <w:vAlign w:val="bottom"/>
          </w:tcPr>
          <w:p>
            <w:pPr>
              <w:spacing w:after="0"/>
              <w:rPr>
                <w:sz w:val="15"/>
                <w:szCs w:val="15"/>
                <w:color w:val="auto"/>
              </w:rPr>
            </w:pPr>
          </w:p>
        </w:tc>
        <w:tc>
          <w:tcPr>
            <w:tcW w:w="4440" w:type="dxa"/>
            <w:vAlign w:val="bottom"/>
            <w:gridSpan w:val="9"/>
          </w:tcPr>
          <w:p>
            <w:pPr>
              <w:spacing w:after="0" w:line="175" w:lineRule="exact"/>
              <w:rPr>
                <w:sz w:val="20"/>
                <w:szCs w:val="20"/>
                <w:color w:val="auto"/>
              </w:rPr>
            </w:pPr>
            <w:r>
              <w:rPr>
                <w:rFonts w:ascii="Arial" w:cs="Arial" w:eastAsia="Arial" w:hAnsi="Arial"/>
                <w:sz w:val="16"/>
                <w:szCs w:val="16"/>
                <w:color w:val="0000FF"/>
              </w:rPr>
              <w:t>Certification of Principal Financial Officer Pursuant to Rules</w:t>
            </w:r>
          </w:p>
        </w:tc>
        <w:tc>
          <w:tcPr>
            <w:tcW w:w="840" w:type="dxa"/>
            <w:vAlign w:val="bottom"/>
          </w:tcPr>
          <w:p>
            <w:pPr>
              <w:spacing w:after="0"/>
              <w:rPr>
                <w:sz w:val="15"/>
                <w:szCs w:val="15"/>
                <w:color w:val="auto"/>
              </w:rPr>
            </w:pPr>
          </w:p>
        </w:tc>
        <w:tc>
          <w:tcPr>
            <w:tcW w:w="1120" w:type="dxa"/>
            <w:vAlign w:val="bottom"/>
            <w:shd w:val="clear" w:color="auto" w:fill="FEFEFE"/>
          </w:tcPr>
          <w:p>
            <w:pPr>
              <w:spacing w:after="0"/>
              <w:rPr>
                <w:sz w:val="15"/>
                <w:szCs w:val="15"/>
                <w:color w:val="auto"/>
              </w:rPr>
            </w:pPr>
          </w:p>
        </w:tc>
        <w:tc>
          <w:tcPr>
            <w:tcW w:w="1400" w:type="dxa"/>
            <w:vAlign w:val="bottom"/>
            <w:shd w:val="clear" w:color="auto" w:fill="FEFEFE"/>
          </w:tcPr>
          <w:p>
            <w:pPr>
              <w:spacing w:after="0"/>
              <w:rPr>
                <w:sz w:val="15"/>
                <w:szCs w:val="15"/>
                <w:color w:val="auto"/>
              </w:rPr>
            </w:pPr>
          </w:p>
        </w:tc>
        <w:tc>
          <w:tcPr>
            <w:tcW w:w="1120" w:type="dxa"/>
            <w:vAlign w:val="bottom"/>
            <w:shd w:val="clear" w:color="auto" w:fill="FEFEFE"/>
          </w:tcPr>
          <w:p>
            <w:pPr>
              <w:spacing w:after="0"/>
              <w:rPr>
                <w:sz w:val="15"/>
                <w:szCs w:val="15"/>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13a-14(a) and 15d-14(a) under the Exchange Act, as</w:t>
            </w:r>
          </w:p>
        </w:tc>
        <w:tc>
          <w:tcPr>
            <w:tcW w:w="440" w:type="dxa"/>
            <w:vAlign w:val="bottom"/>
            <w:tcBorders>
              <w:top w:val="single" w:sz="8" w:color="0000FF"/>
            </w:tcBorders>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Borders>
              <w:top w:val="single" w:sz="8" w:color="FEFEFE"/>
              <w:bottom w:val="single" w:sz="8" w:color="FEFEFE"/>
            </w:tcBorders>
            <w:shd w:val="clear" w:color="auto" w:fill="FEFEFE"/>
          </w:tcPr>
          <w:p>
            <w:pPr>
              <w:spacing w:after="0"/>
              <w:rPr>
                <w:sz w:val="14"/>
                <w:szCs w:val="14"/>
                <w:color w:val="auto"/>
              </w:rPr>
            </w:pPr>
          </w:p>
        </w:tc>
        <w:tc>
          <w:tcPr>
            <w:tcW w:w="1400" w:type="dxa"/>
            <w:vAlign w:val="bottom"/>
            <w:tcBorders>
              <w:top w:val="single" w:sz="8" w:color="FEFEFE"/>
              <w:bottom w:val="single" w:sz="8" w:color="FEFEFE"/>
            </w:tcBorders>
            <w:shd w:val="clear" w:color="auto" w:fill="FEFEFE"/>
          </w:tcPr>
          <w:p>
            <w:pPr>
              <w:spacing w:after="0"/>
              <w:rPr>
                <w:sz w:val="14"/>
                <w:szCs w:val="14"/>
                <w:color w:val="auto"/>
              </w:rPr>
            </w:pPr>
          </w:p>
        </w:tc>
        <w:tc>
          <w:tcPr>
            <w:tcW w:w="11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40" w:type="dxa"/>
            <w:vAlign w:val="bottom"/>
            <w:gridSpan w:val="9"/>
          </w:tcPr>
          <w:p>
            <w:pPr>
              <w:spacing w:after="0" w:line="169" w:lineRule="exact"/>
              <w:rPr>
                <w:sz w:val="20"/>
                <w:szCs w:val="20"/>
                <w:color w:val="auto"/>
              </w:rPr>
            </w:pPr>
            <w:r>
              <w:rPr>
                <w:rFonts w:ascii="Arial" w:cs="Arial" w:eastAsia="Arial" w:hAnsi="Arial"/>
                <w:sz w:val="16"/>
                <w:szCs w:val="16"/>
                <w:color w:val="0000FF"/>
              </w:rPr>
              <w:t>Adopted Pursuant to Section 302 of the Sarbanes-Oxley Act</w:t>
            </w:r>
          </w:p>
        </w:tc>
        <w:tc>
          <w:tcPr>
            <w:tcW w:w="840" w:type="dxa"/>
            <w:vAlign w:val="bottom"/>
          </w:tcPr>
          <w:p>
            <w:pPr>
              <w:spacing w:after="0"/>
              <w:rPr>
                <w:sz w:val="14"/>
                <w:szCs w:val="14"/>
                <w:color w:val="auto"/>
              </w:rPr>
            </w:pPr>
          </w:p>
        </w:tc>
        <w:tc>
          <w:tcPr>
            <w:tcW w:w="1120" w:type="dxa"/>
            <w:vAlign w:val="bottom"/>
            <w:shd w:val="clear" w:color="auto" w:fill="FEFEFE"/>
          </w:tcPr>
          <w:p>
            <w:pPr>
              <w:spacing w:after="0"/>
              <w:rPr>
                <w:sz w:val="14"/>
                <w:szCs w:val="14"/>
                <w:color w:val="auto"/>
              </w:rPr>
            </w:pPr>
          </w:p>
        </w:tc>
        <w:tc>
          <w:tcPr>
            <w:tcW w:w="140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2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of 2002.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Borders>
              <w:top w:val="single" w:sz="8" w:color="FEFEFE"/>
            </w:tcBorders>
            <w:shd w:val="clear" w:color="auto" w:fill="FEFEFE"/>
          </w:tcPr>
          <w:p>
            <w:pPr>
              <w:spacing w:after="0"/>
              <w:rPr>
                <w:sz w:val="14"/>
                <w:szCs w:val="14"/>
                <w:color w:val="auto"/>
              </w:rPr>
            </w:pPr>
          </w:p>
        </w:tc>
        <w:tc>
          <w:tcPr>
            <w:tcW w:w="1400" w:type="dxa"/>
            <w:vAlign w:val="bottom"/>
            <w:tcBorders>
              <w:top w:val="single" w:sz="8" w:color="FEFEFE"/>
            </w:tcBorders>
            <w:shd w:val="clear" w:color="auto" w:fill="FEFEFE"/>
          </w:tcPr>
          <w:p>
            <w:pPr>
              <w:spacing w:after="0"/>
              <w:rPr>
                <w:sz w:val="14"/>
                <w:szCs w:val="14"/>
                <w:color w:val="auto"/>
              </w:rPr>
            </w:pPr>
          </w:p>
        </w:tc>
        <w:tc>
          <w:tcPr>
            <w:tcW w:w="1120" w:type="dxa"/>
            <w:vAlign w:val="bottom"/>
            <w:tcBorders>
              <w:top w:val="single" w:sz="8" w:color="FEFEFE"/>
            </w:tcBorders>
            <w:shd w:val="clear" w:color="auto" w:fill="FEFEFE"/>
          </w:tcPr>
          <w:p>
            <w:pPr>
              <w:spacing w:after="0"/>
              <w:rPr>
                <w:sz w:val="14"/>
                <w:szCs w:val="14"/>
                <w:color w:val="auto"/>
              </w:rPr>
            </w:pPr>
          </w:p>
        </w:tc>
      </w:tr>
      <w:tr>
        <w:trPr>
          <w:trHeight w:val="34"/>
        </w:trPr>
        <w:tc>
          <w:tcPr>
            <w:tcW w:w="82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7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Borders>
              <w:bottom w:val="single" w:sz="8" w:color="FEFEFE"/>
            </w:tcBorders>
            <w:shd w:val="clear" w:color="auto" w:fill="FEFEFE"/>
          </w:tcPr>
          <w:p>
            <w:pPr>
              <w:spacing w:after="0"/>
              <w:rPr>
                <w:sz w:val="2"/>
                <w:szCs w:val="2"/>
                <w:color w:val="auto"/>
              </w:rPr>
            </w:pPr>
          </w:p>
        </w:tc>
        <w:tc>
          <w:tcPr>
            <w:tcW w:w="1400" w:type="dxa"/>
            <w:vAlign w:val="bottom"/>
            <w:tcBorders>
              <w:bottom w:val="single" w:sz="8" w:color="FEFEFE"/>
            </w:tcBorders>
            <w:shd w:val="clear" w:color="auto" w:fill="FEFEFE"/>
          </w:tcPr>
          <w:p>
            <w:pPr>
              <w:spacing w:after="0"/>
              <w:rPr>
                <w:sz w:val="2"/>
                <w:szCs w:val="2"/>
                <w:color w:val="auto"/>
              </w:rPr>
            </w:pPr>
          </w:p>
        </w:tc>
        <w:tc>
          <w:tcPr>
            <w:tcW w:w="1120" w:type="dxa"/>
            <w:vAlign w:val="bottom"/>
            <w:tcBorders>
              <w:bottom w:val="single" w:sz="8" w:color="FEFEFE"/>
            </w:tcBorders>
            <w:shd w:val="clear" w:color="auto" w:fill="FEFEFE"/>
          </w:tcPr>
          <w:p>
            <w:pPr>
              <w:spacing w:after="0"/>
              <w:rPr>
                <w:sz w:val="2"/>
                <w:szCs w:val="2"/>
                <w:color w:val="auto"/>
              </w:rPr>
            </w:pPr>
          </w:p>
        </w:tc>
      </w:tr>
      <w:tr>
        <w:trPr>
          <w:trHeight w:val="175"/>
        </w:trPr>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32.1</w:t>
            </w:r>
          </w:p>
        </w:tc>
        <w:tc>
          <w:tcPr>
            <w:tcW w:w="140" w:type="dxa"/>
            <w:vAlign w:val="bottom"/>
          </w:tcPr>
          <w:p>
            <w:pPr>
              <w:spacing w:after="0"/>
              <w:rPr>
                <w:sz w:val="15"/>
                <w:szCs w:val="15"/>
                <w:color w:val="auto"/>
              </w:rPr>
            </w:pPr>
          </w:p>
        </w:tc>
        <w:tc>
          <w:tcPr>
            <w:tcW w:w="4440" w:type="dxa"/>
            <w:vAlign w:val="bottom"/>
            <w:gridSpan w:val="9"/>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18</w:t>
            </w: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shd w:val="clear" w:color="auto" w:fill="FEFEFE"/>
          </w:tcPr>
          <w:p>
            <w:pPr>
              <w:spacing w:after="0"/>
              <w:rPr>
                <w:sz w:val="15"/>
                <w:szCs w:val="15"/>
                <w:color w:val="auto"/>
              </w:rPr>
            </w:pPr>
          </w:p>
        </w:tc>
        <w:tc>
          <w:tcPr>
            <w:tcW w:w="1120" w:type="dxa"/>
            <w:vAlign w:val="bottom"/>
            <w:shd w:val="clear" w:color="auto" w:fill="FEFEFE"/>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shd w:val="clear" w:color="auto" w:fill="FEFEFE"/>
          </w:tcPr>
          <w:p>
            <w:pPr>
              <w:spacing w:after="0" w:line="20" w:lineRule="exact"/>
              <w:rPr>
                <w:sz w:val="1"/>
                <w:szCs w:val="1"/>
                <w:color w:val="auto"/>
              </w:rPr>
            </w:pPr>
          </w:p>
        </w:tc>
        <w:tc>
          <w:tcPr>
            <w:tcW w:w="1120" w:type="dxa"/>
            <w:vAlign w:val="bottom"/>
            <w:shd w:val="clear" w:color="auto" w:fill="FEFEFE"/>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40" w:type="dxa"/>
            <w:vAlign w:val="bottom"/>
            <w:gridSpan w:val="9"/>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shd w:val="clear" w:color="auto" w:fill="FEFEFE"/>
          </w:tcPr>
          <w:p>
            <w:pPr>
              <w:spacing w:after="0"/>
              <w:rPr>
                <w:sz w:val="14"/>
                <w:szCs w:val="14"/>
                <w:color w:val="auto"/>
              </w:rPr>
            </w:pPr>
          </w:p>
        </w:tc>
        <w:tc>
          <w:tcPr>
            <w:tcW w:w="1120" w:type="dxa"/>
            <w:vAlign w:val="bottom"/>
            <w:shd w:val="clear" w:color="auto" w:fill="FEFEFE"/>
          </w:tcPr>
          <w:p>
            <w:pPr>
              <w:spacing w:after="0"/>
              <w:rPr>
                <w:sz w:val="14"/>
                <w:szCs w:val="14"/>
                <w:color w:val="auto"/>
              </w:rPr>
            </w:pPr>
          </w:p>
        </w:tc>
      </w:tr>
      <w:tr>
        <w:trPr>
          <w:trHeight w:val="203"/>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2000" w:type="dxa"/>
            <w:vAlign w:val="bottom"/>
            <w:tcBorders>
              <w:top w:val="single" w:sz="8" w:color="0000FF"/>
            </w:tcBorders>
            <w:gridSpan w:val="6"/>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tcBorders>
              <w:top w:val="single" w:sz="8" w:color="FEFEFE"/>
              <w:bottom w:val="single" w:sz="8" w:color="FEFEFE"/>
            </w:tcBorders>
            <w:shd w:val="clear" w:color="auto" w:fill="FEFEFE"/>
          </w:tcPr>
          <w:p>
            <w:pPr>
              <w:spacing w:after="0"/>
              <w:rPr>
                <w:sz w:val="17"/>
                <w:szCs w:val="17"/>
                <w:color w:val="auto"/>
              </w:rPr>
            </w:pPr>
          </w:p>
        </w:tc>
        <w:tc>
          <w:tcPr>
            <w:tcW w:w="1120" w:type="dxa"/>
            <w:vAlign w:val="bottom"/>
            <w:tcBorders>
              <w:top w:val="single" w:sz="8" w:color="FEFEFE"/>
              <w:bottom w:val="single" w:sz="8" w:color="FEFEFE"/>
            </w:tcBorders>
            <w:shd w:val="clear" w:color="auto" w:fill="FEFEFE"/>
          </w:tcPr>
          <w:p>
            <w:pPr>
              <w:spacing w:after="0"/>
              <w:rPr>
                <w:sz w:val="17"/>
                <w:szCs w:val="17"/>
                <w:color w:val="auto"/>
              </w:rPr>
            </w:pPr>
          </w:p>
        </w:tc>
      </w:tr>
      <w:tr>
        <w:trPr>
          <w:trHeight w:val="175"/>
        </w:trPr>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32.2</w:t>
            </w:r>
          </w:p>
        </w:tc>
        <w:tc>
          <w:tcPr>
            <w:tcW w:w="140" w:type="dxa"/>
            <w:vAlign w:val="bottom"/>
          </w:tcPr>
          <w:p>
            <w:pPr>
              <w:spacing w:after="0"/>
              <w:rPr>
                <w:sz w:val="15"/>
                <w:szCs w:val="15"/>
                <w:color w:val="auto"/>
              </w:rPr>
            </w:pPr>
          </w:p>
        </w:tc>
        <w:tc>
          <w:tcPr>
            <w:tcW w:w="4060" w:type="dxa"/>
            <w:vAlign w:val="bottom"/>
            <w:tcBorders>
              <w:bottom w:val="single" w:sz="8" w:color="0000FF"/>
            </w:tcBorders>
            <w:gridSpan w:val="4"/>
          </w:tcPr>
          <w:p>
            <w:pPr>
              <w:spacing w:after="0" w:line="175" w:lineRule="exact"/>
              <w:rPr>
                <w:sz w:val="20"/>
                <w:szCs w:val="20"/>
                <w:color w:val="auto"/>
              </w:rPr>
            </w:pPr>
            <w:r>
              <w:rPr>
                <w:rFonts w:ascii="Arial" w:cs="Arial" w:eastAsia="Arial" w:hAnsi="Arial"/>
                <w:sz w:val="16"/>
                <w:szCs w:val="16"/>
                <w:color w:val="0000FF"/>
              </w:rPr>
              <w:t>Certification of Principal Financial Officer Pursuant to 18</w:t>
            </w:r>
          </w:p>
        </w:tc>
        <w:tc>
          <w:tcPr>
            <w:tcW w:w="38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40" w:type="dxa"/>
            <w:vAlign w:val="bottom"/>
            <w:gridSpan w:val="9"/>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2000" w:type="dxa"/>
            <w:vAlign w:val="bottom"/>
            <w:tcBorders>
              <w:top w:val="single" w:sz="8" w:color="0000FF"/>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-2296795</wp:posOffset>
            </wp:positionV>
            <wp:extent cx="5751830" cy="4114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751830" cy="4114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b w:val="1"/>
          <w:bCs w:val="1"/>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-394970</wp:posOffset>
            </wp:positionV>
            <wp:extent cx="771525" cy="43802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71525"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XX</w:t>
      </w:r>
    </w:p>
    <w:p>
      <w:pPr>
        <w:spacing w:after="0" w:line="200" w:lineRule="exact"/>
        <w:rPr>
          <w:sz w:val="20"/>
          <w:szCs w:val="20"/>
          <w:color w:val="auto"/>
        </w:rPr>
      </w:pPr>
    </w:p>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XX</w:t>
      </w:r>
    </w:p>
    <w:p>
      <w:pPr>
        <w:spacing w:after="0" w:line="423" w:lineRule="exact"/>
        <w:rPr>
          <w:sz w:val="20"/>
          <w:szCs w:val="20"/>
          <w:color w:val="auto"/>
        </w:rPr>
      </w:pPr>
    </w:p>
    <w:p>
      <w:pPr>
        <w:sectPr>
          <w:pgSz w:w="11900" w:h="16838" w:orient="portrait"/>
          <w:cols w:equalWidth="0" w:num="2">
            <w:col w:w="9960" w:space="220"/>
            <w:col w:w="780"/>
          </w:cols>
          <w:pgMar w:left="320" w:top="611" w:right="619" w:bottom="1440" w:gutter="0" w:footer="0" w:header="0"/>
        </w:sectPr>
      </w:pPr>
    </w:p>
    <w:tbl>
      <w:tblPr>
        <w:tblLayout w:type="fixed"/>
        <w:tblInd w:w="220" w:type="dxa"/>
        <w:tblCellMar>
          <w:top w:w="0" w:type="dxa"/>
          <w:left w:w="0" w:type="dxa"/>
          <w:bottom w:w="0" w:type="dxa"/>
          <w:right w:w="0" w:type="dxa"/>
        </w:tblCellMar>
      </w:tblPr>
      <w:tr>
        <w:trPr>
          <w:trHeight w:val="189"/>
        </w:trPr>
        <w:tc>
          <w:tcPr>
            <w:tcW w:w="740" w:type="dxa"/>
            <w:vAlign w:val="bottom"/>
          </w:tcPr>
          <w:p>
            <w:pPr>
              <w:jc w:val="right"/>
              <w:spacing w:after="0"/>
              <w:rPr>
                <w:sz w:val="20"/>
                <w:szCs w:val="20"/>
                <w:color w:val="auto"/>
              </w:rPr>
            </w:pPr>
            <w:r>
              <w:rPr>
                <w:rFonts w:ascii="Arial" w:cs="Arial" w:eastAsia="Arial" w:hAnsi="Arial"/>
                <w:sz w:val="16"/>
                <w:szCs w:val="16"/>
                <w:color w:val="auto"/>
              </w:rPr>
              <w:t>101.INS</w:t>
            </w:r>
          </w:p>
        </w:tc>
        <w:tc>
          <w:tcPr>
            <w:tcW w:w="7020" w:type="dxa"/>
            <w:vAlign w:val="bottom"/>
          </w:tcPr>
          <w:p>
            <w:pPr>
              <w:ind w:left="80"/>
              <w:spacing w:after="0"/>
              <w:rPr>
                <w:sz w:val="20"/>
                <w:szCs w:val="20"/>
                <w:color w:val="auto"/>
              </w:rPr>
            </w:pPr>
            <w:r>
              <w:rPr>
                <w:rFonts w:ascii="Arial" w:cs="Arial" w:eastAsia="Arial" w:hAnsi="Arial"/>
                <w:sz w:val="16"/>
                <w:szCs w:val="16"/>
                <w:color w:val="auto"/>
              </w:rPr>
              <w:t>Inline XBRL Instance Document - the instance document</w:t>
            </w:r>
          </w:p>
        </w:tc>
        <w:tc>
          <w:tcPr>
            <w:tcW w:w="2640" w:type="dxa"/>
            <w:vAlign w:val="bottom"/>
          </w:tcPr>
          <w:p>
            <w:pPr>
              <w:ind w:left="2540"/>
              <w:spacing w:after="0"/>
              <w:rPr>
                <w:sz w:val="20"/>
                <w:szCs w:val="20"/>
                <w:color w:val="auto"/>
              </w:rPr>
            </w:pPr>
            <w:r>
              <w:rPr>
                <w:rFonts w:ascii="Arial" w:cs="Arial" w:eastAsia="Arial" w:hAnsi="Arial"/>
                <w:sz w:val="16"/>
                <w:szCs w:val="16"/>
                <w:color w:val="auto"/>
                <w:w w:val="74"/>
              </w:rPr>
              <w:t>X</w:t>
            </w:r>
          </w:p>
        </w:tc>
      </w:tr>
      <w:tr>
        <w:trPr>
          <w:trHeight w:val="189"/>
        </w:trPr>
        <w:tc>
          <w:tcPr>
            <w:tcW w:w="740" w:type="dxa"/>
            <w:vAlign w:val="bottom"/>
          </w:tcPr>
          <w:p>
            <w:pPr>
              <w:spacing w:after="0"/>
              <w:rPr>
                <w:sz w:val="16"/>
                <w:szCs w:val="16"/>
                <w:color w:val="auto"/>
              </w:rPr>
            </w:pPr>
          </w:p>
        </w:tc>
        <w:tc>
          <w:tcPr>
            <w:tcW w:w="7020" w:type="dxa"/>
            <w:vAlign w:val="bottom"/>
          </w:tcPr>
          <w:p>
            <w:pPr>
              <w:ind w:left="80"/>
              <w:spacing w:after="0"/>
              <w:rPr>
                <w:sz w:val="20"/>
                <w:szCs w:val="20"/>
                <w:color w:val="auto"/>
              </w:rPr>
            </w:pPr>
            <w:r>
              <w:rPr>
                <w:rFonts w:ascii="Arial" w:cs="Arial" w:eastAsia="Arial" w:hAnsi="Arial"/>
                <w:sz w:val="16"/>
                <w:szCs w:val="16"/>
                <w:color w:val="auto"/>
              </w:rPr>
              <w:t>does not appear in the Interactive Data File because its XBRL</w:t>
            </w:r>
          </w:p>
        </w:tc>
        <w:tc>
          <w:tcPr>
            <w:tcW w:w="2640" w:type="dxa"/>
            <w:vAlign w:val="bottom"/>
          </w:tcPr>
          <w:p>
            <w:pPr>
              <w:spacing w:after="0"/>
              <w:rPr>
                <w:sz w:val="16"/>
                <w:szCs w:val="16"/>
                <w:color w:val="auto"/>
              </w:rPr>
            </w:pPr>
          </w:p>
        </w:tc>
      </w:tr>
      <w:tr>
        <w:trPr>
          <w:trHeight w:val="215"/>
        </w:trPr>
        <w:tc>
          <w:tcPr>
            <w:tcW w:w="74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6"/>
                <w:szCs w:val="16"/>
                <w:color w:val="auto"/>
              </w:rPr>
              <w:t>tags are embedded within the Inline XBRL document.</w:t>
            </w:r>
          </w:p>
        </w:tc>
        <w:tc>
          <w:tcPr>
            <w:tcW w:w="2640" w:type="dxa"/>
            <w:vAlign w:val="bottom"/>
          </w:tcPr>
          <w:p>
            <w:pPr>
              <w:spacing w:after="0"/>
              <w:rPr>
                <w:sz w:val="18"/>
                <w:szCs w:val="18"/>
                <w:color w:val="auto"/>
              </w:rPr>
            </w:pPr>
          </w:p>
        </w:tc>
      </w:tr>
      <w:tr>
        <w:trPr>
          <w:trHeight w:val="230"/>
        </w:trPr>
        <w:tc>
          <w:tcPr>
            <w:tcW w:w="740" w:type="dxa"/>
            <w:vAlign w:val="bottom"/>
          </w:tcPr>
          <w:p>
            <w:pPr>
              <w:jc w:val="right"/>
              <w:spacing w:after="0"/>
              <w:rPr>
                <w:sz w:val="20"/>
                <w:szCs w:val="20"/>
                <w:color w:val="auto"/>
              </w:rPr>
            </w:pPr>
            <w:r>
              <w:rPr>
                <w:rFonts w:ascii="Arial" w:cs="Arial" w:eastAsia="Arial" w:hAnsi="Arial"/>
                <w:sz w:val="16"/>
                <w:szCs w:val="16"/>
                <w:color w:val="auto"/>
                <w:w w:val="98"/>
              </w:rPr>
              <w:t>101.SCH</w:t>
            </w:r>
          </w:p>
        </w:tc>
        <w:tc>
          <w:tcPr>
            <w:tcW w:w="7020" w:type="dxa"/>
            <w:vAlign w:val="bottom"/>
          </w:tcPr>
          <w:p>
            <w:pPr>
              <w:ind w:left="80"/>
              <w:spacing w:after="0"/>
              <w:rPr>
                <w:sz w:val="20"/>
                <w:szCs w:val="20"/>
                <w:color w:val="auto"/>
              </w:rPr>
            </w:pPr>
            <w:r>
              <w:rPr>
                <w:rFonts w:ascii="Arial" w:cs="Arial" w:eastAsia="Arial" w:hAnsi="Arial"/>
                <w:sz w:val="16"/>
                <w:szCs w:val="16"/>
                <w:color w:val="auto"/>
              </w:rPr>
              <w:t>Inline XBRL Taxonomy Extension Schema Document.</w:t>
            </w:r>
          </w:p>
        </w:tc>
        <w:tc>
          <w:tcPr>
            <w:tcW w:w="2640" w:type="dxa"/>
            <w:vAlign w:val="bottom"/>
          </w:tcPr>
          <w:p>
            <w:pPr>
              <w:ind w:left="2540"/>
              <w:spacing w:after="0"/>
              <w:rPr>
                <w:sz w:val="20"/>
                <w:szCs w:val="20"/>
                <w:color w:val="auto"/>
              </w:rPr>
            </w:pPr>
            <w:r>
              <w:rPr>
                <w:rFonts w:ascii="Arial" w:cs="Arial" w:eastAsia="Arial" w:hAnsi="Arial"/>
                <w:sz w:val="16"/>
                <w:szCs w:val="16"/>
                <w:color w:val="auto"/>
                <w:w w:val="74"/>
              </w:rPr>
              <w:t>X</w:t>
            </w:r>
          </w:p>
        </w:tc>
      </w:tr>
      <w:tr>
        <w:trPr>
          <w:trHeight w:val="217"/>
        </w:trPr>
        <w:tc>
          <w:tcPr>
            <w:tcW w:w="740" w:type="dxa"/>
            <w:vAlign w:val="bottom"/>
          </w:tcPr>
          <w:p>
            <w:pPr>
              <w:jc w:val="right"/>
              <w:spacing w:after="0"/>
              <w:rPr>
                <w:sz w:val="20"/>
                <w:szCs w:val="20"/>
                <w:color w:val="auto"/>
              </w:rPr>
            </w:pPr>
            <w:r>
              <w:rPr>
                <w:rFonts w:ascii="Arial" w:cs="Arial" w:eastAsia="Arial" w:hAnsi="Arial"/>
                <w:sz w:val="16"/>
                <w:szCs w:val="16"/>
                <w:color w:val="auto"/>
              </w:rPr>
              <w:t>101.CAL</w:t>
            </w:r>
          </w:p>
        </w:tc>
        <w:tc>
          <w:tcPr>
            <w:tcW w:w="7020" w:type="dxa"/>
            <w:vAlign w:val="bottom"/>
          </w:tcPr>
          <w:p>
            <w:pPr>
              <w:ind w:left="80"/>
              <w:spacing w:after="0"/>
              <w:rPr>
                <w:sz w:val="20"/>
                <w:szCs w:val="20"/>
                <w:color w:val="auto"/>
              </w:rPr>
            </w:pPr>
            <w:r>
              <w:rPr>
                <w:rFonts w:ascii="Arial" w:cs="Arial" w:eastAsia="Arial" w:hAnsi="Arial"/>
                <w:sz w:val="16"/>
                <w:szCs w:val="16"/>
                <w:color w:val="auto"/>
              </w:rPr>
              <w:t>Inline XBRL Taxonomy Extension Calculation Linkbase</w:t>
            </w:r>
          </w:p>
        </w:tc>
        <w:tc>
          <w:tcPr>
            <w:tcW w:w="2640" w:type="dxa"/>
            <w:vAlign w:val="bottom"/>
          </w:tcPr>
          <w:p>
            <w:pPr>
              <w:ind w:left="2540"/>
              <w:spacing w:after="0"/>
              <w:rPr>
                <w:sz w:val="20"/>
                <w:szCs w:val="20"/>
                <w:color w:val="auto"/>
              </w:rPr>
            </w:pPr>
            <w:r>
              <w:rPr>
                <w:rFonts w:ascii="Arial" w:cs="Arial" w:eastAsia="Arial" w:hAnsi="Arial"/>
                <w:sz w:val="16"/>
                <w:szCs w:val="16"/>
                <w:color w:val="auto"/>
                <w:w w:val="74"/>
              </w:rPr>
              <w:t>X</w:t>
            </w:r>
          </w:p>
        </w:tc>
      </w:tr>
      <w:tr>
        <w:trPr>
          <w:trHeight w:val="215"/>
        </w:trPr>
        <w:tc>
          <w:tcPr>
            <w:tcW w:w="74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6"/>
                <w:szCs w:val="16"/>
                <w:color w:val="auto"/>
              </w:rPr>
              <w:t>Document.</w:t>
            </w:r>
          </w:p>
        </w:tc>
        <w:tc>
          <w:tcPr>
            <w:tcW w:w="2640" w:type="dxa"/>
            <w:vAlign w:val="bottom"/>
          </w:tcPr>
          <w:p>
            <w:pPr>
              <w:spacing w:after="0"/>
              <w:rPr>
                <w:sz w:val="18"/>
                <w:szCs w:val="18"/>
                <w:color w:val="auto"/>
              </w:rPr>
            </w:pPr>
          </w:p>
        </w:tc>
      </w:tr>
      <w:tr>
        <w:trPr>
          <w:trHeight w:val="217"/>
        </w:trPr>
        <w:tc>
          <w:tcPr>
            <w:tcW w:w="740" w:type="dxa"/>
            <w:vAlign w:val="bottom"/>
          </w:tcPr>
          <w:p>
            <w:pPr>
              <w:jc w:val="right"/>
              <w:spacing w:after="0"/>
              <w:rPr>
                <w:sz w:val="20"/>
                <w:szCs w:val="20"/>
                <w:color w:val="auto"/>
              </w:rPr>
            </w:pPr>
            <w:r>
              <w:rPr>
                <w:rFonts w:ascii="Arial" w:cs="Arial" w:eastAsia="Arial" w:hAnsi="Arial"/>
                <w:sz w:val="16"/>
                <w:szCs w:val="16"/>
                <w:color w:val="auto"/>
              </w:rPr>
              <w:t>101.DEF</w:t>
            </w:r>
          </w:p>
        </w:tc>
        <w:tc>
          <w:tcPr>
            <w:tcW w:w="7020" w:type="dxa"/>
            <w:vAlign w:val="bottom"/>
          </w:tcPr>
          <w:p>
            <w:pPr>
              <w:ind w:left="80"/>
              <w:spacing w:after="0"/>
              <w:rPr>
                <w:sz w:val="20"/>
                <w:szCs w:val="20"/>
                <w:color w:val="auto"/>
              </w:rPr>
            </w:pPr>
            <w:r>
              <w:rPr>
                <w:rFonts w:ascii="Arial" w:cs="Arial" w:eastAsia="Arial" w:hAnsi="Arial"/>
                <w:sz w:val="16"/>
                <w:szCs w:val="16"/>
                <w:color w:val="auto"/>
              </w:rPr>
              <w:t>Inline XBRL Taxonomy Extension Definition Linkbase</w:t>
            </w:r>
          </w:p>
        </w:tc>
        <w:tc>
          <w:tcPr>
            <w:tcW w:w="2640" w:type="dxa"/>
            <w:vAlign w:val="bottom"/>
          </w:tcPr>
          <w:p>
            <w:pPr>
              <w:ind w:left="2540"/>
              <w:spacing w:after="0"/>
              <w:rPr>
                <w:sz w:val="20"/>
                <w:szCs w:val="20"/>
                <w:color w:val="auto"/>
              </w:rPr>
            </w:pPr>
            <w:r>
              <w:rPr>
                <w:rFonts w:ascii="Arial" w:cs="Arial" w:eastAsia="Arial" w:hAnsi="Arial"/>
                <w:sz w:val="16"/>
                <w:szCs w:val="16"/>
                <w:color w:val="auto"/>
                <w:w w:val="74"/>
              </w:rPr>
              <w:t>X</w:t>
            </w:r>
          </w:p>
        </w:tc>
      </w:tr>
      <w:tr>
        <w:trPr>
          <w:trHeight w:val="215"/>
        </w:trPr>
        <w:tc>
          <w:tcPr>
            <w:tcW w:w="74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6"/>
                <w:szCs w:val="16"/>
                <w:color w:val="auto"/>
              </w:rPr>
              <w:t>Document.</w:t>
            </w:r>
          </w:p>
        </w:tc>
        <w:tc>
          <w:tcPr>
            <w:tcW w:w="2640" w:type="dxa"/>
            <w:vAlign w:val="bottom"/>
          </w:tcPr>
          <w:p>
            <w:pPr>
              <w:spacing w:after="0"/>
              <w:rPr>
                <w:sz w:val="18"/>
                <w:szCs w:val="18"/>
                <w:color w:val="auto"/>
              </w:rPr>
            </w:pPr>
          </w:p>
        </w:tc>
      </w:tr>
      <w:tr>
        <w:trPr>
          <w:trHeight w:val="243"/>
        </w:trPr>
        <w:tc>
          <w:tcPr>
            <w:tcW w:w="740" w:type="dxa"/>
            <w:vAlign w:val="bottom"/>
          </w:tcPr>
          <w:p>
            <w:pPr>
              <w:jc w:val="right"/>
              <w:spacing w:after="0"/>
              <w:rPr>
                <w:sz w:val="20"/>
                <w:szCs w:val="20"/>
                <w:color w:val="auto"/>
              </w:rPr>
            </w:pPr>
            <w:r>
              <w:rPr>
                <w:rFonts w:ascii="Arial" w:cs="Arial" w:eastAsia="Arial" w:hAnsi="Arial"/>
                <w:sz w:val="16"/>
                <w:szCs w:val="16"/>
                <w:color w:val="auto"/>
              </w:rPr>
              <w:t>101.LAB</w:t>
            </w:r>
          </w:p>
        </w:tc>
        <w:tc>
          <w:tcPr>
            <w:tcW w:w="7020" w:type="dxa"/>
            <w:vAlign w:val="bottom"/>
          </w:tcPr>
          <w:p>
            <w:pPr>
              <w:ind w:left="80"/>
              <w:spacing w:after="0"/>
              <w:rPr>
                <w:sz w:val="20"/>
                <w:szCs w:val="20"/>
                <w:color w:val="auto"/>
              </w:rPr>
            </w:pPr>
            <w:r>
              <w:rPr>
                <w:rFonts w:ascii="Arial" w:cs="Arial" w:eastAsia="Arial" w:hAnsi="Arial"/>
                <w:sz w:val="16"/>
                <w:szCs w:val="16"/>
                <w:color w:val="auto"/>
              </w:rPr>
              <w:t>Inline XBRL Taxonomy Extension Label Linkbase Document.</w:t>
            </w:r>
          </w:p>
        </w:tc>
        <w:tc>
          <w:tcPr>
            <w:tcW w:w="2640" w:type="dxa"/>
            <w:vAlign w:val="bottom"/>
          </w:tcPr>
          <w:p>
            <w:pPr>
              <w:ind w:left="2540"/>
              <w:spacing w:after="0"/>
              <w:rPr>
                <w:sz w:val="20"/>
                <w:szCs w:val="20"/>
                <w:color w:val="auto"/>
              </w:rPr>
            </w:pPr>
            <w:r>
              <w:rPr>
                <w:rFonts w:ascii="Arial" w:cs="Arial" w:eastAsia="Arial" w:hAnsi="Arial"/>
                <w:sz w:val="16"/>
                <w:szCs w:val="16"/>
                <w:color w:val="auto"/>
                <w:w w:val="74"/>
              </w:rPr>
              <w:t>X</w:t>
            </w:r>
          </w:p>
        </w:tc>
      </w:tr>
      <w:tr>
        <w:trPr>
          <w:trHeight w:val="217"/>
        </w:trPr>
        <w:tc>
          <w:tcPr>
            <w:tcW w:w="740" w:type="dxa"/>
            <w:vAlign w:val="bottom"/>
          </w:tcPr>
          <w:p>
            <w:pPr>
              <w:jc w:val="right"/>
              <w:spacing w:after="0"/>
              <w:rPr>
                <w:sz w:val="20"/>
                <w:szCs w:val="20"/>
                <w:color w:val="auto"/>
              </w:rPr>
            </w:pPr>
            <w:r>
              <w:rPr>
                <w:rFonts w:ascii="Arial" w:cs="Arial" w:eastAsia="Arial" w:hAnsi="Arial"/>
                <w:sz w:val="16"/>
                <w:szCs w:val="16"/>
                <w:color w:val="auto"/>
                <w:w w:val="99"/>
              </w:rPr>
              <w:t>101.PRE</w:t>
            </w:r>
          </w:p>
        </w:tc>
        <w:tc>
          <w:tcPr>
            <w:tcW w:w="7020" w:type="dxa"/>
            <w:vAlign w:val="bottom"/>
          </w:tcPr>
          <w:p>
            <w:pPr>
              <w:ind w:left="80"/>
              <w:spacing w:after="0"/>
              <w:rPr>
                <w:sz w:val="20"/>
                <w:szCs w:val="20"/>
                <w:color w:val="auto"/>
              </w:rPr>
            </w:pPr>
            <w:r>
              <w:rPr>
                <w:rFonts w:ascii="Arial" w:cs="Arial" w:eastAsia="Arial" w:hAnsi="Arial"/>
                <w:sz w:val="16"/>
                <w:szCs w:val="16"/>
                <w:color w:val="auto"/>
              </w:rPr>
              <w:t>Inline XBRL Taxonomy Extension Presentation Linkbase</w:t>
            </w:r>
          </w:p>
        </w:tc>
        <w:tc>
          <w:tcPr>
            <w:tcW w:w="2640" w:type="dxa"/>
            <w:vAlign w:val="bottom"/>
          </w:tcPr>
          <w:p>
            <w:pPr>
              <w:ind w:left="2540"/>
              <w:spacing w:after="0"/>
              <w:rPr>
                <w:sz w:val="20"/>
                <w:szCs w:val="20"/>
                <w:color w:val="auto"/>
              </w:rPr>
            </w:pPr>
            <w:r>
              <w:rPr>
                <w:rFonts w:ascii="Arial" w:cs="Arial" w:eastAsia="Arial" w:hAnsi="Arial"/>
                <w:sz w:val="16"/>
                <w:szCs w:val="16"/>
                <w:color w:val="auto"/>
                <w:w w:val="74"/>
              </w:rPr>
              <w:t>X</w:t>
            </w:r>
          </w:p>
        </w:tc>
      </w:tr>
      <w:tr>
        <w:trPr>
          <w:trHeight w:val="215"/>
        </w:trPr>
        <w:tc>
          <w:tcPr>
            <w:tcW w:w="74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6"/>
                <w:szCs w:val="16"/>
                <w:color w:val="auto"/>
              </w:rPr>
              <w:t>Document.</w:t>
            </w:r>
          </w:p>
        </w:tc>
        <w:tc>
          <w:tcPr>
            <w:tcW w:w="2640" w:type="dxa"/>
            <w:vAlign w:val="bottom"/>
          </w:tcPr>
          <w:p>
            <w:pPr>
              <w:spacing w:after="0"/>
              <w:rPr>
                <w:sz w:val="18"/>
                <w:szCs w:val="18"/>
                <w:color w:val="auto"/>
              </w:rPr>
            </w:pPr>
          </w:p>
        </w:tc>
      </w:tr>
      <w:tr>
        <w:trPr>
          <w:trHeight w:val="217"/>
        </w:trPr>
        <w:tc>
          <w:tcPr>
            <w:tcW w:w="740" w:type="dxa"/>
            <w:vAlign w:val="bottom"/>
          </w:tcPr>
          <w:p>
            <w:pPr>
              <w:jc w:val="right"/>
              <w:spacing w:after="0"/>
              <w:rPr>
                <w:sz w:val="20"/>
                <w:szCs w:val="20"/>
                <w:color w:val="auto"/>
              </w:rPr>
            </w:pPr>
            <w:r>
              <w:rPr>
                <w:rFonts w:ascii="Arial" w:cs="Arial" w:eastAsia="Arial" w:hAnsi="Arial"/>
                <w:sz w:val="16"/>
                <w:szCs w:val="16"/>
                <w:color w:val="auto"/>
              </w:rPr>
              <w:t>104</w:t>
            </w:r>
          </w:p>
        </w:tc>
        <w:tc>
          <w:tcPr>
            <w:tcW w:w="7020" w:type="dxa"/>
            <w:vAlign w:val="bottom"/>
          </w:tcPr>
          <w:p>
            <w:pPr>
              <w:ind w:left="80"/>
              <w:spacing w:after="0"/>
              <w:rPr>
                <w:sz w:val="20"/>
                <w:szCs w:val="20"/>
                <w:color w:val="auto"/>
              </w:rPr>
            </w:pPr>
            <w:r>
              <w:rPr>
                <w:rFonts w:ascii="Arial" w:cs="Arial" w:eastAsia="Arial" w:hAnsi="Arial"/>
                <w:sz w:val="16"/>
                <w:szCs w:val="16"/>
                <w:color w:val="auto"/>
              </w:rPr>
              <w:t>Cover Page Interactive Data File (formatted in iXBRL and</w:t>
            </w:r>
          </w:p>
        </w:tc>
        <w:tc>
          <w:tcPr>
            <w:tcW w:w="2640" w:type="dxa"/>
            <w:vAlign w:val="bottom"/>
          </w:tcPr>
          <w:p>
            <w:pPr>
              <w:ind w:left="2540"/>
              <w:spacing w:after="0"/>
              <w:rPr>
                <w:sz w:val="20"/>
                <w:szCs w:val="20"/>
                <w:color w:val="auto"/>
              </w:rPr>
            </w:pPr>
            <w:r>
              <w:rPr>
                <w:rFonts w:ascii="Arial" w:cs="Arial" w:eastAsia="Arial" w:hAnsi="Arial"/>
                <w:sz w:val="16"/>
                <w:szCs w:val="16"/>
                <w:color w:val="auto"/>
                <w:w w:val="74"/>
              </w:rPr>
              <w:t>X</w:t>
            </w:r>
          </w:p>
        </w:tc>
      </w:tr>
      <w:tr>
        <w:trPr>
          <w:trHeight w:val="215"/>
        </w:trPr>
        <w:tc>
          <w:tcPr>
            <w:tcW w:w="740" w:type="dxa"/>
            <w:vAlign w:val="bottom"/>
          </w:tcPr>
          <w:p>
            <w:pPr>
              <w:spacing w:after="0"/>
              <w:rPr>
                <w:sz w:val="18"/>
                <w:szCs w:val="18"/>
                <w:color w:val="auto"/>
              </w:rPr>
            </w:pPr>
          </w:p>
        </w:tc>
        <w:tc>
          <w:tcPr>
            <w:tcW w:w="7020" w:type="dxa"/>
            <w:vAlign w:val="bottom"/>
          </w:tcPr>
          <w:p>
            <w:pPr>
              <w:ind w:left="80"/>
              <w:spacing w:after="0"/>
              <w:rPr>
                <w:sz w:val="20"/>
                <w:szCs w:val="20"/>
                <w:color w:val="auto"/>
              </w:rPr>
            </w:pPr>
            <w:r>
              <w:rPr>
                <w:rFonts w:ascii="Arial" w:cs="Arial" w:eastAsia="Arial" w:hAnsi="Arial"/>
                <w:sz w:val="16"/>
                <w:szCs w:val="16"/>
                <w:color w:val="auto"/>
              </w:rPr>
              <w:t>contained in Exhibit 101).</w:t>
            </w:r>
          </w:p>
        </w:tc>
        <w:tc>
          <w:tcPr>
            <w:tcW w:w="2640" w:type="dxa"/>
            <w:vAlign w:val="bottom"/>
          </w:tcPr>
          <w:p>
            <w:pPr>
              <w:spacing w:after="0"/>
              <w:rPr>
                <w:sz w:val="18"/>
                <w:szCs w:val="18"/>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X Filed herewith.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XX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611" w:right="619" w:bottom="1440" w:gutter="0" w:footer="0" w:header="0"/>
          <w:type w:val="continuous"/>
        </w:sectPr>
      </w:pPr>
    </w:p>
    <w:bookmarkStart w:id="47" w:name="page48"/>
    <w:bookmarkEnd w:id="47"/>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6"/>
          <w:szCs w:val="16"/>
          <w:color w:val="auto"/>
        </w:rPr>
        <w:t>Date: May 10, 2022</w:t>
      </w:r>
      <w:r>
        <w:rPr>
          <w:sz w:val="20"/>
          <w:szCs w:val="20"/>
          <w:color w:val="auto"/>
        </w:rPr>
        <w:tab/>
      </w:r>
      <w:r>
        <w:rPr>
          <w:rFonts w:ascii="Arial" w:cs="Arial" w:eastAsia="Arial" w:hAnsi="Arial"/>
          <w:sz w:val="16"/>
          <w:szCs w:val="16"/>
          <w:color w:val="auto"/>
        </w:rPr>
        <w:t>By:</w:t>
        <w:tab/>
        <w:t>/s/ Barry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38100</wp:posOffset>
            </wp:positionV>
            <wp:extent cx="25374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5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Barry McCarthy</w:t>
      </w:r>
    </w:p>
    <w:p>
      <w:pPr>
        <w:spacing w:after="0" w:line="2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6"/>
          <w:szCs w:val="16"/>
          <w:color w:val="auto"/>
        </w:rPr>
        <w:t>By:</w:t>
        <w:tab/>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38100</wp:posOffset>
            </wp:positionV>
            <wp:extent cx="25374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Jill Woodworth</w:t>
      </w:r>
    </w:p>
    <w:p>
      <w:pPr>
        <w:spacing w:after="0" w:line="2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20"/>
          </w:cols>
          <w:pgMar w:left="320" w:top="611" w:right="359" w:bottom="1440" w:gutter="0" w:footer="0" w:header="0"/>
        </w:sectPr>
      </w:pPr>
    </w:p>
    <w:bookmarkStart w:id="48" w:name="page49"/>
    <w:bookmarkEnd w:id="48"/>
    <w:p>
      <w:pPr>
        <w:jc w:val="center"/>
        <w:spacing w:after="0" w:line="264" w:lineRule="auto"/>
        <w:rPr>
          <w:sz w:val="20"/>
          <w:szCs w:val="20"/>
          <w:color w:val="auto"/>
        </w:rPr>
      </w:pPr>
      <w:r>
        <w:rPr>
          <w:rFonts w:ascii="Arial" w:cs="Arial" w:eastAsia="Arial" w:hAnsi="Arial"/>
          <w:sz w:val="22"/>
          <w:szCs w:val="22"/>
          <w:b w:val="1"/>
          <w:bCs w:val="1"/>
          <w:color w:val="auto"/>
        </w:rPr>
        <w:t>CERTIFICATION OF PRINCIPAL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 Barry McCarthy, certify that:</w:t>
      </w:r>
    </w:p>
    <w:p>
      <w:pPr>
        <w:spacing w:after="0" w:line="248"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60" w:hanging="328"/>
        <w:spacing w:after="0" w:line="270"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May 10, 2022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 Barry McCarthy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Barry McCarthy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49" w:name="page50"/>
    <w:bookmarkEnd w:id="49"/>
    <w:p>
      <w:pPr>
        <w:jc w:val="center"/>
        <w:spacing w:after="0" w:line="264" w:lineRule="auto"/>
        <w:rPr>
          <w:sz w:val="20"/>
          <w:szCs w:val="20"/>
          <w:color w:val="auto"/>
        </w:rPr>
      </w:pPr>
      <w:r>
        <w:rPr>
          <w:rFonts w:ascii="Arial" w:cs="Arial" w:eastAsia="Arial" w:hAnsi="Arial"/>
          <w:sz w:val="22"/>
          <w:szCs w:val="22"/>
          <w:b w:val="1"/>
          <w:bCs w:val="1"/>
          <w:color w:val="auto"/>
        </w:rPr>
        <w:t>CERTIFICATION OF PRINCIPAL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 Jill Woodworth, certify that:</w:t>
      </w:r>
    </w:p>
    <w:p>
      <w:pPr>
        <w:spacing w:after="0" w:line="248"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60" w:hanging="328"/>
        <w:spacing w:after="0" w:line="270"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May 10, 2022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2"/>
          <w:szCs w:val="22"/>
          <w:b w:val="1"/>
          <w:bCs w:val="1"/>
          <w:color w:val="auto"/>
        </w:rPr>
        <w:t>CERTIFICATION OF PRINCIPAL EXECUTIVE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Barry McCarthy, Chief Executive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March 31, 2022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May 10,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Barry McCarthy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Barry McCarthy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color w:val="auto"/>
        </w:rPr>
        <w:t>CERTIFICATION OF PRINCIPAL FINANCIAL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 Jill Woodworth, Chief Financial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March 31, 2022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May 10,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66" Type="http://schemas.openxmlformats.org/officeDocument/2006/relationships/hyperlink" Target="https://www.sec.gov/ix?doc=/Archives/edgar/data/1639825/000163982522000013/pton-20211231.htm#i9b9705227eb9403f879cebf3669094a4_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2022-05-10T08:39:57Z</dcterms:created>
  <dcterms:modified xsi:type="dcterms:W3CDTF">2022-05-10T08:39:57Z</dcterms:modified>
</cp:coreProperties>
</file>