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0"/>
          <w:szCs w:val="10"/>
          <w:b w:val="1"/>
          <w:bCs w:val="1"/>
          <w:u w:val="single" w:color="auto"/>
          <w:color w:val="0000EE"/>
        </w:rPr>
      </w:pPr>
      <w:hyperlink w:anchor="page5">
        <w:r>
          <w:rPr>
            <w:rFonts w:ascii="Arial" w:cs="Arial" w:eastAsia="Arial" w:hAnsi="Arial"/>
            <w:sz w:val="10"/>
            <w:szCs w:val="10"/>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1322070</wp:posOffset>
            </wp:positionH>
            <wp:positionV relativeFrom="paragraph">
              <wp:posOffset>151130</wp:posOffset>
            </wp:positionV>
            <wp:extent cx="4530090" cy="59023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530090" cy="5902325"/>
                    </a:xfrm>
                    <a:prstGeom prst="rect">
                      <a:avLst/>
                    </a:prstGeom>
                    <a:noFill/>
                  </pic:spPr>
                </pic:pic>
              </a:graphicData>
            </a:graphic>
          </wp:anchor>
        </w:drawing>
      </w:r>
    </w:p>
    <w:p>
      <w:pPr>
        <w:sectPr>
          <w:pgSz w:w="11900" w:h="16838" w:orient="portrait"/>
          <w:cols w:equalWidth="0" w:num="1">
            <w:col w:w="10239"/>
          </w:cols>
          <w:pgMar w:left="220" w:top="201" w:right="1440" w:bottom="1440" w:gutter="0" w:footer="0" w:header="0"/>
        </w:sectPr>
      </w:pPr>
    </w:p>
    <w:bookmarkStart w:id="1" w:name="page2"/>
    <w:bookmarkEnd w:id="1"/>
    <w:p>
      <w:pPr>
        <w:spacing w:after="0"/>
        <w:rPr>
          <w:rFonts w:ascii="Arial" w:cs="Arial" w:eastAsia="Arial" w:hAnsi="Arial"/>
          <w:sz w:val="10"/>
          <w:szCs w:val="10"/>
          <w:b w:val="1"/>
          <w:bCs w:val="1"/>
          <w:u w:val="single" w:color="auto"/>
          <w:color w:val="0000EE"/>
        </w:rPr>
      </w:pPr>
      <w:r>
        <w:rPr>
          <w:rFonts w:ascii="Arial" w:cs="Arial" w:eastAsia="Arial" w:hAnsi="Arial"/>
          <w:sz w:val="10"/>
          <w:szCs w:val="10"/>
          <w:b w:val="1"/>
          <w:bCs w:val="1"/>
          <w:u w:val="single" w:color="auto"/>
          <w:color w:val="0000EE"/>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hyperlink w:anchor="page5">
        <w:r>
          <w:rPr>
            <w:rFonts w:ascii="Arial" w:cs="Arial" w:eastAsia="Arial" w:hAnsi="Arial"/>
            <w:sz w:val="10"/>
            <w:szCs w:val="10"/>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246380</wp:posOffset>
            </wp:positionH>
            <wp:positionV relativeFrom="paragraph">
              <wp:posOffset>151130</wp:posOffset>
            </wp:positionV>
            <wp:extent cx="6794500" cy="463867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794500" cy="4638675"/>
                    </a:xfrm>
                    <a:prstGeom prst="rect">
                      <a:avLst/>
                    </a:prstGeom>
                    <a:noFill/>
                  </pic:spPr>
                </pic:pic>
              </a:graphicData>
            </a:graphic>
          </wp:anchor>
        </w:drawing>
      </w:r>
    </w:p>
    <w:p>
      <w:pPr>
        <w:sectPr>
          <w:pgSz w:w="11900" w:h="16838" w:orient="portrait"/>
          <w:cols w:equalWidth="0" w:num="1">
            <w:col w:w="10239"/>
          </w:cols>
          <w:pgMar w:left="220" w:top="354" w:right="1440" w:bottom="1440" w:gutter="0" w:footer="0" w:header="0"/>
        </w:sectPr>
      </w:pPr>
    </w:p>
    <w:bookmarkStart w:id="2" w:name="page3"/>
    <w:bookmarkEnd w:id="2"/>
    <w:p>
      <w:pPr>
        <w:spacing w:after="0"/>
        <w:rPr>
          <w:rFonts w:ascii="Arial" w:cs="Arial" w:eastAsia="Arial" w:hAnsi="Arial"/>
          <w:sz w:val="10"/>
          <w:szCs w:val="10"/>
          <w:b w:val="1"/>
          <w:bCs w:val="1"/>
          <w:u w:val="single" w:color="auto"/>
          <w:color w:val="0000EE"/>
        </w:rPr>
      </w:pPr>
      <w:r>
        <w:rPr>
          <w:rFonts w:ascii="Arial" w:cs="Arial" w:eastAsia="Arial" w:hAnsi="Arial"/>
          <w:sz w:val="10"/>
          <w:szCs w:val="10"/>
          <w:b w:val="1"/>
          <w:bCs w:val="1"/>
          <w:u w:val="single" w:color="auto"/>
          <w:color w:val="0000EE"/>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hyperlink w:anchor="page5">
        <w:r>
          <w:rPr>
            <w:rFonts w:ascii="Arial" w:cs="Arial" w:eastAsia="Arial" w:hAnsi="Arial"/>
            <w:sz w:val="10"/>
            <w:szCs w:val="10"/>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151130</wp:posOffset>
            </wp:positionV>
            <wp:extent cx="7332980" cy="29514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332980" cy="2951480"/>
                    </a:xfrm>
                    <a:prstGeom prst="rect">
                      <a:avLst/>
                    </a:prstGeom>
                    <a:noFill/>
                  </pic:spPr>
                </pic:pic>
              </a:graphicData>
            </a:graphic>
          </wp:anchor>
        </w:drawing>
      </w:r>
    </w:p>
    <w:p>
      <w:pPr>
        <w:sectPr>
          <w:pgSz w:w="11900" w:h="16838" w:orient="portrait"/>
          <w:cols w:equalWidth="0" w:num="1">
            <w:col w:w="10239"/>
          </w:cols>
          <w:pgMar w:left="220" w:top="354" w:right="1440" w:bottom="1440" w:gutter="0" w:footer="0" w:header="0"/>
        </w:sectPr>
      </w:pPr>
    </w:p>
    <w:bookmarkStart w:id="3" w:name="page4"/>
    <w:bookmarkEnd w:id="3"/>
    <w:p>
      <w:pPr>
        <w:spacing w:after="0"/>
        <w:rPr>
          <w:rFonts w:ascii="Arial" w:cs="Arial" w:eastAsia="Arial" w:hAnsi="Arial"/>
          <w:sz w:val="10"/>
          <w:szCs w:val="10"/>
          <w:b w:val="1"/>
          <w:bCs w:val="1"/>
          <w:u w:val="single" w:color="auto"/>
          <w:color w:val="0000EE"/>
        </w:rPr>
      </w:pPr>
      <w:r>
        <w:rPr>
          <w:rFonts w:ascii="Arial" w:cs="Arial" w:eastAsia="Arial" w:hAnsi="Arial"/>
          <w:sz w:val="10"/>
          <w:szCs w:val="10"/>
          <w:b w:val="1"/>
          <w:bCs w:val="1"/>
          <w:u w:val="single" w:color="auto"/>
          <w:color w:val="0000EE"/>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hyperlink w:anchor="page5">
        <w:r>
          <w:rPr>
            <w:rFonts w:ascii="Arial" w:cs="Arial" w:eastAsia="Arial" w:hAnsi="Arial"/>
            <w:sz w:val="10"/>
            <w:szCs w:val="10"/>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1379220</wp:posOffset>
            </wp:positionH>
            <wp:positionV relativeFrom="paragraph">
              <wp:posOffset>151130</wp:posOffset>
            </wp:positionV>
            <wp:extent cx="4530090" cy="590232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4530090" cy="5902325"/>
                    </a:xfrm>
                    <a:prstGeom prst="rect">
                      <a:avLst/>
                    </a:prstGeom>
                    <a:noFill/>
                  </pic:spPr>
                </pic:pic>
              </a:graphicData>
            </a:graphic>
          </wp:anchor>
        </w:drawing>
      </w:r>
    </w:p>
    <w:p>
      <w:pPr>
        <w:sectPr>
          <w:pgSz w:w="11900" w:h="16838" w:orient="portrait"/>
          <w:cols w:equalWidth="0" w:num="1">
            <w:col w:w="10239"/>
          </w:cols>
          <w:pgMar w:left="220" w:top="354" w:right="1440" w:bottom="1440" w:gutter="0" w:footer="0" w:header="0"/>
        </w:sectPr>
      </w:pPr>
    </w:p>
    <w:bookmarkStart w:id="4" w:name="page5"/>
    <w:bookmarkEnd w:id="4"/>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hyperlink w:anchor="page5">
        <w:r>
          <w:rPr>
            <w:rFonts w:ascii="Arial" w:cs="Arial" w:eastAsia="Arial" w:hAnsi="Arial"/>
            <w:sz w:val="12"/>
            <w:szCs w:val="12"/>
            <w:b w:val="1"/>
            <w:bCs w:val="1"/>
            <w:u w:val="single" w:color="auto"/>
            <w:color w:val="0000EE"/>
          </w:rPr>
          <w:t>Table of Contents</w:t>
        </w:r>
      </w:hyperlink>
    </w:p>
    <w:p>
      <w:pPr>
        <w:spacing w:after="0" w:line="200" w:lineRule="exact"/>
        <w:rPr>
          <w:sz w:val="20"/>
          <w:szCs w:val="20"/>
          <w:color w:val="auto"/>
        </w:rPr>
      </w:pPr>
    </w:p>
    <w:tbl>
      <w:tblPr>
        <w:tblLayout w:type="fixed"/>
        <w:tblInd w:w="2060" w:type="dxa"/>
        <w:tblCellMar>
          <w:top w:w="0" w:type="dxa"/>
          <w:left w:w="0" w:type="dxa"/>
          <w:bottom w:w="0" w:type="dxa"/>
          <w:right w:w="0" w:type="dxa"/>
        </w:tblCellMar>
      </w:tblPr>
      <w:tr>
        <w:trPr>
          <w:trHeight w:val="159"/>
        </w:trPr>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380" w:type="dxa"/>
            <w:vAlign w:val="bottom"/>
            <w:gridSpan w:val="4"/>
          </w:tcPr>
          <w:p>
            <w:pPr>
              <w:ind w:left="480"/>
              <w:spacing w:after="0"/>
              <w:rPr>
                <w:sz w:val="20"/>
                <w:szCs w:val="20"/>
                <w:color w:val="auto"/>
              </w:rPr>
            </w:pPr>
            <w:r>
              <w:rPr>
                <w:rFonts w:ascii="Arial" w:cs="Arial" w:eastAsia="Arial" w:hAnsi="Arial"/>
                <w:sz w:val="12"/>
                <w:szCs w:val="12"/>
                <w:b w:val="1"/>
                <w:bCs w:val="1"/>
                <w:color w:val="auto"/>
              </w:rPr>
              <w:t>TABLE OF CONTENTS</w:t>
            </w:r>
          </w:p>
        </w:tc>
        <w:tc>
          <w:tcPr>
            <w:tcW w:w="1120" w:type="dxa"/>
            <w:vAlign w:val="bottom"/>
          </w:tcPr>
          <w:p>
            <w:pPr>
              <w:spacing w:after="0"/>
              <w:rPr>
                <w:sz w:val="13"/>
                <w:szCs w:val="13"/>
                <w:color w:val="auto"/>
              </w:rPr>
            </w:pPr>
          </w:p>
        </w:tc>
        <w:tc>
          <w:tcPr>
            <w:tcW w:w="260" w:type="dxa"/>
            <w:vAlign w:val="bottom"/>
          </w:tcPr>
          <w:p>
            <w:pPr>
              <w:spacing w:after="0"/>
              <w:rPr>
                <w:sz w:val="13"/>
                <w:szCs w:val="13"/>
                <w:color w:val="auto"/>
              </w:rPr>
            </w:pPr>
          </w:p>
        </w:tc>
      </w:tr>
      <w:tr>
        <w:trPr>
          <w:trHeight w:val="279"/>
        </w:trPr>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380" w:type="dxa"/>
            <w:vAlign w:val="bottom"/>
            <w:gridSpan w:val="2"/>
          </w:tcPr>
          <w:p>
            <w:pPr>
              <w:jc w:val="right"/>
              <w:spacing w:after="0"/>
              <w:rPr>
                <w:sz w:val="20"/>
                <w:szCs w:val="20"/>
                <w:color w:val="auto"/>
              </w:rPr>
            </w:pPr>
            <w:r>
              <w:rPr>
                <w:rFonts w:ascii="Arial" w:cs="Arial" w:eastAsia="Arial" w:hAnsi="Arial"/>
                <w:sz w:val="11"/>
                <w:szCs w:val="11"/>
                <w:b w:val="1"/>
                <w:bCs w:val="1"/>
                <w:color w:val="050505"/>
              </w:rPr>
              <w:t>Page</w:t>
            </w:r>
          </w:p>
        </w:tc>
      </w:tr>
      <w:tr>
        <w:trPr>
          <w:trHeight w:val="106"/>
        </w:trPr>
        <w:tc>
          <w:tcPr>
            <w:tcW w:w="1040" w:type="dxa"/>
            <w:vAlign w:val="bottom"/>
            <w:tcBorders>
              <w:bottom w:val="single" w:sz="8" w:color="0000EE"/>
            </w:tcBorders>
            <w:gridSpan w:val="9"/>
          </w:tcPr>
          <w:p>
            <w:pPr>
              <w:spacing w:after="0" w:line="106" w:lineRule="exact"/>
              <w:rPr>
                <w:rFonts w:ascii="Arial" w:cs="Arial" w:eastAsia="Arial" w:hAnsi="Arial"/>
                <w:sz w:val="11"/>
                <w:szCs w:val="11"/>
                <w:color w:val="0000EE"/>
                <w:w w:val="96"/>
              </w:rPr>
            </w:pPr>
            <w:hyperlink w:anchor="page6">
              <w:r>
                <w:rPr>
                  <w:rFonts w:ascii="Arial" w:cs="Arial" w:eastAsia="Arial" w:hAnsi="Arial"/>
                  <w:sz w:val="11"/>
                  <w:szCs w:val="11"/>
                  <w:color w:val="0000EE"/>
                  <w:w w:val="96"/>
                </w:rPr>
                <w:t>Prospectus Summary</w:t>
              </w:r>
            </w:hyperlink>
          </w:p>
        </w:tc>
        <w:tc>
          <w:tcPr>
            <w:tcW w:w="4900" w:type="dxa"/>
            <w:vAlign w:val="bottom"/>
            <w:gridSpan w:val="12"/>
          </w:tcPr>
          <w:p>
            <w:pPr>
              <w:spacing w:after="0"/>
              <w:rPr>
                <w:sz w:val="9"/>
                <w:szCs w:val="9"/>
                <w:color w:val="auto"/>
              </w:rPr>
            </w:pPr>
          </w:p>
        </w:tc>
        <w:tc>
          <w:tcPr>
            <w:tcW w:w="1120" w:type="dxa"/>
            <w:vAlign w:val="bottom"/>
          </w:tcPr>
          <w:p>
            <w:pPr>
              <w:spacing w:after="0"/>
              <w:rPr>
                <w:sz w:val="9"/>
                <w:szCs w:val="9"/>
                <w:color w:val="auto"/>
              </w:rPr>
            </w:pPr>
          </w:p>
        </w:tc>
        <w:tc>
          <w:tcPr>
            <w:tcW w:w="260" w:type="dxa"/>
            <w:vAlign w:val="bottom"/>
            <w:tcBorders>
              <w:top w:val="single" w:sz="8" w:color="auto"/>
            </w:tcBorders>
          </w:tcPr>
          <w:p>
            <w:pPr>
              <w:jc w:val="right"/>
              <w:spacing w:after="0" w:line="106" w:lineRule="exact"/>
              <w:rPr>
                <w:sz w:val="20"/>
                <w:szCs w:val="20"/>
                <w:color w:val="auto"/>
              </w:rPr>
            </w:pPr>
            <w:r>
              <w:rPr>
                <w:rFonts w:ascii="Arial" w:cs="Arial" w:eastAsia="Arial" w:hAnsi="Arial"/>
                <w:sz w:val="11"/>
                <w:szCs w:val="11"/>
                <w:color w:val="F7323F"/>
              </w:rPr>
              <w:t>1</w:t>
            </w:r>
          </w:p>
        </w:tc>
      </w:tr>
      <w:tr>
        <w:trPr>
          <w:trHeight w:val="124"/>
        </w:trPr>
        <w:tc>
          <w:tcPr>
            <w:tcW w:w="600" w:type="dxa"/>
            <w:vAlign w:val="bottom"/>
            <w:tcBorders>
              <w:bottom w:val="single" w:sz="8" w:color="0000EE"/>
            </w:tcBorders>
            <w:gridSpan w:val="3"/>
          </w:tcPr>
          <w:p>
            <w:pPr>
              <w:spacing w:after="0" w:line="124" w:lineRule="exact"/>
              <w:rPr>
                <w:rFonts w:ascii="Arial" w:cs="Arial" w:eastAsia="Arial" w:hAnsi="Arial"/>
                <w:sz w:val="11"/>
                <w:szCs w:val="11"/>
                <w:color w:val="0000EE"/>
                <w:w w:val="94"/>
              </w:rPr>
            </w:pPr>
            <w:hyperlink w:anchor="page20">
              <w:r>
                <w:rPr>
                  <w:rFonts w:ascii="Arial" w:cs="Arial" w:eastAsia="Arial" w:hAnsi="Arial"/>
                  <w:sz w:val="11"/>
                  <w:szCs w:val="11"/>
                  <w:color w:val="0000EE"/>
                  <w:w w:val="94"/>
                </w:rPr>
                <w:t>Risk Factors</w:t>
              </w:r>
            </w:hyperlink>
          </w:p>
        </w:tc>
        <w:tc>
          <w:tcPr>
            <w:tcW w:w="5340" w:type="dxa"/>
            <w:vAlign w:val="bottom"/>
            <w:gridSpan w:val="18"/>
          </w:tcPr>
          <w:p>
            <w:pPr>
              <w:spacing w:after="0"/>
              <w:rPr>
                <w:sz w:val="10"/>
                <w:szCs w:val="10"/>
                <w:color w:val="auto"/>
              </w:rPr>
            </w:pPr>
          </w:p>
        </w:tc>
        <w:tc>
          <w:tcPr>
            <w:tcW w:w="1380" w:type="dxa"/>
            <w:vAlign w:val="bottom"/>
            <w:gridSpan w:val="2"/>
          </w:tcPr>
          <w:p>
            <w:pPr>
              <w:jc w:val="right"/>
              <w:spacing w:after="0" w:line="124" w:lineRule="exact"/>
              <w:rPr>
                <w:sz w:val="20"/>
                <w:szCs w:val="20"/>
                <w:color w:val="auto"/>
              </w:rPr>
            </w:pPr>
            <w:r>
              <w:rPr>
                <w:rFonts w:ascii="Arial" w:cs="Arial" w:eastAsia="Arial" w:hAnsi="Arial"/>
                <w:sz w:val="11"/>
                <w:szCs w:val="11"/>
                <w:color w:val="F7323F"/>
              </w:rPr>
              <w:t>15</w:t>
            </w:r>
          </w:p>
        </w:tc>
      </w:tr>
      <w:tr>
        <w:trPr>
          <w:trHeight w:val="124"/>
        </w:trPr>
        <w:tc>
          <w:tcPr>
            <w:tcW w:w="2560" w:type="dxa"/>
            <w:vAlign w:val="bottom"/>
            <w:tcBorders>
              <w:bottom w:val="single" w:sz="8" w:color="0000EE"/>
            </w:tcBorders>
            <w:gridSpan w:val="17"/>
          </w:tcPr>
          <w:p>
            <w:pPr>
              <w:spacing w:after="0" w:line="124" w:lineRule="exact"/>
              <w:rPr>
                <w:rFonts w:ascii="Arial" w:cs="Arial" w:eastAsia="Arial" w:hAnsi="Arial"/>
                <w:sz w:val="11"/>
                <w:szCs w:val="11"/>
                <w:color w:val="0000EE"/>
                <w:w w:val="97"/>
              </w:rPr>
            </w:pPr>
            <w:hyperlink w:anchor="page51">
              <w:r>
                <w:rPr>
                  <w:rFonts w:ascii="Arial" w:cs="Arial" w:eastAsia="Arial" w:hAnsi="Arial"/>
                  <w:sz w:val="11"/>
                  <w:szCs w:val="11"/>
                  <w:color w:val="0000EE"/>
                  <w:w w:val="97"/>
                </w:rPr>
                <w:t>Special Note Regarding Forward-Looking Statements</w:t>
              </w:r>
            </w:hyperlink>
          </w:p>
        </w:tc>
        <w:tc>
          <w:tcPr>
            <w:tcW w:w="3380" w:type="dxa"/>
            <w:vAlign w:val="bottom"/>
            <w:gridSpan w:val="4"/>
          </w:tcPr>
          <w:p>
            <w:pPr>
              <w:spacing w:after="0"/>
              <w:rPr>
                <w:sz w:val="10"/>
                <w:szCs w:val="10"/>
                <w:color w:val="auto"/>
              </w:rPr>
            </w:pPr>
          </w:p>
        </w:tc>
        <w:tc>
          <w:tcPr>
            <w:tcW w:w="1380" w:type="dxa"/>
            <w:vAlign w:val="bottom"/>
            <w:gridSpan w:val="2"/>
          </w:tcPr>
          <w:p>
            <w:pPr>
              <w:jc w:val="right"/>
              <w:spacing w:after="0" w:line="124" w:lineRule="exact"/>
              <w:rPr>
                <w:sz w:val="20"/>
                <w:szCs w:val="20"/>
                <w:color w:val="auto"/>
              </w:rPr>
            </w:pPr>
            <w:r>
              <w:rPr>
                <w:rFonts w:ascii="Arial" w:cs="Arial" w:eastAsia="Arial" w:hAnsi="Arial"/>
                <w:sz w:val="11"/>
                <w:szCs w:val="11"/>
                <w:color w:val="F7323F"/>
              </w:rPr>
              <w:t>46</w:t>
            </w:r>
          </w:p>
        </w:tc>
      </w:tr>
      <w:tr>
        <w:trPr>
          <w:trHeight w:val="124"/>
        </w:trPr>
        <w:tc>
          <w:tcPr>
            <w:tcW w:w="1220" w:type="dxa"/>
            <w:vAlign w:val="bottom"/>
            <w:tcBorders>
              <w:bottom w:val="single" w:sz="8" w:color="0000EE"/>
            </w:tcBorders>
            <w:gridSpan w:val="12"/>
          </w:tcPr>
          <w:p>
            <w:pPr>
              <w:spacing w:after="0" w:line="124" w:lineRule="exact"/>
              <w:rPr>
                <w:rFonts w:ascii="Arial" w:cs="Arial" w:eastAsia="Arial" w:hAnsi="Arial"/>
                <w:sz w:val="11"/>
                <w:szCs w:val="11"/>
                <w:color w:val="0000EE"/>
                <w:w w:val="97"/>
              </w:rPr>
            </w:pPr>
            <w:hyperlink w:anchor="page53">
              <w:r>
                <w:rPr>
                  <w:rFonts w:ascii="Arial" w:cs="Arial" w:eastAsia="Arial" w:hAnsi="Arial"/>
                  <w:sz w:val="11"/>
                  <w:szCs w:val="11"/>
                  <w:color w:val="0000EE"/>
                  <w:w w:val="97"/>
                </w:rPr>
                <w:t>Industry and Market Data</w:t>
              </w:r>
            </w:hyperlink>
          </w:p>
        </w:tc>
        <w:tc>
          <w:tcPr>
            <w:tcW w:w="4720" w:type="dxa"/>
            <w:vAlign w:val="bottom"/>
            <w:gridSpan w:val="9"/>
          </w:tcPr>
          <w:p>
            <w:pPr>
              <w:spacing w:after="0"/>
              <w:rPr>
                <w:sz w:val="10"/>
                <w:szCs w:val="10"/>
                <w:color w:val="auto"/>
              </w:rPr>
            </w:pPr>
          </w:p>
        </w:tc>
        <w:tc>
          <w:tcPr>
            <w:tcW w:w="1380" w:type="dxa"/>
            <w:vAlign w:val="bottom"/>
            <w:gridSpan w:val="2"/>
          </w:tcPr>
          <w:p>
            <w:pPr>
              <w:jc w:val="right"/>
              <w:spacing w:after="0" w:line="124" w:lineRule="exact"/>
              <w:rPr>
                <w:sz w:val="20"/>
                <w:szCs w:val="20"/>
                <w:color w:val="auto"/>
              </w:rPr>
            </w:pPr>
            <w:r>
              <w:rPr>
                <w:rFonts w:ascii="Arial" w:cs="Arial" w:eastAsia="Arial" w:hAnsi="Arial"/>
                <w:sz w:val="11"/>
                <w:szCs w:val="11"/>
                <w:color w:val="F7323F"/>
              </w:rPr>
              <w:t>48</w:t>
            </w:r>
          </w:p>
        </w:tc>
      </w:tr>
      <w:tr>
        <w:trPr>
          <w:trHeight w:val="124"/>
        </w:trPr>
        <w:tc>
          <w:tcPr>
            <w:tcW w:w="800" w:type="dxa"/>
            <w:vAlign w:val="bottom"/>
            <w:tcBorders>
              <w:bottom w:val="single" w:sz="8" w:color="0000EE"/>
            </w:tcBorders>
            <w:gridSpan w:val="7"/>
          </w:tcPr>
          <w:p>
            <w:pPr>
              <w:spacing w:after="0" w:line="124" w:lineRule="exact"/>
              <w:rPr>
                <w:rFonts w:ascii="Arial" w:cs="Arial" w:eastAsia="Arial" w:hAnsi="Arial"/>
                <w:sz w:val="11"/>
                <w:szCs w:val="11"/>
                <w:color w:val="0000EE"/>
                <w:w w:val="95"/>
              </w:rPr>
            </w:pPr>
            <w:hyperlink w:anchor="page54">
              <w:r>
                <w:rPr>
                  <w:rFonts w:ascii="Arial" w:cs="Arial" w:eastAsia="Arial" w:hAnsi="Arial"/>
                  <w:sz w:val="11"/>
                  <w:szCs w:val="11"/>
                  <w:color w:val="0000EE"/>
                  <w:w w:val="95"/>
                </w:rPr>
                <w:t>Use of Proceeds</w:t>
              </w:r>
            </w:hyperlink>
          </w:p>
        </w:tc>
        <w:tc>
          <w:tcPr>
            <w:tcW w:w="5140" w:type="dxa"/>
            <w:vAlign w:val="bottom"/>
            <w:gridSpan w:val="14"/>
          </w:tcPr>
          <w:p>
            <w:pPr>
              <w:spacing w:after="0"/>
              <w:rPr>
                <w:sz w:val="10"/>
                <w:szCs w:val="10"/>
                <w:color w:val="auto"/>
              </w:rPr>
            </w:pPr>
          </w:p>
        </w:tc>
        <w:tc>
          <w:tcPr>
            <w:tcW w:w="1380" w:type="dxa"/>
            <w:vAlign w:val="bottom"/>
            <w:gridSpan w:val="2"/>
          </w:tcPr>
          <w:p>
            <w:pPr>
              <w:jc w:val="right"/>
              <w:spacing w:after="0" w:line="124" w:lineRule="exact"/>
              <w:rPr>
                <w:sz w:val="20"/>
                <w:szCs w:val="20"/>
                <w:color w:val="auto"/>
              </w:rPr>
            </w:pPr>
            <w:r>
              <w:rPr>
                <w:rFonts w:ascii="Arial" w:cs="Arial" w:eastAsia="Arial" w:hAnsi="Arial"/>
                <w:sz w:val="11"/>
                <w:szCs w:val="11"/>
                <w:color w:val="F7323F"/>
              </w:rPr>
              <w:t>49</w:t>
            </w:r>
          </w:p>
        </w:tc>
      </w:tr>
      <w:tr>
        <w:trPr>
          <w:trHeight w:val="124"/>
        </w:trPr>
        <w:tc>
          <w:tcPr>
            <w:tcW w:w="740" w:type="dxa"/>
            <w:vAlign w:val="bottom"/>
            <w:tcBorders>
              <w:bottom w:val="single" w:sz="8" w:color="0000EE"/>
            </w:tcBorders>
            <w:gridSpan w:val="6"/>
          </w:tcPr>
          <w:p>
            <w:pPr>
              <w:spacing w:after="0" w:line="124" w:lineRule="exact"/>
              <w:rPr>
                <w:rFonts w:ascii="Arial" w:cs="Arial" w:eastAsia="Arial" w:hAnsi="Arial"/>
                <w:sz w:val="11"/>
                <w:szCs w:val="11"/>
                <w:color w:val="0000EE"/>
                <w:w w:val="95"/>
              </w:rPr>
            </w:pPr>
            <w:hyperlink w:anchor="page54">
              <w:r>
                <w:rPr>
                  <w:rFonts w:ascii="Arial" w:cs="Arial" w:eastAsia="Arial" w:hAnsi="Arial"/>
                  <w:sz w:val="11"/>
                  <w:szCs w:val="11"/>
                  <w:color w:val="0000EE"/>
                  <w:w w:val="95"/>
                </w:rPr>
                <w:t>Dividend Policy</w:t>
              </w:r>
            </w:hyperlink>
          </w:p>
        </w:tc>
        <w:tc>
          <w:tcPr>
            <w:tcW w:w="5200" w:type="dxa"/>
            <w:vAlign w:val="bottom"/>
            <w:gridSpan w:val="15"/>
          </w:tcPr>
          <w:p>
            <w:pPr>
              <w:spacing w:after="0"/>
              <w:rPr>
                <w:sz w:val="10"/>
                <w:szCs w:val="10"/>
                <w:color w:val="auto"/>
              </w:rPr>
            </w:pPr>
          </w:p>
        </w:tc>
        <w:tc>
          <w:tcPr>
            <w:tcW w:w="1380" w:type="dxa"/>
            <w:vAlign w:val="bottom"/>
            <w:gridSpan w:val="2"/>
          </w:tcPr>
          <w:p>
            <w:pPr>
              <w:jc w:val="right"/>
              <w:spacing w:after="0" w:line="124" w:lineRule="exact"/>
              <w:rPr>
                <w:sz w:val="20"/>
                <w:szCs w:val="20"/>
                <w:color w:val="auto"/>
              </w:rPr>
            </w:pPr>
            <w:r>
              <w:rPr>
                <w:rFonts w:ascii="Arial" w:cs="Arial" w:eastAsia="Arial" w:hAnsi="Arial"/>
                <w:sz w:val="11"/>
                <w:szCs w:val="11"/>
                <w:color w:val="F7323F"/>
              </w:rPr>
              <w:t>49</w:t>
            </w:r>
          </w:p>
        </w:tc>
      </w:tr>
      <w:tr>
        <w:trPr>
          <w:trHeight w:val="124"/>
        </w:trPr>
        <w:tc>
          <w:tcPr>
            <w:tcW w:w="660" w:type="dxa"/>
            <w:vAlign w:val="bottom"/>
            <w:tcBorders>
              <w:bottom w:val="single" w:sz="8" w:color="0000EE"/>
            </w:tcBorders>
            <w:gridSpan w:val="5"/>
          </w:tcPr>
          <w:p>
            <w:pPr>
              <w:spacing w:after="0" w:line="124" w:lineRule="exact"/>
              <w:rPr>
                <w:rFonts w:ascii="Arial" w:cs="Arial" w:eastAsia="Arial" w:hAnsi="Arial"/>
                <w:sz w:val="11"/>
                <w:szCs w:val="11"/>
                <w:color w:val="0000EE"/>
                <w:w w:val="96"/>
              </w:rPr>
            </w:pPr>
            <w:hyperlink w:anchor="page55">
              <w:r>
                <w:rPr>
                  <w:rFonts w:ascii="Arial" w:cs="Arial" w:eastAsia="Arial" w:hAnsi="Arial"/>
                  <w:sz w:val="11"/>
                  <w:szCs w:val="11"/>
                  <w:color w:val="0000EE"/>
                  <w:w w:val="96"/>
                </w:rPr>
                <w:t>Capitalization</w:t>
              </w:r>
            </w:hyperlink>
          </w:p>
        </w:tc>
        <w:tc>
          <w:tcPr>
            <w:tcW w:w="5280" w:type="dxa"/>
            <w:vAlign w:val="bottom"/>
            <w:gridSpan w:val="16"/>
          </w:tcPr>
          <w:p>
            <w:pPr>
              <w:spacing w:after="0"/>
              <w:rPr>
                <w:sz w:val="10"/>
                <w:szCs w:val="10"/>
                <w:color w:val="auto"/>
              </w:rPr>
            </w:pPr>
          </w:p>
        </w:tc>
        <w:tc>
          <w:tcPr>
            <w:tcW w:w="1380" w:type="dxa"/>
            <w:vAlign w:val="bottom"/>
            <w:gridSpan w:val="2"/>
          </w:tcPr>
          <w:p>
            <w:pPr>
              <w:jc w:val="right"/>
              <w:spacing w:after="0" w:line="124" w:lineRule="exact"/>
              <w:rPr>
                <w:sz w:val="20"/>
                <w:szCs w:val="20"/>
                <w:color w:val="auto"/>
              </w:rPr>
            </w:pPr>
            <w:r>
              <w:rPr>
                <w:rFonts w:ascii="Arial" w:cs="Arial" w:eastAsia="Arial" w:hAnsi="Arial"/>
                <w:sz w:val="11"/>
                <w:szCs w:val="11"/>
                <w:color w:val="F7323F"/>
              </w:rPr>
              <w:t>50</w:t>
            </w:r>
          </w:p>
        </w:tc>
      </w:tr>
      <w:tr>
        <w:trPr>
          <w:trHeight w:val="124"/>
        </w:trPr>
        <w:tc>
          <w:tcPr>
            <w:tcW w:w="360" w:type="dxa"/>
            <w:vAlign w:val="bottom"/>
            <w:tcBorders>
              <w:bottom w:val="single" w:sz="8" w:color="0000EE"/>
            </w:tcBorders>
          </w:tcPr>
          <w:p>
            <w:pPr>
              <w:spacing w:after="0" w:line="124" w:lineRule="exact"/>
              <w:rPr>
                <w:rFonts w:ascii="Arial" w:cs="Arial" w:eastAsia="Arial" w:hAnsi="Arial"/>
                <w:sz w:val="11"/>
                <w:szCs w:val="11"/>
                <w:color w:val="0000EE"/>
                <w:w w:val="92"/>
              </w:rPr>
            </w:pPr>
            <w:hyperlink w:anchor="page57">
              <w:r>
                <w:rPr>
                  <w:rFonts w:ascii="Arial" w:cs="Arial" w:eastAsia="Arial" w:hAnsi="Arial"/>
                  <w:sz w:val="11"/>
                  <w:szCs w:val="11"/>
                  <w:color w:val="0000EE"/>
                  <w:w w:val="92"/>
                </w:rPr>
                <w:t>Dilution</w:t>
              </w:r>
            </w:hyperlink>
          </w:p>
        </w:tc>
        <w:tc>
          <w:tcPr>
            <w:tcW w:w="5580" w:type="dxa"/>
            <w:vAlign w:val="bottom"/>
            <w:gridSpan w:val="20"/>
          </w:tcPr>
          <w:p>
            <w:pPr>
              <w:spacing w:after="0"/>
              <w:rPr>
                <w:sz w:val="10"/>
                <w:szCs w:val="10"/>
                <w:color w:val="auto"/>
              </w:rPr>
            </w:pPr>
          </w:p>
        </w:tc>
        <w:tc>
          <w:tcPr>
            <w:tcW w:w="1380" w:type="dxa"/>
            <w:vAlign w:val="bottom"/>
            <w:gridSpan w:val="2"/>
          </w:tcPr>
          <w:p>
            <w:pPr>
              <w:jc w:val="right"/>
              <w:spacing w:after="0" w:line="124" w:lineRule="exact"/>
              <w:rPr>
                <w:sz w:val="20"/>
                <w:szCs w:val="20"/>
                <w:color w:val="auto"/>
              </w:rPr>
            </w:pPr>
            <w:r>
              <w:rPr>
                <w:rFonts w:ascii="Arial" w:cs="Arial" w:eastAsia="Arial" w:hAnsi="Arial"/>
                <w:sz w:val="11"/>
                <w:szCs w:val="11"/>
                <w:color w:val="F7323F"/>
              </w:rPr>
              <w:t>52</w:t>
            </w:r>
          </w:p>
        </w:tc>
      </w:tr>
      <w:tr>
        <w:trPr>
          <w:trHeight w:val="124"/>
        </w:trPr>
        <w:tc>
          <w:tcPr>
            <w:tcW w:w="2320" w:type="dxa"/>
            <w:vAlign w:val="bottom"/>
            <w:tcBorders>
              <w:bottom w:val="single" w:sz="8" w:color="0000EE"/>
            </w:tcBorders>
            <w:gridSpan w:val="16"/>
          </w:tcPr>
          <w:p>
            <w:pPr>
              <w:spacing w:after="0" w:line="124" w:lineRule="exact"/>
              <w:rPr>
                <w:rFonts w:ascii="Arial" w:cs="Arial" w:eastAsia="Arial" w:hAnsi="Arial"/>
                <w:sz w:val="11"/>
                <w:szCs w:val="11"/>
                <w:color w:val="0000EE"/>
                <w:w w:val="97"/>
              </w:rPr>
            </w:pPr>
            <w:hyperlink w:anchor="page60">
              <w:r>
                <w:rPr>
                  <w:rFonts w:ascii="Arial" w:cs="Arial" w:eastAsia="Arial" w:hAnsi="Arial"/>
                  <w:sz w:val="11"/>
                  <w:szCs w:val="11"/>
                  <w:color w:val="0000EE"/>
                  <w:w w:val="97"/>
                </w:rPr>
                <w:t>Selected Consolidated Financial and Other Data</w:t>
              </w:r>
            </w:hyperlink>
          </w:p>
        </w:tc>
        <w:tc>
          <w:tcPr>
            <w:tcW w:w="3620" w:type="dxa"/>
            <w:vAlign w:val="bottom"/>
            <w:gridSpan w:val="5"/>
          </w:tcPr>
          <w:p>
            <w:pPr>
              <w:spacing w:after="0"/>
              <w:rPr>
                <w:sz w:val="10"/>
                <w:szCs w:val="10"/>
                <w:color w:val="auto"/>
              </w:rPr>
            </w:pPr>
          </w:p>
        </w:tc>
        <w:tc>
          <w:tcPr>
            <w:tcW w:w="1380" w:type="dxa"/>
            <w:vAlign w:val="bottom"/>
            <w:gridSpan w:val="2"/>
          </w:tcPr>
          <w:p>
            <w:pPr>
              <w:jc w:val="right"/>
              <w:spacing w:after="0" w:line="124" w:lineRule="exact"/>
              <w:rPr>
                <w:sz w:val="20"/>
                <w:szCs w:val="20"/>
                <w:color w:val="auto"/>
              </w:rPr>
            </w:pPr>
            <w:r>
              <w:rPr>
                <w:rFonts w:ascii="Arial" w:cs="Arial" w:eastAsia="Arial" w:hAnsi="Arial"/>
                <w:sz w:val="11"/>
                <w:szCs w:val="11"/>
                <w:color w:val="F7323F"/>
              </w:rPr>
              <w:t>55</w:t>
            </w:r>
          </w:p>
        </w:tc>
      </w:tr>
      <w:tr>
        <w:trPr>
          <w:trHeight w:val="124"/>
        </w:trPr>
        <w:tc>
          <w:tcPr>
            <w:tcW w:w="4260" w:type="dxa"/>
            <w:vAlign w:val="bottom"/>
            <w:tcBorders>
              <w:bottom w:val="single" w:sz="8" w:color="0000EE"/>
            </w:tcBorders>
            <w:gridSpan w:val="19"/>
          </w:tcPr>
          <w:p>
            <w:pPr>
              <w:spacing w:after="0" w:line="124" w:lineRule="exact"/>
              <w:rPr>
                <w:rFonts w:ascii="Arial" w:cs="Arial" w:eastAsia="Arial" w:hAnsi="Arial"/>
                <w:sz w:val="11"/>
                <w:szCs w:val="11"/>
                <w:color w:val="0000EE"/>
                <w:w w:val="97"/>
              </w:rPr>
            </w:pPr>
            <w:hyperlink w:anchor="page66">
              <w:r>
                <w:rPr>
                  <w:rFonts w:ascii="Arial" w:cs="Arial" w:eastAsia="Arial" w:hAnsi="Arial"/>
                  <w:sz w:val="11"/>
                  <w:szCs w:val="11"/>
                  <w:color w:val="0000EE"/>
                  <w:w w:val="97"/>
                </w:rPr>
                <w:t>Management’s Discussion and Analysis of Financial Condition and Results of Operations</w:t>
              </w:r>
            </w:hyperlink>
          </w:p>
        </w:tc>
        <w:tc>
          <w:tcPr>
            <w:tcW w:w="1680" w:type="dxa"/>
            <w:vAlign w:val="bottom"/>
            <w:gridSpan w:val="2"/>
          </w:tcPr>
          <w:p>
            <w:pPr>
              <w:spacing w:after="0"/>
              <w:rPr>
                <w:sz w:val="10"/>
                <w:szCs w:val="10"/>
                <w:color w:val="auto"/>
              </w:rPr>
            </w:pPr>
          </w:p>
        </w:tc>
        <w:tc>
          <w:tcPr>
            <w:tcW w:w="1380" w:type="dxa"/>
            <w:vAlign w:val="bottom"/>
            <w:gridSpan w:val="2"/>
          </w:tcPr>
          <w:p>
            <w:pPr>
              <w:jc w:val="right"/>
              <w:spacing w:after="0" w:line="124" w:lineRule="exact"/>
              <w:rPr>
                <w:sz w:val="20"/>
                <w:szCs w:val="20"/>
                <w:color w:val="auto"/>
              </w:rPr>
            </w:pPr>
            <w:r>
              <w:rPr>
                <w:rFonts w:ascii="Arial" w:cs="Arial" w:eastAsia="Arial" w:hAnsi="Arial"/>
                <w:sz w:val="11"/>
                <w:szCs w:val="11"/>
                <w:color w:val="F7323F"/>
              </w:rPr>
              <w:t>61</w:t>
            </w:r>
          </w:p>
        </w:tc>
      </w:tr>
      <w:tr>
        <w:trPr>
          <w:trHeight w:val="124"/>
        </w:trPr>
        <w:tc>
          <w:tcPr>
            <w:tcW w:w="5940" w:type="dxa"/>
            <w:vAlign w:val="bottom"/>
            <w:gridSpan w:val="21"/>
          </w:tcPr>
          <w:p>
            <w:pPr>
              <w:spacing w:after="0" w:line="124" w:lineRule="exact"/>
              <w:rPr>
                <w:rFonts w:ascii="Arial" w:cs="Arial" w:eastAsia="Arial" w:hAnsi="Arial"/>
                <w:sz w:val="11"/>
                <w:szCs w:val="11"/>
                <w:color w:val="0000EE"/>
              </w:rPr>
            </w:pPr>
            <w:hyperlink w:anchor="page97">
              <w:r>
                <w:rPr>
                  <w:rFonts w:ascii="Arial" w:cs="Arial" w:eastAsia="Arial" w:hAnsi="Arial"/>
                  <w:sz w:val="11"/>
                  <w:szCs w:val="11"/>
                  <w:color w:val="0000EE"/>
                </w:rPr>
                <w:t>Letter from John Foley, Co-Founder and Chief Executive Officer</w:t>
              </w:r>
            </w:hyperlink>
          </w:p>
        </w:tc>
        <w:tc>
          <w:tcPr>
            <w:tcW w:w="1380" w:type="dxa"/>
            <w:vAlign w:val="bottom"/>
            <w:gridSpan w:val="2"/>
          </w:tcPr>
          <w:p>
            <w:pPr>
              <w:jc w:val="right"/>
              <w:spacing w:after="0" w:line="124" w:lineRule="exact"/>
              <w:rPr>
                <w:sz w:val="20"/>
                <w:szCs w:val="20"/>
                <w:color w:val="auto"/>
              </w:rPr>
            </w:pPr>
            <w:r>
              <w:rPr>
                <w:rFonts w:ascii="Arial" w:cs="Arial" w:eastAsia="Arial" w:hAnsi="Arial"/>
                <w:sz w:val="11"/>
                <w:szCs w:val="11"/>
                <w:color w:val="F7323F"/>
              </w:rPr>
              <w:t>92</w:t>
            </w:r>
          </w:p>
        </w:tc>
      </w:tr>
      <w:tr>
        <w:trPr>
          <w:trHeight w:val="124"/>
        </w:trPr>
        <w:tc>
          <w:tcPr>
            <w:tcW w:w="440" w:type="dxa"/>
            <w:vAlign w:val="bottom"/>
            <w:tcBorders>
              <w:top w:val="single" w:sz="8" w:color="0000EE"/>
              <w:bottom w:val="single" w:sz="8" w:color="0000EE"/>
            </w:tcBorders>
            <w:gridSpan w:val="2"/>
          </w:tcPr>
          <w:p>
            <w:pPr>
              <w:spacing w:after="0" w:line="124" w:lineRule="exact"/>
              <w:rPr>
                <w:rFonts w:ascii="Arial" w:cs="Arial" w:eastAsia="Arial" w:hAnsi="Arial"/>
                <w:sz w:val="11"/>
                <w:szCs w:val="11"/>
                <w:color w:val="0000EE"/>
                <w:w w:val="93"/>
              </w:rPr>
            </w:pPr>
            <w:hyperlink w:anchor="page104">
              <w:r>
                <w:rPr>
                  <w:rFonts w:ascii="Arial" w:cs="Arial" w:eastAsia="Arial" w:hAnsi="Arial"/>
                  <w:sz w:val="11"/>
                  <w:szCs w:val="11"/>
                  <w:color w:val="0000EE"/>
                  <w:w w:val="93"/>
                </w:rPr>
                <w:t>Business</w:t>
              </w:r>
            </w:hyperlink>
          </w:p>
        </w:tc>
        <w:tc>
          <w:tcPr>
            <w:tcW w:w="2600" w:type="dxa"/>
            <w:vAlign w:val="bottom"/>
            <w:tcBorders>
              <w:top w:val="single" w:sz="8" w:color="0000EE"/>
            </w:tcBorders>
            <w:gridSpan w:val="16"/>
          </w:tcPr>
          <w:p>
            <w:pPr>
              <w:spacing w:after="0"/>
              <w:rPr>
                <w:sz w:val="10"/>
                <w:szCs w:val="10"/>
                <w:color w:val="auto"/>
              </w:rPr>
            </w:pPr>
          </w:p>
        </w:tc>
        <w:tc>
          <w:tcPr>
            <w:tcW w:w="2900" w:type="dxa"/>
            <w:vAlign w:val="bottom"/>
            <w:gridSpan w:val="3"/>
          </w:tcPr>
          <w:p>
            <w:pPr>
              <w:spacing w:after="0"/>
              <w:rPr>
                <w:sz w:val="10"/>
                <w:szCs w:val="10"/>
                <w:color w:val="auto"/>
              </w:rPr>
            </w:pPr>
          </w:p>
        </w:tc>
        <w:tc>
          <w:tcPr>
            <w:tcW w:w="1380" w:type="dxa"/>
            <w:vAlign w:val="bottom"/>
            <w:gridSpan w:val="2"/>
          </w:tcPr>
          <w:p>
            <w:pPr>
              <w:jc w:val="right"/>
              <w:spacing w:after="0" w:line="124" w:lineRule="exact"/>
              <w:rPr>
                <w:sz w:val="20"/>
                <w:szCs w:val="20"/>
                <w:color w:val="auto"/>
              </w:rPr>
            </w:pPr>
            <w:r>
              <w:rPr>
                <w:rFonts w:ascii="Arial" w:cs="Arial" w:eastAsia="Arial" w:hAnsi="Arial"/>
                <w:sz w:val="11"/>
                <w:szCs w:val="11"/>
                <w:color w:val="F7323F"/>
              </w:rPr>
              <w:t>94</w:t>
            </w:r>
          </w:p>
        </w:tc>
      </w:tr>
      <w:tr>
        <w:trPr>
          <w:trHeight w:val="124"/>
        </w:trPr>
        <w:tc>
          <w:tcPr>
            <w:tcW w:w="640" w:type="dxa"/>
            <w:vAlign w:val="bottom"/>
            <w:tcBorders>
              <w:bottom w:val="single" w:sz="8" w:color="0000EE"/>
            </w:tcBorders>
            <w:gridSpan w:val="4"/>
          </w:tcPr>
          <w:p>
            <w:pPr>
              <w:spacing w:after="0" w:line="124" w:lineRule="exact"/>
              <w:rPr>
                <w:rFonts w:ascii="Arial" w:cs="Arial" w:eastAsia="Arial" w:hAnsi="Arial"/>
                <w:sz w:val="11"/>
                <w:szCs w:val="11"/>
                <w:color w:val="0000EE"/>
                <w:w w:val="96"/>
              </w:rPr>
            </w:pPr>
            <w:hyperlink w:anchor="page123">
              <w:r>
                <w:rPr>
                  <w:rFonts w:ascii="Arial" w:cs="Arial" w:eastAsia="Arial" w:hAnsi="Arial"/>
                  <w:sz w:val="11"/>
                  <w:szCs w:val="11"/>
                  <w:color w:val="0000EE"/>
                  <w:w w:val="96"/>
                </w:rPr>
                <w:t>Management</w:t>
              </w:r>
            </w:hyperlink>
          </w:p>
        </w:tc>
        <w:tc>
          <w:tcPr>
            <w:tcW w:w="5300" w:type="dxa"/>
            <w:vAlign w:val="bottom"/>
            <w:gridSpan w:val="17"/>
          </w:tcPr>
          <w:p>
            <w:pPr>
              <w:spacing w:after="0"/>
              <w:rPr>
                <w:sz w:val="10"/>
                <w:szCs w:val="10"/>
                <w:color w:val="auto"/>
              </w:rPr>
            </w:pPr>
          </w:p>
        </w:tc>
        <w:tc>
          <w:tcPr>
            <w:tcW w:w="1380" w:type="dxa"/>
            <w:vAlign w:val="bottom"/>
            <w:gridSpan w:val="2"/>
          </w:tcPr>
          <w:p>
            <w:pPr>
              <w:jc w:val="right"/>
              <w:spacing w:after="0" w:line="124" w:lineRule="exact"/>
              <w:rPr>
                <w:sz w:val="20"/>
                <w:szCs w:val="20"/>
                <w:color w:val="auto"/>
              </w:rPr>
            </w:pPr>
            <w:r>
              <w:rPr>
                <w:rFonts w:ascii="Arial" w:cs="Arial" w:eastAsia="Arial" w:hAnsi="Arial"/>
                <w:sz w:val="11"/>
                <w:szCs w:val="11"/>
                <w:color w:val="F7323F"/>
              </w:rPr>
              <w:t>113</w:t>
            </w:r>
          </w:p>
        </w:tc>
      </w:tr>
      <w:tr>
        <w:trPr>
          <w:trHeight w:val="124"/>
        </w:trPr>
        <w:tc>
          <w:tcPr>
            <w:tcW w:w="1200" w:type="dxa"/>
            <w:vAlign w:val="bottom"/>
            <w:tcBorders>
              <w:bottom w:val="single" w:sz="8" w:color="0000EE"/>
            </w:tcBorders>
            <w:gridSpan w:val="11"/>
          </w:tcPr>
          <w:p>
            <w:pPr>
              <w:spacing w:after="0" w:line="124" w:lineRule="exact"/>
              <w:rPr>
                <w:rFonts w:ascii="Arial" w:cs="Arial" w:eastAsia="Arial" w:hAnsi="Arial"/>
                <w:sz w:val="11"/>
                <w:szCs w:val="11"/>
                <w:color w:val="0000EE"/>
                <w:w w:val="96"/>
              </w:rPr>
            </w:pPr>
            <w:hyperlink w:anchor="page131">
              <w:r>
                <w:rPr>
                  <w:rFonts w:ascii="Arial" w:cs="Arial" w:eastAsia="Arial" w:hAnsi="Arial"/>
                  <w:sz w:val="11"/>
                  <w:szCs w:val="11"/>
                  <w:color w:val="0000EE"/>
                  <w:w w:val="96"/>
                </w:rPr>
                <w:t>Executive Compensation</w:t>
              </w:r>
            </w:hyperlink>
          </w:p>
        </w:tc>
        <w:tc>
          <w:tcPr>
            <w:tcW w:w="4740" w:type="dxa"/>
            <w:vAlign w:val="bottom"/>
            <w:gridSpan w:val="10"/>
          </w:tcPr>
          <w:p>
            <w:pPr>
              <w:spacing w:after="0"/>
              <w:rPr>
                <w:sz w:val="10"/>
                <w:szCs w:val="10"/>
                <w:color w:val="auto"/>
              </w:rPr>
            </w:pPr>
          </w:p>
        </w:tc>
        <w:tc>
          <w:tcPr>
            <w:tcW w:w="1380" w:type="dxa"/>
            <w:vAlign w:val="bottom"/>
            <w:gridSpan w:val="2"/>
          </w:tcPr>
          <w:p>
            <w:pPr>
              <w:jc w:val="right"/>
              <w:spacing w:after="0" w:line="124" w:lineRule="exact"/>
              <w:rPr>
                <w:sz w:val="20"/>
                <w:szCs w:val="20"/>
                <w:color w:val="auto"/>
              </w:rPr>
            </w:pPr>
            <w:r>
              <w:rPr>
                <w:rFonts w:ascii="Arial" w:cs="Arial" w:eastAsia="Arial" w:hAnsi="Arial"/>
                <w:sz w:val="11"/>
                <w:szCs w:val="11"/>
                <w:color w:val="F7323F"/>
              </w:rPr>
              <w:t>121</w:t>
            </w:r>
          </w:p>
        </w:tc>
      </w:tr>
      <w:tr>
        <w:trPr>
          <w:trHeight w:val="124"/>
        </w:trPr>
        <w:tc>
          <w:tcPr>
            <w:tcW w:w="5940" w:type="dxa"/>
            <w:vAlign w:val="bottom"/>
            <w:gridSpan w:val="21"/>
          </w:tcPr>
          <w:p>
            <w:pPr>
              <w:spacing w:after="0" w:line="124" w:lineRule="exact"/>
              <w:rPr>
                <w:rFonts w:ascii="Arial" w:cs="Arial" w:eastAsia="Arial" w:hAnsi="Arial"/>
                <w:sz w:val="11"/>
                <w:szCs w:val="11"/>
                <w:color w:val="0000EE"/>
              </w:rPr>
            </w:pPr>
            <w:hyperlink w:anchor="page139">
              <w:r>
                <w:rPr>
                  <w:rFonts w:ascii="Arial" w:cs="Arial" w:eastAsia="Arial" w:hAnsi="Arial"/>
                  <w:sz w:val="11"/>
                  <w:szCs w:val="11"/>
                  <w:color w:val="0000EE"/>
                </w:rPr>
                <w:t>Certain Relationships and Related Party Transactions</w:t>
              </w:r>
            </w:hyperlink>
          </w:p>
        </w:tc>
        <w:tc>
          <w:tcPr>
            <w:tcW w:w="1380" w:type="dxa"/>
            <w:vAlign w:val="bottom"/>
            <w:gridSpan w:val="2"/>
          </w:tcPr>
          <w:p>
            <w:pPr>
              <w:jc w:val="right"/>
              <w:spacing w:after="0" w:line="124" w:lineRule="exact"/>
              <w:rPr>
                <w:sz w:val="20"/>
                <w:szCs w:val="20"/>
                <w:color w:val="auto"/>
              </w:rPr>
            </w:pPr>
            <w:r>
              <w:rPr>
                <w:rFonts w:ascii="Arial" w:cs="Arial" w:eastAsia="Arial" w:hAnsi="Arial"/>
                <w:sz w:val="11"/>
                <w:szCs w:val="11"/>
                <w:color w:val="F7323F"/>
              </w:rPr>
              <w:t>129</w:t>
            </w:r>
          </w:p>
        </w:tc>
      </w:tr>
      <w:tr>
        <w:trPr>
          <w:trHeight w:val="124"/>
        </w:trPr>
        <w:tc>
          <w:tcPr>
            <w:tcW w:w="2560" w:type="dxa"/>
            <w:vAlign w:val="bottom"/>
            <w:tcBorders>
              <w:top w:val="single" w:sz="8" w:color="0000EE"/>
            </w:tcBorders>
            <w:gridSpan w:val="17"/>
          </w:tcPr>
          <w:p>
            <w:pPr>
              <w:spacing w:after="0" w:line="124" w:lineRule="exact"/>
              <w:rPr>
                <w:rFonts w:ascii="Arial" w:cs="Arial" w:eastAsia="Arial" w:hAnsi="Arial"/>
                <w:sz w:val="11"/>
                <w:szCs w:val="11"/>
                <w:color w:val="0000EE"/>
              </w:rPr>
            </w:pPr>
            <w:hyperlink w:anchor="page143">
              <w:r>
                <w:rPr>
                  <w:rFonts w:ascii="Arial" w:cs="Arial" w:eastAsia="Arial" w:hAnsi="Arial"/>
                  <w:sz w:val="11"/>
                  <w:szCs w:val="11"/>
                  <w:color w:val="0000EE"/>
                </w:rPr>
                <w:t>Principal Stockholders</w:t>
              </w:r>
            </w:hyperlink>
          </w:p>
        </w:tc>
        <w:tc>
          <w:tcPr>
            <w:tcW w:w="3380" w:type="dxa"/>
            <w:vAlign w:val="bottom"/>
            <w:gridSpan w:val="4"/>
          </w:tcPr>
          <w:p>
            <w:pPr>
              <w:spacing w:after="0"/>
              <w:rPr>
                <w:sz w:val="10"/>
                <w:szCs w:val="10"/>
                <w:color w:val="auto"/>
              </w:rPr>
            </w:pPr>
          </w:p>
        </w:tc>
        <w:tc>
          <w:tcPr>
            <w:tcW w:w="1380" w:type="dxa"/>
            <w:vAlign w:val="bottom"/>
            <w:gridSpan w:val="2"/>
          </w:tcPr>
          <w:p>
            <w:pPr>
              <w:jc w:val="right"/>
              <w:spacing w:after="0" w:line="124" w:lineRule="exact"/>
              <w:rPr>
                <w:sz w:val="20"/>
                <w:szCs w:val="20"/>
                <w:color w:val="auto"/>
              </w:rPr>
            </w:pPr>
            <w:r>
              <w:rPr>
                <w:rFonts w:ascii="Arial" w:cs="Arial" w:eastAsia="Arial" w:hAnsi="Arial"/>
                <w:sz w:val="11"/>
                <w:szCs w:val="11"/>
                <w:color w:val="F7323F"/>
              </w:rPr>
              <w:t>133</w:t>
            </w:r>
          </w:p>
        </w:tc>
      </w:tr>
      <w:tr>
        <w:trPr>
          <w:trHeight w:val="20"/>
        </w:trPr>
        <w:tc>
          <w:tcPr>
            <w:tcW w:w="36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220" w:type="dxa"/>
            <w:vAlign w:val="bottom"/>
            <w:gridSpan w:val="3"/>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760" w:type="dxa"/>
            <w:vAlign w:val="bottom"/>
            <w:gridSpan w:val="5"/>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r>
      <w:tr>
        <w:trPr>
          <w:trHeight w:val="124"/>
        </w:trPr>
        <w:tc>
          <w:tcPr>
            <w:tcW w:w="5940" w:type="dxa"/>
            <w:vAlign w:val="bottom"/>
            <w:gridSpan w:val="21"/>
          </w:tcPr>
          <w:p>
            <w:pPr>
              <w:spacing w:after="0" w:line="124" w:lineRule="exact"/>
              <w:rPr>
                <w:rFonts w:ascii="Arial" w:cs="Arial" w:eastAsia="Arial" w:hAnsi="Arial"/>
                <w:sz w:val="11"/>
                <w:szCs w:val="11"/>
                <w:color w:val="0000EE"/>
              </w:rPr>
            </w:pPr>
            <w:hyperlink w:anchor="page146">
              <w:r>
                <w:rPr>
                  <w:rFonts w:ascii="Arial" w:cs="Arial" w:eastAsia="Arial" w:hAnsi="Arial"/>
                  <w:sz w:val="11"/>
                  <w:szCs w:val="11"/>
                  <w:color w:val="0000EE"/>
                </w:rPr>
                <w:t>Description of Capital Stock</w:t>
              </w:r>
            </w:hyperlink>
          </w:p>
        </w:tc>
        <w:tc>
          <w:tcPr>
            <w:tcW w:w="1380" w:type="dxa"/>
            <w:vAlign w:val="bottom"/>
            <w:gridSpan w:val="2"/>
          </w:tcPr>
          <w:p>
            <w:pPr>
              <w:jc w:val="right"/>
              <w:spacing w:after="0" w:line="124" w:lineRule="exact"/>
              <w:rPr>
                <w:sz w:val="20"/>
                <w:szCs w:val="20"/>
                <w:color w:val="auto"/>
              </w:rPr>
            </w:pPr>
            <w:r>
              <w:rPr>
                <w:rFonts w:ascii="Arial" w:cs="Arial" w:eastAsia="Arial" w:hAnsi="Arial"/>
                <w:sz w:val="11"/>
                <w:szCs w:val="11"/>
                <w:color w:val="F7323F"/>
              </w:rPr>
              <w:t>136</w:t>
            </w:r>
          </w:p>
        </w:tc>
      </w:tr>
      <w:tr>
        <w:trPr>
          <w:trHeight w:val="20"/>
        </w:trPr>
        <w:tc>
          <w:tcPr>
            <w:tcW w:w="36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220" w:type="dxa"/>
            <w:vAlign w:val="bottom"/>
            <w:gridSpan w:val="3"/>
            <w:shd w:val="clear" w:color="auto" w:fill="0000EE"/>
          </w:tcPr>
          <w:p>
            <w:pPr>
              <w:spacing w:after="0" w:line="20" w:lineRule="exact"/>
              <w:rPr>
                <w:sz w:val="1"/>
                <w:szCs w:val="1"/>
                <w:color w:val="auto"/>
              </w:rPr>
            </w:pPr>
          </w:p>
        </w:tc>
        <w:tc>
          <w:tcPr>
            <w:tcW w:w="440" w:type="dxa"/>
            <w:vAlign w:val="bottom"/>
            <w:gridSpan w:val="5"/>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760" w:type="dxa"/>
            <w:vAlign w:val="bottom"/>
            <w:gridSpan w:val="5"/>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r>
      <w:tr>
        <w:trPr>
          <w:trHeight w:val="124"/>
        </w:trPr>
        <w:tc>
          <w:tcPr>
            <w:tcW w:w="5940" w:type="dxa"/>
            <w:vAlign w:val="bottom"/>
            <w:gridSpan w:val="21"/>
          </w:tcPr>
          <w:p>
            <w:pPr>
              <w:spacing w:after="0" w:line="124" w:lineRule="exact"/>
              <w:rPr>
                <w:rFonts w:ascii="Arial" w:cs="Arial" w:eastAsia="Arial" w:hAnsi="Arial"/>
                <w:sz w:val="11"/>
                <w:szCs w:val="11"/>
                <w:color w:val="0000EE"/>
              </w:rPr>
            </w:pPr>
            <w:hyperlink w:anchor="page152">
              <w:r>
                <w:rPr>
                  <w:rFonts w:ascii="Arial" w:cs="Arial" w:eastAsia="Arial" w:hAnsi="Arial"/>
                  <w:sz w:val="11"/>
                  <w:szCs w:val="11"/>
                  <w:color w:val="0000EE"/>
                </w:rPr>
                <w:t>Shares Eligible for Future Sale</w:t>
              </w:r>
            </w:hyperlink>
          </w:p>
        </w:tc>
        <w:tc>
          <w:tcPr>
            <w:tcW w:w="1380" w:type="dxa"/>
            <w:vAlign w:val="bottom"/>
            <w:gridSpan w:val="2"/>
          </w:tcPr>
          <w:p>
            <w:pPr>
              <w:jc w:val="right"/>
              <w:spacing w:after="0" w:line="124" w:lineRule="exact"/>
              <w:rPr>
                <w:sz w:val="20"/>
                <w:szCs w:val="20"/>
                <w:color w:val="auto"/>
              </w:rPr>
            </w:pPr>
            <w:r>
              <w:rPr>
                <w:rFonts w:ascii="Arial" w:cs="Arial" w:eastAsia="Arial" w:hAnsi="Arial"/>
                <w:sz w:val="11"/>
                <w:szCs w:val="11"/>
                <w:color w:val="F7323F"/>
              </w:rPr>
              <w:t>142</w:t>
            </w:r>
          </w:p>
        </w:tc>
      </w:tr>
      <w:tr>
        <w:trPr>
          <w:trHeight w:val="20"/>
        </w:trPr>
        <w:tc>
          <w:tcPr>
            <w:tcW w:w="36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220" w:type="dxa"/>
            <w:vAlign w:val="bottom"/>
            <w:gridSpan w:val="3"/>
            <w:shd w:val="clear" w:color="auto" w:fill="0000EE"/>
          </w:tcPr>
          <w:p>
            <w:pPr>
              <w:spacing w:after="0" w:line="20" w:lineRule="exact"/>
              <w:rPr>
                <w:sz w:val="1"/>
                <w:szCs w:val="1"/>
                <w:color w:val="auto"/>
              </w:rPr>
            </w:pPr>
          </w:p>
        </w:tc>
        <w:tc>
          <w:tcPr>
            <w:tcW w:w="580" w:type="dxa"/>
            <w:vAlign w:val="bottom"/>
            <w:gridSpan w:val="6"/>
            <w:shd w:val="clear" w:color="auto" w:fill="0000E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760" w:type="dxa"/>
            <w:vAlign w:val="bottom"/>
            <w:gridSpan w:val="5"/>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r>
      <w:tr>
        <w:trPr>
          <w:trHeight w:val="124"/>
        </w:trPr>
        <w:tc>
          <w:tcPr>
            <w:tcW w:w="5940" w:type="dxa"/>
            <w:vAlign w:val="bottom"/>
            <w:gridSpan w:val="21"/>
          </w:tcPr>
          <w:p>
            <w:pPr>
              <w:spacing w:after="0" w:line="124" w:lineRule="exact"/>
              <w:rPr>
                <w:rFonts w:ascii="Arial" w:cs="Arial" w:eastAsia="Arial" w:hAnsi="Arial"/>
                <w:sz w:val="11"/>
                <w:szCs w:val="11"/>
                <w:color w:val="0000EE"/>
              </w:rPr>
            </w:pPr>
            <w:hyperlink w:anchor="page155">
              <w:r>
                <w:rPr>
                  <w:rFonts w:ascii="Arial" w:cs="Arial" w:eastAsia="Arial" w:hAnsi="Arial"/>
                  <w:sz w:val="11"/>
                  <w:szCs w:val="11"/>
                  <w:color w:val="0000EE"/>
                </w:rPr>
                <w:t>Material U.S. Federal Income Tax Consequences to Non-U.S. Holders of Our Class A Common Stock</w:t>
              </w:r>
            </w:hyperlink>
          </w:p>
        </w:tc>
        <w:tc>
          <w:tcPr>
            <w:tcW w:w="1380" w:type="dxa"/>
            <w:vAlign w:val="bottom"/>
            <w:gridSpan w:val="2"/>
          </w:tcPr>
          <w:p>
            <w:pPr>
              <w:jc w:val="right"/>
              <w:spacing w:after="0" w:line="124" w:lineRule="exact"/>
              <w:rPr>
                <w:sz w:val="20"/>
                <w:szCs w:val="20"/>
                <w:color w:val="auto"/>
              </w:rPr>
            </w:pPr>
            <w:r>
              <w:rPr>
                <w:rFonts w:ascii="Arial" w:cs="Arial" w:eastAsia="Arial" w:hAnsi="Arial"/>
                <w:sz w:val="11"/>
                <w:szCs w:val="11"/>
                <w:color w:val="F7323F"/>
              </w:rPr>
              <w:t>145</w:t>
            </w:r>
          </w:p>
        </w:tc>
      </w:tr>
      <w:tr>
        <w:trPr>
          <w:trHeight w:val="124"/>
        </w:trPr>
        <w:tc>
          <w:tcPr>
            <w:tcW w:w="4840" w:type="dxa"/>
            <w:vAlign w:val="bottom"/>
            <w:tcBorders>
              <w:top w:val="single" w:sz="8" w:color="0000EE"/>
            </w:tcBorders>
            <w:gridSpan w:val="20"/>
          </w:tcPr>
          <w:p>
            <w:pPr>
              <w:spacing w:after="0" w:line="124" w:lineRule="exact"/>
              <w:rPr>
                <w:rFonts w:ascii="Arial" w:cs="Arial" w:eastAsia="Arial" w:hAnsi="Arial"/>
                <w:sz w:val="11"/>
                <w:szCs w:val="11"/>
                <w:color w:val="0000EE"/>
              </w:rPr>
            </w:pPr>
            <w:hyperlink w:anchor="page159">
              <w:r>
                <w:rPr>
                  <w:rFonts w:ascii="Arial" w:cs="Arial" w:eastAsia="Arial" w:hAnsi="Arial"/>
                  <w:sz w:val="11"/>
                  <w:szCs w:val="11"/>
                  <w:color w:val="0000EE"/>
                </w:rPr>
                <w:t>Underwriting</w:t>
              </w:r>
            </w:hyperlink>
          </w:p>
        </w:tc>
        <w:tc>
          <w:tcPr>
            <w:tcW w:w="1100" w:type="dxa"/>
            <w:vAlign w:val="bottom"/>
          </w:tcPr>
          <w:p>
            <w:pPr>
              <w:spacing w:after="0"/>
              <w:rPr>
                <w:sz w:val="10"/>
                <w:szCs w:val="10"/>
                <w:color w:val="auto"/>
              </w:rPr>
            </w:pPr>
          </w:p>
        </w:tc>
        <w:tc>
          <w:tcPr>
            <w:tcW w:w="1380" w:type="dxa"/>
            <w:vAlign w:val="bottom"/>
            <w:gridSpan w:val="2"/>
          </w:tcPr>
          <w:p>
            <w:pPr>
              <w:jc w:val="right"/>
              <w:spacing w:after="0" w:line="124" w:lineRule="exact"/>
              <w:rPr>
                <w:sz w:val="20"/>
                <w:szCs w:val="20"/>
                <w:color w:val="auto"/>
              </w:rPr>
            </w:pPr>
            <w:r>
              <w:rPr>
                <w:rFonts w:ascii="Arial" w:cs="Arial" w:eastAsia="Arial" w:hAnsi="Arial"/>
                <w:sz w:val="11"/>
                <w:szCs w:val="11"/>
                <w:color w:val="F7323F"/>
              </w:rPr>
              <w:t>149</w:t>
            </w:r>
          </w:p>
        </w:tc>
      </w:tr>
      <w:tr>
        <w:trPr>
          <w:trHeight w:val="20"/>
        </w:trPr>
        <w:tc>
          <w:tcPr>
            <w:tcW w:w="36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1200" w:type="dxa"/>
            <w:vAlign w:val="bottom"/>
            <w:gridSpan w:val="7"/>
          </w:tcPr>
          <w:p>
            <w:pPr>
              <w:spacing w:after="0" w:line="20" w:lineRule="exact"/>
              <w:rPr>
                <w:sz w:val="1"/>
                <w:szCs w:val="1"/>
                <w:color w:val="auto"/>
              </w:rPr>
            </w:pPr>
          </w:p>
        </w:tc>
        <w:tc>
          <w:tcPr>
            <w:tcW w:w="3860" w:type="dxa"/>
            <w:vAlign w:val="bottom"/>
            <w:gridSpan w:val="6"/>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r>
      <w:tr>
        <w:trPr>
          <w:trHeight w:val="124"/>
        </w:trPr>
        <w:tc>
          <w:tcPr>
            <w:tcW w:w="880" w:type="dxa"/>
            <w:vAlign w:val="bottom"/>
            <w:tcBorders>
              <w:bottom w:val="single" w:sz="8" w:color="0000EE"/>
            </w:tcBorders>
            <w:gridSpan w:val="8"/>
          </w:tcPr>
          <w:p>
            <w:pPr>
              <w:spacing w:after="0" w:line="124" w:lineRule="exact"/>
              <w:rPr>
                <w:rFonts w:ascii="Arial" w:cs="Arial" w:eastAsia="Arial" w:hAnsi="Arial"/>
                <w:sz w:val="11"/>
                <w:szCs w:val="11"/>
                <w:color w:val="0000EE"/>
                <w:w w:val="96"/>
              </w:rPr>
            </w:pPr>
            <w:hyperlink w:anchor="page164">
              <w:r>
                <w:rPr>
                  <w:rFonts w:ascii="Arial" w:cs="Arial" w:eastAsia="Arial" w:hAnsi="Arial"/>
                  <w:sz w:val="11"/>
                  <w:szCs w:val="11"/>
                  <w:color w:val="0000EE"/>
                  <w:w w:val="96"/>
                </w:rPr>
                <w:t>Private Placement</w:t>
              </w:r>
            </w:hyperlink>
          </w:p>
        </w:tc>
        <w:tc>
          <w:tcPr>
            <w:tcW w:w="5060" w:type="dxa"/>
            <w:vAlign w:val="bottom"/>
            <w:gridSpan w:val="13"/>
          </w:tcPr>
          <w:p>
            <w:pPr>
              <w:spacing w:after="0"/>
              <w:rPr>
                <w:sz w:val="10"/>
                <w:szCs w:val="10"/>
                <w:color w:val="auto"/>
              </w:rPr>
            </w:pPr>
          </w:p>
        </w:tc>
        <w:tc>
          <w:tcPr>
            <w:tcW w:w="1380" w:type="dxa"/>
            <w:vAlign w:val="bottom"/>
            <w:gridSpan w:val="2"/>
          </w:tcPr>
          <w:p>
            <w:pPr>
              <w:jc w:val="right"/>
              <w:spacing w:after="0" w:line="124" w:lineRule="exact"/>
              <w:rPr>
                <w:sz w:val="20"/>
                <w:szCs w:val="20"/>
                <w:color w:val="auto"/>
              </w:rPr>
            </w:pPr>
            <w:r>
              <w:rPr>
                <w:rFonts w:ascii="Arial" w:cs="Arial" w:eastAsia="Arial" w:hAnsi="Arial"/>
                <w:sz w:val="11"/>
                <w:szCs w:val="11"/>
                <w:color w:val="F7323F"/>
              </w:rPr>
              <w:t>154</w:t>
            </w:r>
          </w:p>
        </w:tc>
      </w:tr>
      <w:tr>
        <w:trPr>
          <w:trHeight w:val="124"/>
        </w:trPr>
        <w:tc>
          <w:tcPr>
            <w:tcW w:w="660" w:type="dxa"/>
            <w:vAlign w:val="bottom"/>
            <w:tcBorders>
              <w:bottom w:val="single" w:sz="8" w:color="0000EE"/>
            </w:tcBorders>
            <w:gridSpan w:val="5"/>
          </w:tcPr>
          <w:p>
            <w:pPr>
              <w:spacing w:after="0" w:line="124" w:lineRule="exact"/>
              <w:rPr>
                <w:rFonts w:ascii="Arial" w:cs="Arial" w:eastAsia="Arial" w:hAnsi="Arial"/>
                <w:sz w:val="11"/>
                <w:szCs w:val="11"/>
                <w:color w:val="0000EE"/>
                <w:w w:val="95"/>
              </w:rPr>
            </w:pPr>
            <w:hyperlink w:anchor="page164">
              <w:r>
                <w:rPr>
                  <w:rFonts w:ascii="Arial" w:cs="Arial" w:eastAsia="Arial" w:hAnsi="Arial"/>
                  <w:sz w:val="11"/>
                  <w:szCs w:val="11"/>
                  <w:color w:val="0000EE"/>
                  <w:w w:val="95"/>
                </w:rPr>
                <w:t>Legal Matters</w:t>
              </w:r>
            </w:hyperlink>
          </w:p>
        </w:tc>
        <w:tc>
          <w:tcPr>
            <w:tcW w:w="5280" w:type="dxa"/>
            <w:vAlign w:val="bottom"/>
            <w:gridSpan w:val="16"/>
          </w:tcPr>
          <w:p>
            <w:pPr>
              <w:spacing w:after="0"/>
              <w:rPr>
                <w:sz w:val="10"/>
                <w:szCs w:val="10"/>
                <w:color w:val="auto"/>
              </w:rPr>
            </w:pPr>
          </w:p>
        </w:tc>
        <w:tc>
          <w:tcPr>
            <w:tcW w:w="1380" w:type="dxa"/>
            <w:vAlign w:val="bottom"/>
            <w:gridSpan w:val="2"/>
          </w:tcPr>
          <w:p>
            <w:pPr>
              <w:jc w:val="right"/>
              <w:spacing w:after="0" w:line="124" w:lineRule="exact"/>
              <w:rPr>
                <w:sz w:val="20"/>
                <w:szCs w:val="20"/>
                <w:color w:val="auto"/>
              </w:rPr>
            </w:pPr>
            <w:r>
              <w:rPr>
                <w:rFonts w:ascii="Arial" w:cs="Arial" w:eastAsia="Arial" w:hAnsi="Arial"/>
                <w:sz w:val="11"/>
                <w:szCs w:val="11"/>
                <w:color w:val="F7323F"/>
              </w:rPr>
              <w:t>154</w:t>
            </w:r>
          </w:p>
        </w:tc>
      </w:tr>
      <w:tr>
        <w:trPr>
          <w:trHeight w:val="124"/>
        </w:trPr>
        <w:tc>
          <w:tcPr>
            <w:tcW w:w="5940" w:type="dxa"/>
            <w:vAlign w:val="bottom"/>
            <w:gridSpan w:val="21"/>
          </w:tcPr>
          <w:p>
            <w:pPr>
              <w:spacing w:after="0" w:line="124" w:lineRule="exact"/>
              <w:rPr>
                <w:rFonts w:ascii="Arial" w:cs="Arial" w:eastAsia="Arial" w:hAnsi="Arial"/>
                <w:sz w:val="11"/>
                <w:szCs w:val="11"/>
                <w:color w:val="0000EE"/>
              </w:rPr>
            </w:pPr>
            <w:hyperlink w:anchor="page164">
              <w:r>
                <w:rPr>
                  <w:rFonts w:ascii="Arial" w:cs="Arial" w:eastAsia="Arial" w:hAnsi="Arial"/>
                  <w:sz w:val="11"/>
                  <w:szCs w:val="11"/>
                  <w:color w:val="0000EE"/>
                </w:rPr>
                <w:t>Experts</w:t>
              </w:r>
            </w:hyperlink>
          </w:p>
        </w:tc>
        <w:tc>
          <w:tcPr>
            <w:tcW w:w="1380" w:type="dxa"/>
            <w:vAlign w:val="bottom"/>
            <w:gridSpan w:val="2"/>
          </w:tcPr>
          <w:p>
            <w:pPr>
              <w:jc w:val="right"/>
              <w:spacing w:after="0" w:line="124" w:lineRule="exact"/>
              <w:rPr>
                <w:sz w:val="20"/>
                <w:szCs w:val="20"/>
                <w:color w:val="auto"/>
              </w:rPr>
            </w:pPr>
            <w:r>
              <w:rPr>
                <w:rFonts w:ascii="Arial" w:cs="Arial" w:eastAsia="Arial" w:hAnsi="Arial"/>
                <w:sz w:val="11"/>
                <w:szCs w:val="11"/>
                <w:color w:val="F7323F"/>
              </w:rPr>
              <w:t>154</w:t>
            </w:r>
          </w:p>
        </w:tc>
      </w:tr>
      <w:tr>
        <w:trPr>
          <w:trHeight w:val="20"/>
        </w:trPr>
        <w:tc>
          <w:tcPr>
            <w:tcW w:w="360" w:type="dxa"/>
            <w:vAlign w:val="bottom"/>
            <w:shd w:val="clear" w:color="auto" w:fill="0000EE"/>
          </w:tcPr>
          <w:p>
            <w:pPr>
              <w:spacing w:after="0" w:line="20" w:lineRule="exact"/>
              <w:rPr>
                <w:sz w:val="1"/>
                <w:szCs w:val="1"/>
                <w:color w:val="auto"/>
              </w:rPr>
            </w:pPr>
          </w:p>
        </w:tc>
        <w:tc>
          <w:tcPr>
            <w:tcW w:w="1720" w:type="dxa"/>
            <w:vAlign w:val="bottom"/>
            <w:gridSpan w:val="14"/>
          </w:tcPr>
          <w:p>
            <w:pPr>
              <w:spacing w:after="0" w:line="20" w:lineRule="exact"/>
              <w:rPr>
                <w:sz w:val="1"/>
                <w:szCs w:val="1"/>
                <w:color w:val="auto"/>
              </w:rPr>
            </w:pPr>
          </w:p>
        </w:tc>
        <w:tc>
          <w:tcPr>
            <w:tcW w:w="3860" w:type="dxa"/>
            <w:vAlign w:val="bottom"/>
            <w:gridSpan w:val="6"/>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r>
      <w:tr>
        <w:trPr>
          <w:trHeight w:val="124"/>
        </w:trPr>
        <w:tc>
          <w:tcPr>
            <w:tcW w:w="2080" w:type="dxa"/>
            <w:vAlign w:val="bottom"/>
            <w:tcBorders>
              <w:bottom w:val="single" w:sz="8" w:color="0000EE"/>
            </w:tcBorders>
            <w:gridSpan w:val="15"/>
          </w:tcPr>
          <w:p>
            <w:pPr>
              <w:spacing w:after="0" w:line="124" w:lineRule="exact"/>
              <w:rPr>
                <w:rFonts w:ascii="Arial" w:cs="Arial" w:eastAsia="Arial" w:hAnsi="Arial"/>
                <w:sz w:val="11"/>
                <w:szCs w:val="11"/>
                <w:color w:val="0000EE"/>
                <w:w w:val="97"/>
              </w:rPr>
            </w:pPr>
            <w:hyperlink w:anchor="page164">
              <w:r>
                <w:rPr>
                  <w:rFonts w:ascii="Arial" w:cs="Arial" w:eastAsia="Arial" w:hAnsi="Arial"/>
                  <w:sz w:val="11"/>
                  <w:szCs w:val="11"/>
                  <w:color w:val="0000EE"/>
                  <w:w w:val="97"/>
                </w:rPr>
                <w:t>Where You Can Find Additional Information</w:t>
              </w:r>
            </w:hyperlink>
          </w:p>
        </w:tc>
        <w:tc>
          <w:tcPr>
            <w:tcW w:w="3860" w:type="dxa"/>
            <w:vAlign w:val="bottom"/>
            <w:gridSpan w:val="6"/>
          </w:tcPr>
          <w:p>
            <w:pPr>
              <w:spacing w:after="0"/>
              <w:rPr>
                <w:sz w:val="10"/>
                <w:szCs w:val="10"/>
                <w:color w:val="auto"/>
              </w:rPr>
            </w:pPr>
          </w:p>
        </w:tc>
        <w:tc>
          <w:tcPr>
            <w:tcW w:w="1380" w:type="dxa"/>
            <w:vAlign w:val="bottom"/>
            <w:gridSpan w:val="2"/>
          </w:tcPr>
          <w:p>
            <w:pPr>
              <w:jc w:val="right"/>
              <w:spacing w:after="0" w:line="124" w:lineRule="exact"/>
              <w:rPr>
                <w:sz w:val="20"/>
                <w:szCs w:val="20"/>
                <w:color w:val="auto"/>
              </w:rPr>
            </w:pPr>
            <w:r>
              <w:rPr>
                <w:rFonts w:ascii="Arial" w:cs="Arial" w:eastAsia="Arial" w:hAnsi="Arial"/>
                <w:sz w:val="11"/>
                <w:szCs w:val="11"/>
                <w:color w:val="F7323F"/>
              </w:rPr>
              <w:t>154</w:t>
            </w:r>
          </w:p>
        </w:tc>
      </w:tr>
      <w:tr>
        <w:trPr>
          <w:trHeight w:val="124"/>
        </w:trPr>
        <w:tc>
          <w:tcPr>
            <w:tcW w:w="5940" w:type="dxa"/>
            <w:vAlign w:val="bottom"/>
            <w:gridSpan w:val="21"/>
          </w:tcPr>
          <w:p>
            <w:pPr>
              <w:spacing w:after="0" w:line="124" w:lineRule="exact"/>
              <w:rPr>
                <w:rFonts w:ascii="Arial" w:cs="Arial" w:eastAsia="Arial" w:hAnsi="Arial"/>
                <w:sz w:val="11"/>
                <w:szCs w:val="11"/>
                <w:color w:val="0000EE"/>
              </w:rPr>
            </w:pPr>
            <w:hyperlink w:anchor="page165">
              <w:r>
                <w:rPr>
                  <w:rFonts w:ascii="Arial" w:cs="Arial" w:eastAsia="Arial" w:hAnsi="Arial"/>
                  <w:sz w:val="11"/>
                  <w:szCs w:val="11"/>
                  <w:color w:val="0000EE"/>
                </w:rPr>
                <w:t>Index to Consolidated Financial Statements</w:t>
              </w:r>
            </w:hyperlink>
          </w:p>
        </w:tc>
        <w:tc>
          <w:tcPr>
            <w:tcW w:w="1120" w:type="dxa"/>
            <w:vAlign w:val="bottom"/>
          </w:tcPr>
          <w:p>
            <w:pPr>
              <w:spacing w:after="0"/>
              <w:rPr>
                <w:sz w:val="10"/>
                <w:szCs w:val="10"/>
                <w:color w:val="auto"/>
              </w:rPr>
            </w:pPr>
          </w:p>
        </w:tc>
        <w:tc>
          <w:tcPr>
            <w:tcW w:w="260" w:type="dxa"/>
            <w:vAlign w:val="bottom"/>
          </w:tcPr>
          <w:p>
            <w:pPr>
              <w:jc w:val="right"/>
              <w:spacing w:after="0" w:line="124" w:lineRule="exact"/>
              <w:rPr>
                <w:sz w:val="20"/>
                <w:szCs w:val="20"/>
                <w:color w:val="auto"/>
              </w:rPr>
            </w:pPr>
            <w:r>
              <w:rPr>
                <w:rFonts w:ascii="Arial" w:cs="Arial" w:eastAsia="Arial" w:hAnsi="Arial"/>
                <w:sz w:val="11"/>
                <w:szCs w:val="11"/>
                <w:color w:val="F7323F"/>
              </w:rPr>
              <w:t>F-1</w:t>
            </w:r>
          </w:p>
        </w:tc>
      </w:tr>
      <w:tr>
        <w:trPr>
          <w:trHeight w:val="20"/>
        </w:trPr>
        <w:tc>
          <w:tcPr>
            <w:tcW w:w="3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3152140</wp:posOffset>
            </wp:positionH>
            <wp:positionV relativeFrom="paragraph">
              <wp:posOffset>160020</wp:posOffset>
            </wp:positionV>
            <wp:extent cx="977900" cy="57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977900" cy="5715"/>
                    </a:xfrm>
                    <a:prstGeom prst="rect">
                      <a:avLst/>
                    </a:prstGeom>
                    <a:noFill/>
                  </pic:spPr>
                </pic:pic>
              </a:graphicData>
            </a:graphic>
          </wp:anchor>
        </w:drawing>
      </w:r>
    </w:p>
    <w:p>
      <w:pPr>
        <w:spacing w:after="0" w:line="375" w:lineRule="exact"/>
        <w:rPr>
          <w:sz w:val="20"/>
          <w:szCs w:val="20"/>
          <w:color w:val="auto"/>
        </w:rPr>
      </w:pPr>
    </w:p>
    <w:p>
      <w:pPr>
        <w:jc w:val="both"/>
        <w:ind w:left="2060" w:right="839"/>
        <w:spacing w:after="0" w:line="253" w:lineRule="auto"/>
        <w:rPr>
          <w:sz w:val="20"/>
          <w:szCs w:val="20"/>
          <w:color w:val="auto"/>
        </w:rPr>
      </w:pPr>
      <w:r>
        <w:rPr>
          <w:rFonts w:ascii="Arial" w:cs="Arial" w:eastAsia="Arial" w:hAnsi="Arial"/>
          <w:sz w:val="11"/>
          <w:szCs w:val="11"/>
          <w:b w:val="1"/>
          <w:bCs w:val="1"/>
          <w:color w:val="auto"/>
        </w:rPr>
        <w:t>Through and including October 20, 2019 (the 25th day after the date of this prospectus), all dealers effecting transactions in these securities, whether or not participating in this offering, may be required to deliver a prospectus. This is in addition to a dealer’s obligation to deliver a prospectus when acting as an underwriter and with respect to an unsold allotment or subscription.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3152140</wp:posOffset>
            </wp:positionH>
            <wp:positionV relativeFrom="paragraph">
              <wp:posOffset>141605</wp:posOffset>
            </wp:positionV>
            <wp:extent cx="977900" cy="571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977900" cy="5715"/>
                    </a:xfrm>
                    <a:prstGeom prst="rect">
                      <a:avLst/>
                    </a:prstGeom>
                    <a:noFill/>
                  </pic:spPr>
                </pic:pic>
              </a:graphicData>
            </a:graphic>
          </wp:anchor>
        </w:drawing>
      </w:r>
    </w:p>
    <w:p>
      <w:pPr>
        <w:spacing w:after="0" w:line="358" w:lineRule="exact"/>
        <w:rPr>
          <w:sz w:val="20"/>
          <w:szCs w:val="20"/>
          <w:color w:val="auto"/>
        </w:rPr>
      </w:pPr>
    </w:p>
    <w:p>
      <w:pPr>
        <w:jc w:val="both"/>
        <w:ind w:left="2060" w:right="839"/>
        <w:spacing w:after="0"/>
        <w:rPr>
          <w:sz w:val="20"/>
          <w:szCs w:val="20"/>
          <w:color w:val="auto"/>
        </w:rPr>
      </w:pPr>
      <w:r>
        <w:rPr>
          <w:rFonts w:ascii="Arial" w:cs="Arial" w:eastAsia="Arial" w:hAnsi="Arial"/>
          <w:sz w:val="11"/>
          <w:szCs w:val="11"/>
          <w:color w:val="050505"/>
        </w:rPr>
        <w:t>Neither we nor any of the underwriters have authorized anyone to provide any information or to make any representations other than those contained in this prospectus or in any free writing prospectuses we have prepared. Neither we nor any of the underwriters take responsibility for, and can provide no assurance as to the reliability of, any other information that others may give you. This prospectus is an offer to sell only the shares offered hereby, but only under circumstances and in jurisdictions where it is lawful to do so. The information contained in this prospectus is accurate only as of the date of this prospectus, regardless of the time of delivery of this prospectus or of any sale of the Class A common stock.</w:t>
      </w:r>
    </w:p>
    <w:p>
      <w:pPr>
        <w:spacing w:after="0" w:line="142" w:lineRule="exact"/>
        <w:rPr>
          <w:sz w:val="20"/>
          <w:szCs w:val="20"/>
          <w:color w:val="auto"/>
        </w:rPr>
      </w:pPr>
    </w:p>
    <w:p>
      <w:pPr>
        <w:jc w:val="both"/>
        <w:ind w:left="2060" w:right="839"/>
        <w:spacing w:after="0" w:line="241" w:lineRule="auto"/>
        <w:rPr>
          <w:sz w:val="20"/>
          <w:szCs w:val="20"/>
          <w:color w:val="auto"/>
        </w:rPr>
      </w:pPr>
      <w:r>
        <w:rPr>
          <w:rFonts w:ascii="Arial" w:cs="Arial" w:eastAsia="Arial" w:hAnsi="Arial"/>
          <w:sz w:val="11"/>
          <w:szCs w:val="11"/>
          <w:color w:val="050505"/>
        </w:rPr>
        <w:t>For investors outside of the United States: Neither we nor any of the underwriters have done anything that would permit this offering or possession or distribution of this prospectus in any jurisdiction where action for that purpose is required, other than in the United States. Persons outside the United States who come into possession of this prospectus must inform themselves about, and observe any restrictions relating to, the offering of the shares of our Class A common stock and the distribution of this prospectus outside the United States.</w:t>
      </w:r>
    </w:p>
    <w:p>
      <w:pPr>
        <w:spacing w:after="0" w:line="95" w:lineRule="exact"/>
        <w:rPr>
          <w:sz w:val="20"/>
          <w:szCs w:val="20"/>
          <w:color w:val="auto"/>
        </w:rPr>
      </w:pPr>
    </w:p>
    <w:p>
      <w:pPr>
        <w:ind w:left="5720"/>
        <w:spacing w:after="0"/>
        <w:rPr>
          <w:sz w:val="20"/>
          <w:szCs w:val="20"/>
          <w:color w:val="auto"/>
        </w:rPr>
      </w:pPr>
      <w:r>
        <w:rPr>
          <w:rFonts w:ascii="Arial" w:cs="Arial" w:eastAsia="Arial" w:hAnsi="Arial"/>
          <w:sz w:val="11"/>
          <w:szCs w:val="11"/>
          <w:color w:val="050505"/>
        </w:rPr>
        <w:t>i</w:t>
      </w:r>
    </w:p>
    <w:p>
      <w:pPr>
        <w:sectPr>
          <w:pgSz w:w="11900" w:h="16838" w:orient="portrait"/>
          <w:cols w:equalWidth="0" w:num="1">
            <w:col w:w="10239"/>
          </w:cols>
          <w:pgMar w:left="220" w:top="354" w:right="1440" w:bottom="1440" w:gutter="0" w:footer="0" w:header="0"/>
        </w:sectPr>
      </w:pPr>
    </w:p>
    <w:bookmarkStart w:id="5" w:name="page6"/>
    <w:bookmarkEnd w:id="5"/>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hyperlink w:anchor="page5">
        <w:r>
          <w:rPr>
            <w:rFonts w:ascii="Arial" w:cs="Arial" w:eastAsia="Arial" w:hAnsi="Arial"/>
            <w:sz w:val="12"/>
            <w:szCs w:val="12"/>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1306830</wp:posOffset>
            </wp:positionH>
            <wp:positionV relativeFrom="paragraph">
              <wp:posOffset>132715</wp:posOffset>
            </wp:positionV>
            <wp:extent cx="4674235" cy="46913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4674235" cy="4691380"/>
                    </a:xfrm>
                    <a:prstGeom prst="rect">
                      <a:avLst/>
                    </a:prstGeom>
                    <a:noFill/>
                  </pic:spPr>
                </pic:pic>
              </a:graphicData>
            </a:graphic>
          </wp:anchor>
        </w:drawing>
      </w:r>
    </w:p>
    <w:p>
      <w:pPr>
        <w:spacing w:after="0" w:line="306" w:lineRule="exact"/>
        <w:rPr>
          <w:sz w:val="20"/>
          <w:szCs w:val="20"/>
          <w:color w:val="auto"/>
        </w:rPr>
      </w:pPr>
    </w:p>
    <w:p>
      <w:pPr>
        <w:jc w:val="center"/>
        <w:ind w:right="-1220"/>
        <w:spacing w:after="0"/>
        <w:rPr>
          <w:sz w:val="20"/>
          <w:szCs w:val="20"/>
          <w:color w:val="auto"/>
        </w:rPr>
      </w:pPr>
      <w:r>
        <w:rPr>
          <w:rFonts w:ascii="Arial" w:cs="Arial" w:eastAsia="Arial" w:hAnsi="Arial"/>
          <w:sz w:val="12"/>
          <w:szCs w:val="12"/>
          <w:b w:val="1"/>
          <w:bCs w:val="1"/>
          <w:color w:val="auto"/>
        </w:rPr>
        <w:t>PROSPECTUS SUMMARY</w:t>
      </w:r>
    </w:p>
    <w:p>
      <w:pPr>
        <w:spacing w:after="0" w:line="147" w:lineRule="exact"/>
        <w:rPr>
          <w:sz w:val="20"/>
          <w:szCs w:val="20"/>
          <w:color w:val="auto"/>
        </w:rPr>
      </w:pPr>
    </w:p>
    <w:p>
      <w:pPr>
        <w:jc w:val="both"/>
        <w:ind w:left="2280" w:right="1059"/>
        <w:spacing w:after="0" w:line="243" w:lineRule="auto"/>
        <w:rPr>
          <w:sz w:val="20"/>
          <w:szCs w:val="20"/>
          <w:color w:val="auto"/>
        </w:rPr>
      </w:pPr>
      <w:r>
        <w:rPr>
          <w:rFonts w:ascii="Arial" w:cs="Arial" w:eastAsia="Arial" w:hAnsi="Arial"/>
          <w:sz w:val="11"/>
          <w:szCs w:val="11"/>
          <w:i w:val="1"/>
          <w:iCs w:val="1"/>
          <w:color w:val="050505"/>
        </w:rPr>
        <w:t>This summary highlights selected information contained in more detail elsewhere in this prospectus. This summary does not contain all the information you should consider before investing in our Class A common stock. You should carefully read this prospectus in its entirety before investing in our Class A common stock, including the sections titled “Risk Factors,” “Management’s Discussion and Analysis of Financial Condition and Results of Operations,” and “Special Note Regarding Forward-Looking Statements,” and our consolidated financial statements and the accompanying notes, provided elsewhere in this prospectus. Our fiscal year end is June 30, and our fiscal quarters end on September 30, December 31, March 31, and June 30. Our fiscal years ended June 30, 2017, 2018, and 2019 are referred to herein as fiscal 2017, fiscal 2018, and fiscal 2019, respectively.</w:t>
      </w:r>
    </w:p>
    <w:p>
      <w:pPr>
        <w:spacing w:after="0" w:line="200" w:lineRule="exact"/>
        <w:rPr>
          <w:sz w:val="20"/>
          <w:szCs w:val="20"/>
          <w:color w:val="auto"/>
        </w:rPr>
      </w:pPr>
    </w:p>
    <w:p>
      <w:pPr>
        <w:ind w:left="5500"/>
        <w:spacing w:after="0"/>
        <w:rPr>
          <w:sz w:val="20"/>
          <w:szCs w:val="20"/>
          <w:color w:val="auto"/>
        </w:rPr>
      </w:pPr>
      <w:r>
        <w:rPr>
          <w:rFonts w:ascii="Arial" w:cs="Arial" w:eastAsia="Arial" w:hAnsi="Arial"/>
          <w:sz w:val="11"/>
          <w:szCs w:val="11"/>
          <w:b w:val="1"/>
          <w:bCs w:val="1"/>
          <w:color w:val="auto"/>
        </w:rPr>
        <w:t>Overview</w:t>
      </w:r>
    </w:p>
    <w:p>
      <w:pPr>
        <w:spacing w:after="0" w:line="144" w:lineRule="exact"/>
        <w:rPr>
          <w:sz w:val="20"/>
          <w:szCs w:val="20"/>
          <w:color w:val="auto"/>
        </w:rPr>
      </w:pPr>
    </w:p>
    <w:p>
      <w:pPr>
        <w:ind w:left="2280"/>
        <w:spacing w:after="0"/>
        <w:rPr>
          <w:sz w:val="20"/>
          <w:szCs w:val="20"/>
          <w:color w:val="auto"/>
        </w:rPr>
      </w:pPr>
      <w:r>
        <w:rPr>
          <w:rFonts w:ascii="Arial" w:cs="Arial" w:eastAsia="Arial" w:hAnsi="Arial"/>
          <w:sz w:val="11"/>
          <w:szCs w:val="11"/>
          <w:b w:val="1"/>
          <w:bCs w:val="1"/>
          <w:u w:val="single" w:color="auto"/>
          <w:color w:val="auto"/>
        </w:rPr>
        <w:t>Our Purpose</w:t>
      </w:r>
    </w:p>
    <w:p>
      <w:pPr>
        <w:spacing w:after="0" w:line="12" w:lineRule="exact"/>
        <w:rPr>
          <w:sz w:val="20"/>
          <w:szCs w:val="20"/>
          <w:color w:val="auto"/>
        </w:rPr>
      </w:pPr>
    </w:p>
    <w:p>
      <w:pPr>
        <w:ind w:left="2280"/>
        <w:spacing w:after="0"/>
        <w:rPr>
          <w:sz w:val="20"/>
          <w:szCs w:val="20"/>
          <w:color w:val="auto"/>
        </w:rPr>
      </w:pPr>
      <w:r>
        <w:rPr>
          <w:rFonts w:ascii="Arial" w:cs="Arial" w:eastAsia="Arial" w:hAnsi="Arial"/>
          <w:sz w:val="10"/>
          <w:szCs w:val="10"/>
          <w:color w:val="050505"/>
        </w:rPr>
        <w:t>We believe physical activity is fundamental to a healthy and happy life. Our ambition is to empower people to improve their lives through fitness.</w:t>
      </w:r>
    </w:p>
    <w:p>
      <w:pPr>
        <w:spacing w:after="0" w:line="155" w:lineRule="exact"/>
        <w:rPr>
          <w:sz w:val="20"/>
          <w:szCs w:val="20"/>
          <w:color w:val="auto"/>
        </w:rPr>
      </w:pPr>
    </w:p>
    <w:p>
      <w:pPr>
        <w:jc w:val="both"/>
        <w:ind w:left="2280" w:right="1059"/>
        <w:spacing w:after="0" w:line="245" w:lineRule="auto"/>
        <w:rPr>
          <w:sz w:val="20"/>
          <w:szCs w:val="20"/>
          <w:color w:val="auto"/>
        </w:rPr>
      </w:pPr>
      <w:r>
        <w:rPr>
          <w:rFonts w:ascii="Arial" w:cs="Arial" w:eastAsia="Arial" w:hAnsi="Arial"/>
          <w:sz w:val="11"/>
          <w:szCs w:val="11"/>
          <w:color w:val="050505"/>
        </w:rPr>
        <w:t>We are a technology company that meshes the physical and digital worlds to create a completely new, immersive, and connected fitness experience. We are also:</w:t>
      </w:r>
    </w:p>
    <w:p>
      <w:pPr>
        <w:spacing w:after="0" w:line="138" w:lineRule="exact"/>
        <w:rPr>
          <w:sz w:val="20"/>
          <w:szCs w:val="20"/>
          <w:color w:val="auto"/>
        </w:rPr>
      </w:pPr>
    </w:p>
    <w:p>
      <w:pPr>
        <w:ind w:left="2560"/>
        <w:spacing w:after="0"/>
        <w:rPr>
          <w:sz w:val="20"/>
          <w:szCs w:val="20"/>
          <w:color w:val="auto"/>
        </w:rPr>
      </w:pPr>
      <w:r>
        <w:rPr>
          <w:rFonts w:ascii="Arial" w:cs="Arial" w:eastAsia="Arial" w:hAnsi="Arial"/>
          <w:sz w:val="11"/>
          <w:szCs w:val="11"/>
          <w:color w:val="050505"/>
        </w:rPr>
        <w:t xml:space="preserve">…a media company that creates engaging-to-the-point-of-addictive </w:t>
      </w:r>
      <w:r>
        <w:rPr>
          <w:rFonts w:ascii="Arial" w:cs="Arial" w:eastAsia="Arial" w:hAnsi="Arial"/>
          <w:sz w:val="11"/>
          <w:szCs w:val="11"/>
          <w:color w:val="000000"/>
        </w:rPr>
        <w:t>original programming with the best instructors in the world.</w:t>
      </w:r>
    </w:p>
    <w:p>
      <w:pPr>
        <w:spacing w:after="0" w:line="144" w:lineRule="exact"/>
        <w:rPr>
          <w:sz w:val="20"/>
          <w:szCs w:val="20"/>
          <w:color w:val="auto"/>
        </w:rPr>
      </w:pPr>
    </w:p>
    <w:p>
      <w:pPr>
        <w:ind w:left="2560"/>
        <w:spacing w:after="0"/>
        <w:rPr>
          <w:sz w:val="20"/>
          <w:szCs w:val="20"/>
          <w:color w:val="auto"/>
        </w:rPr>
      </w:pPr>
      <w:r>
        <w:rPr>
          <w:rFonts w:ascii="Arial" w:cs="Arial" w:eastAsia="Arial" w:hAnsi="Arial"/>
          <w:sz w:val="11"/>
          <w:szCs w:val="11"/>
          <w:color w:val="050505"/>
        </w:rPr>
        <w:t>…an interactive software company that motivates our Members to achieve their goals.</w:t>
      </w:r>
    </w:p>
    <w:p>
      <w:pPr>
        <w:spacing w:after="0" w:line="144" w:lineRule="exact"/>
        <w:rPr>
          <w:sz w:val="20"/>
          <w:szCs w:val="20"/>
          <w:color w:val="auto"/>
        </w:rPr>
      </w:pPr>
    </w:p>
    <w:p>
      <w:pPr>
        <w:ind w:left="2560"/>
        <w:spacing w:after="0"/>
        <w:rPr>
          <w:sz w:val="20"/>
          <w:szCs w:val="20"/>
          <w:color w:val="auto"/>
        </w:rPr>
      </w:pPr>
      <w:r>
        <w:rPr>
          <w:rFonts w:ascii="Arial" w:cs="Arial" w:eastAsia="Arial" w:hAnsi="Arial"/>
          <w:sz w:val="11"/>
          <w:szCs w:val="11"/>
          <w:color w:val="050505"/>
        </w:rPr>
        <w:t>…a product design company that develops beautiful and intuitive equipment that anticipates the needs of our Members.</w:t>
      </w:r>
    </w:p>
    <w:p>
      <w:pPr>
        <w:spacing w:after="0" w:line="144" w:lineRule="exact"/>
        <w:rPr>
          <w:sz w:val="20"/>
          <w:szCs w:val="20"/>
          <w:color w:val="auto"/>
        </w:rPr>
      </w:pPr>
    </w:p>
    <w:p>
      <w:pPr>
        <w:ind w:left="2560"/>
        <w:spacing w:after="0"/>
        <w:rPr>
          <w:sz w:val="20"/>
          <w:szCs w:val="20"/>
          <w:color w:val="auto"/>
        </w:rPr>
      </w:pPr>
      <w:r>
        <w:rPr>
          <w:rFonts w:ascii="Arial" w:cs="Arial" w:eastAsia="Arial" w:hAnsi="Arial"/>
          <w:sz w:val="11"/>
          <w:szCs w:val="11"/>
          <w:color w:val="050505"/>
        </w:rPr>
        <w:t>…a social connection company that enables our community to support one another.</w:t>
      </w:r>
    </w:p>
    <w:p>
      <w:pPr>
        <w:spacing w:after="0" w:line="144" w:lineRule="exact"/>
        <w:rPr>
          <w:sz w:val="20"/>
          <w:szCs w:val="20"/>
          <w:color w:val="auto"/>
        </w:rPr>
      </w:pPr>
    </w:p>
    <w:p>
      <w:pPr>
        <w:ind w:left="2560"/>
        <w:spacing w:after="0"/>
        <w:rPr>
          <w:sz w:val="20"/>
          <w:szCs w:val="20"/>
          <w:color w:val="auto"/>
        </w:rPr>
      </w:pPr>
      <w:r>
        <w:rPr>
          <w:rFonts w:ascii="Arial" w:cs="Arial" w:eastAsia="Arial" w:hAnsi="Arial"/>
          <w:sz w:val="11"/>
          <w:szCs w:val="11"/>
          <w:color w:val="050505"/>
        </w:rPr>
        <w:t>…a direct-to-consumer, multi-channel retail company that facilitates a seamless customer journey.</w:t>
      </w:r>
    </w:p>
    <w:p>
      <w:pPr>
        <w:spacing w:after="0" w:line="144" w:lineRule="exact"/>
        <w:rPr>
          <w:sz w:val="20"/>
          <w:szCs w:val="20"/>
          <w:color w:val="auto"/>
        </w:rPr>
      </w:pPr>
    </w:p>
    <w:p>
      <w:pPr>
        <w:ind w:left="2560"/>
        <w:spacing w:after="0"/>
        <w:rPr>
          <w:sz w:val="20"/>
          <w:szCs w:val="20"/>
          <w:color w:val="auto"/>
        </w:rPr>
      </w:pPr>
      <w:r>
        <w:rPr>
          <w:rFonts w:ascii="Arial" w:cs="Arial" w:eastAsia="Arial" w:hAnsi="Arial"/>
          <w:sz w:val="11"/>
          <w:szCs w:val="11"/>
          <w:color w:val="050505"/>
        </w:rPr>
        <w:t>…an apparel company that allows Members to display their passion for Peloton.</w:t>
      </w:r>
    </w:p>
    <w:p>
      <w:pPr>
        <w:spacing w:after="0" w:line="144" w:lineRule="exact"/>
        <w:rPr>
          <w:sz w:val="20"/>
          <w:szCs w:val="20"/>
          <w:color w:val="auto"/>
        </w:rPr>
      </w:pPr>
    </w:p>
    <w:p>
      <w:pPr>
        <w:ind w:left="2560"/>
        <w:spacing w:after="0"/>
        <w:rPr>
          <w:sz w:val="20"/>
          <w:szCs w:val="20"/>
          <w:color w:val="auto"/>
        </w:rPr>
      </w:pPr>
      <w:r>
        <w:rPr>
          <w:rFonts w:ascii="Arial" w:cs="Arial" w:eastAsia="Arial" w:hAnsi="Arial"/>
          <w:sz w:val="11"/>
          <w:szCs w:val="11"/>
          <w:color w:val="050505"/>
        </w:rPr>
        <w:t>…a logistics company that provides high-touch delivery, set up, and service for our Members.</w:t>
      </w:r>
    </w:p>
    <w:p>
      <w:pPr>
        <w:spacing w:after="0" w:line="144" w:lineRule="exact"/>
        <w:rPr>
          <w:sz w:val="20"/>
          <w:szCs w:val="20"/>
          <w:color w:val="auto"/>
        </w:rPr>
      </w:pPr>
    </w:p>
    <w:p>
      <w:pPr>
        <w:jc w:val="both"/>
        <w:ind w:left="2280" w:right="1059"/>
        <w:spacing w:after="0" w:line="245" w:lineRule="auto"/>
        <w:rPr>
          <w:sz w:val="20"/>
          <w:szCs w:val="20"/>
          <w:color w:val="auto"/>
        </w:rPr>
      </w:pPr>
      <w:r>
        <w:rPr>
          <w:rFonts w:ascii="Arial" w:cs="Arial" w:eastAsia="Arial" w:hAnsi="Arial"/>
          <w:sz w:val="11"/>
          <w:szCs w:val="11"/>
          <w:color w:val="050505"/>
        </w:rPr>
        <w:t>We are driven by our Members-first obsession and we will be any company we need to be in order to deliver the best fitness experience possible.</w:t>
      </w:r>
    </w:p>
    <w:p>
      <w:pPr>
        <w:spacing w:after="0" w:line="126" w:lineRule="exact"/>
        <w:rPr>
          <w:sz w:val="20"/>
          <w:szCs w:val="20"/>
          <w:color w:val="auto"/>
        </w:rPr>
      </w:pPr>
    </w:p>
    <w:p>
      <w:pPr>
        <w:ind w:left="2280"/>
        <w:spacing w:after="0"/>
        <w:rPr>
          <w:sz w:val="20"/>
          <w:szCs w:val="20"/>
          <w:color w:val="auto"/>
        </w:rPr>
      </w:pPr>
      <w:r>
        <w:rPr>
          <w:rFonts w:ascii="Arial" w:cs="Arial" w:eastAsia="Arial" w:hAnsi="Arial"/>
          <w:sz w:val="11"/>
          <w:szCs w:val="11"/>
          <w:b w:val="1"/>
          <w:bCs w:val="1"/>
          <w:u w:val="single" w:color="auto"/>
          <w:color w:val="auto"/>
        </w:rPr>
        <w:t>Who We Are</w:t>
      </w:r>
    </w:p>
    <w:p>
      <w:pPr>
        <w:spacing w:after="0" w:line="12" w:lineRule="exact"/>
        <w:rPr>
          <w:sz w:val="20"/>
          <w:szCs w:val="20"/>
          <w:color w:val="auto"/>
        </w:rPr>
      </w:pPr>
    </w:p>
    <w:p>
      <w:pPr>
        <w:jc w:val="both"/>
        <w:ind w:left="2280" w:right="1059"/>
        <w:spacing w:after="0" w:line="241" w:lineRule="auto"/>
        <w:rPr>
          <w:sz w:val="20"/>
          <w:szCs w:val="20"/>
          <w:color w:val="auto"/>
        </w:rPr>
      </w:pPr>
      <w:r>
        <w:rPr>
          <w:rFonts w:ascii="Arial" w:cs="Arial" w:eastAsia="Arial" w:hAnsi="Arial"/>
          <w:sz w:val="11"/>
          <w:szCs w:val="11"/>
          <w:color w:val="050505"/>
        </w:rPr>
        <w:t>Peloton is the largest interactive fitness platform in the world with a loyal community of over 1.4 million Members. We pioneered connected, technology-enabled fitness, and the streaming of immersive, instructor-led boutique classes to our Members anytime, anywhere. We make fitness entertaining, approachable, effective, and convenient, while fostering social connections that encourage our Members to be the best versions of themselves. We define a Member as any individual who has a Peloton account.</w:t>
      </w:r>
    </w:p>
    <w:p>
      <w:pPr>
        <w:spacing w:after="0" w:line="140" w:lineRule="exact"/>
        <w:rPr>
          <w:sz w:val="20"/>
          <w:szCs w:val="20"/>
          <w:color w:val="auto"/>
        </w:rPr>
      </w:pPr>
    </w:p>
    <w:p>
      <w:pPr>
        <w:jc w:val="both"/>
        <w:ind w:left="2280" w:right="1059"/>
        <w:spacing w:after="0" w:line="241" w:lineRule="auto"/>
        <w:rPr>
          <w:sz w:val="20"/>
          <w:szCs w:val="20"/>
          <w:color w:val="auto"/>
        </w:rPr>
      </w:pPr>
      <w:r>
        <w:rPr>
          <w:rFonts w:ascii="Arial" w:cs="Arial" w:eastAsia="Arial" w:hAnsi="Arial"/>
          <w:sz w:val="11"/>
          <w:szCs w:val="11"/>
          <w:color w:val="050505"/>
        </w:rPr>
        <w:t>We are an innovation company at the nexus of fitness, technology, and media. We have disrupted the fitness industry by developing a first-of-its-kind subscription platform that seamlessly combines the best equipment, proprietary networked software, and world-class streaming digital fitness and wellness content, creating a product that our Members love. Our highly compelling offering helped our Members complete over 58 million Peloton workouts in fiscal 2019.</w:t>
      </w:r>
    </w:p>
    <w:p>
      <w:pPr>
        <w:spacing w:after="0" w:line="140" w:lineRule="exact"/>
        <w:rPr>
          <w:sz w:val="20"/>
          <w:szCs w:val="20"/>
          <w:color w:val="auto"/>
        </w:rPr>
      </w:pPr>
    </w:p>
    <w:p>
      <w:pPr>
        <w:jc w:val="both"/>
        <w:ind w:left="2280" w:right="1059"/>
        <w:spacing w:after="0" w:line="241" w:lineRule="auto"/>
        <w:rPr>
          <w:sz w:val="20"/>
          <w:szCs w:val="20"/>
          <w:color w:val="auto"/>
        </w:rPr>
      </w:pPr>
      <w:r>
        <w:rPr>
          <w:rFonts w:ascii="Arial" w:cs="Arial" w:eastAsia="Arial" w:hAnsi="Arial"/>
          <w:sz w:val="11"/>
          <w:szCs w:val="11"/>
          <w:color w:val="050505"/>
        </w:rPr>
        <w:t>Driven by our Members-first mindset, we built a vertically integrated platform that ensures a best-in-class, end-to-end experience. We have a direct-to-consumer multi-channel sales platform, including 74 showrooms with knowledgeable sales specialists, a high-touch delivery service, and helpful Member support teams. Our Members are as devoted to us as we are to them—92% of our interactive fitness equipment ever sold, which we refer to as our Connected Fitness Products, still had an active Connected Fitness Subscription attached as of June 30, 2019.</w:t>
      </w:r>
    </w:p>
    <w:p>
      <w:pPr>
        <w:spacing w:after="0" w:line="357" w:lineRule="exact"/>
        <w:rPr>
          <w:sz w:val="20"/>
          <w:szCs w:val="20"/>
          <w:color w:val="auto"/>
        </w:rPr>
      </w:pPr>
    </w:p>
    <w:p>
      <w:pPr>
        <w:ind w:left="5700"/>
        <w:spacing w:after="0"/>
        <w:rPr>
          <w:sz w:val="20"/>
          <w:szCs w:val="20"/>
          <w:color w:val="auto"/>
        </w:rPr>
      </w:pPr>
      <w:r>
        <w:rPr>
          <w:rFonts w:ascii="Arial" w:cs="Arial" w:eastAsia="Arial" w:hAnsi="Arial"/>
          <w:sz w:val="11"/>
          <w:szCs w:val="11"/>
          <w:color w:val="050505"/>
        </w:rPr>
        <w:t>1</w:t>
      </w:r>
    </w:p>
    <w:p>
      <w:pPr>
        <w:sectPr>
          <w:pgSz w:w="11900" w:h="16838" w:orient="portrait"/>
          <w:cols w:equalWidth="0" w:num="1">
            <w:col w:w="10239"/>
          </w:cols>
          <w:pgMar w:left="220" w:top="354" w:right="1440" w:bottom="1440" w:gutter="0" w:footer="0" w:header="0"/>
        </w:sectPr>
      </w:pPr>
    </w:p>
    <w:bookmarkStart w:id="6" w:name="page7"/>
    <w:bookmarkEnd w:id="6"/>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hyperlink w:anchor="page5">
        <w:r>
          <w:rPr>
            <w:rFonts w:ascii="Arial" w:cs="Arial" w:eastAsia="Arial" w:hAnsi="Arial"/>
            <w:sz w:val="12"/>
            <w:szCs w:val="12"/>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1306830</wp:posOffset>
            </wp:positionH>
            <wp:positionV relativeFrom="paragraph">
              <wp:posOffset>132715</wp:posOffset>
            </wp:positionV>
            <wp:extent cx="4674235" cy="43135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4674235" cy="4313555"/>
                    </a:xfrm>
                    <a:prstGeom prst="rect">
                      <a:avLst/>
                    </a:prstGeom>
                    <a:noFill/>
                  </pic:spPr>
                </pic:pic>
              </a:graphicData>
            </a:graphic>
          </wp:anchor>
        </w:drawing>
      </w:r>
    </w:p>
    <w:p>
      <w:pPr>
        <w:spacing w:after="0" w:line="322" w:lineRule="exact"/>
        <w:rPr>
          <w:sz w:val="20"/>
          <w:szCs w:val="20"/>
          <w:color w:val="auto"/>
        </w:rPr>
      </w:pPr>
    </w:p>
    <w:p>
      <w:pPr>
        <w:jc w:val="both"/>
        <w:ind w:left="2280" w:right="1059"/>
        <w:spacing w:after="0"/>
        <w:rPr>
          <w:sz w:val="20"/>
          <w:szCs w:val="20"/>
          <w:color w:val="auto"/>
        </w:rPr>
      </w:pPr>
      <w:r>
        <w:rPr>
          <w:rFonts w:ascii="Arial" w:cs="Arial" w:eastAsia="Arial" w:hAnsi="Arial"/>
          <w:sz w:val="11"/>
          <w:szCs w:val="11"/>
          <w:color w:val="050505"/>
        </w:rPr>
        <w:t>Our Connected Fitness Product offerings currently include the Peloton Bike, launched in 2014, and the Peloton Tread, launched in 2018. Both our Bike and Tread include a state-of-the-art touchscreen that streams live and on-demand classes. Our products have a multitude of interactive software features that encourage frequent use, facilitate healthy competition on our patented leaderboard, build community among our Members, and inspire our Members to track performance and achieve their goals with real-time and historical metrics. As of June 30, 2019, we had sold approximately 577,000 Connected Fitness Products, with approximately 564,000 sold in the United States.</w:t>
      </w:r>
    </w:p>
    <w:p>
      <w:pPr>
        <w:spacing w:after="0" w:line="142" w:lineRule="exact"/>
        <w:rPr>
          <w:sz w:val="20"/>
          <w:szCs w:val="20"/>
          <w:color w:val="auto"/>
        </w:rPr>
      </w:pPr>
    </w:p>
    <w:p>
      <w:pPr>
        <w:jc w:val="both"/>
        <w:ind w:left="2280" w:right="1059"/>
        <w:spacing w:after="0" w:line="241" w:lineRule="auto"/>
        <w:rPr>
          <w:sz w:val="20"/>
          <w:szCs w:val="20"/>
          <w:color w:val="auto"/>
        </w:rPr>
      </w:pPr>
      <w:r>
        <w:rPr>
          <w:rFonts w:ascii="Arial" w:cs="Arial" w:eastAsia="Arial" w:hAnsi="Arial"/>
          <w:sz w:val="11"/>
          <w:szCs w:val="11"/>
          <w:color w:val="050505"/>
        </w:rPr>
        <w:t>Our world-class instructors teach classes across a variety of fitness and wellness disciplines, including indoor cycling, indoor/outdoor running and walking, bootcamp, yoga, strength training, stretching, and meditation. We produce over 950 original programs per month and maintain a vast and constantly updated library of thousands of original fitness and wellness programs. We make it easy for Members to find a class that fits their interests based on class type, instructor, music genre, length, available equipment, area of physical focus, and level of difficulty.</w:t>
      </w:r>
    </w:p>
    <w:p>
      <w:pPr>
        <w:spacing w:after="0" w:line="140" w:lineRule="exact"/>
        <w:rPr>
          <w:sz w:val="20"/>
          <w:szCs w:val="20"/>
          <w:color w:val="auto"/>
        </w:rPr>
      </w:pPr>
    </w:p>
    <w:p>
      <w:pPr>
        <w:jc w:val="both"/>
        <w:ind w:left="2280" w:right="1059"/>
        <w:spacing w:after="0" w:line="241" w:lineRule="auto"/>
        <w:rPr>
          <w:sz w:val="20"/>
          <w:szCs w:val="20"/>
          <w:color w:val="auto"/>
        </w:rPr>
      </w:pPr>
      <w:r>
        <w:rPr>
          <w:rFonts w:ascii="Arial" w:cs="Arial" w:eastAsia="Arial" w:hAnsi="Arial"/>
          <w:sz w:val="11"/>
          <w:szCs w:val="11"/>
          <w:color w:val="050505"/>
        </w:rPr>
        <w:t>Our content is available on our Connected Fitness Products through a $39.00 monthly Connected Fitness Subscription, which allows for unlimited workouts across multiple users within a household. Our Connected Fitness Subscribers can enjoy our classes anywhere through our digital app, Peloton Digital, which is available through iOS and Android mobile devices, as well as most tablets and computers. We also have Digital Subscribers who pay $19.49 per month for access to our content library on their own devices.</w:t>
      </w:r>
    </w:p>
    <w:p>
      <w:pPr>
        <w:spacing w:after="0" w:line="140" w:lineRule="exact"/>
        <w:rPr>
          <w:sz w:val="20"/>
          <w:szCs w:val="20"/>
          <w:color w:val="auto"/>
        </w:rPr>
      </w:pPr>
    </w:p>
    <w:p>
      <w:pPr>
        <w:jc w:val="both"/>
        <w:ind w:left="2280" w:right="1059"/>
        <w:spacing w:after="0" w:line="278" w:lineRule="auto"/>
        <w:rPr>
          <w:sz w:val="20"/>
          <w:szCs w:val="20"/>
          <w:color w:val="auto"/>
        </w:rPr>
      </w:pPr>
      <w:r>
        <w:rPr>
          <w:rFonts w:ascii="Arial" w:cs="Arial" w:eastAsia="Arial" w:hAnsi="Arial"/>
          <w:sz w:val="10"/>
          <w:szCs w:val="10"/>
          <w:color w:val="050505"/>
        </w:rPr>
        <w:t>Our revenue is primarily generated from the sale of our Connected Fitness Products and associated recurring subscription revenue. We have experienced significant growth in sales of Connected Fitness Products, which, when combined with our strong Connected Fitness Subscriber retention rates, has driven high growth in Connected Fitness Subscribers. Our Connected Fitness Subscriber base grew by 108% in fiscal 2019.</w:t>
      </w:r>
    </w:p>
    <w:p>
      <w:pPr>
        <w:spacing w:after="0" w:line="123" w:lineRule="exact"/>
        <w:rPr>
          <w:sz w:val="20"/>
          <w:szCs w:val="20"/>
          <w:color w:val="auto"/>
        </w:rPr>
      </w:pPr>
    </w:p>
    <w:p>
      <w:pPr>
        <w:jc w:val="both"/>
        <w:ind w:left="2280" w:right="1059"/>
        <w:spacing w:after="0"/>
        <w:rPr>
          <w:sz w:val="20"/>
          <w:szCs w:val="20"/>
          <w:color w:val="auto"/>
        </w:rPr>
      </w:pPr>
      <w:r>
        <w:rPr>
          <w:rFonts w:ascii="Arial" w:cs="Arial" w:eastAsia="Arial" w:hAnsi="Arial"/>
          <w:sz w:val="11"/>
          <w:szCs w:val="11"/>
          <w:color w:val="050505"/>
        </w:rPr>
        <w:t>Our compelling financial profile is characterized by high growth, strong retention, recurring revenue, margin expansion, and efficient customer acquisition. Our low Average Net Monthly Connected Fitness Churn, together with our high Subscription Contribution Margin, generates attractive Connected Fitness Subscriber Lifetime Value. When we acquire new Connected Fitness Subscribers, we are able to offset our customer acquisition costs with the gross profit earned on our Connected Fitness Products. This allows for rapid payback of our sales and marketing investments and results in a robust unit economic model.</w:t>
      </w:r>
    </w:p>
    <w:p>
      <w:pPr>
        <w:spacing w:after="0" w:line="142" w:lineRule="exact"/>
        <w:rPr>
          <w:sz w:val="20"/>
          <w:szCs w:val="20"/>
          <w:color w:val="auto"/>
        </w:rPr>
      </w:pPr>
    </w:p>
    <w:p>
      <w:pPr>
        <w:ind w:left="2280"/>
        <w:spacing w:after="0"/>
        <w:rPr>
          <w:sz w:val="20"/>
          <w:szCs w:val="20"/>
          <w:color w:val="auto"/>
        </w:rPr>
      </w:pPr>
      <w:r>
        <w:rPr>
          <w:rFonts w:ascii="Arial" w:cs="Arial" w:eastAsia="Arial" w:hAnsi="Arial"/>
          <w:sz w:val="11"/>
          <w:szCs w:val="11"/>
          <w:color w:val="050505"/>
        </w:rPr>
        <w:t>We are a fast-growing and scaled fitness platform. For fiscal 2017, 2018, and 2019:</w:t>
      </w:r>
    </w:p>
    <w:p>
      <w:pPr>
        <w:spacing w:after="0" w:line="162" w:lineRule="exact"/>
        <w:rPr>
          <w:sz w:val="20"/>
          <w:szCs w:val="20"/>
          <w:color w:val="auto"/>
        </w:rPr>
      </w:pPr>
    </w:p>
    <w:p>
      <w:pPr>
        <w:ind w:left="2620" w:right="1079" w:hanging="200"/>
        <w:spacing w:after="0" w:line="245" w:lineRule="auto"/>
        <w:tabs>
          <w:tab w:leader="none" w:pos="2620" w:val="left"/>
        </w:tabs>
        <w:numPr>
          <w:ilvl w:val="0"/>
          <w:numId w:val="1"/>
        </w:numPr>
        <w:rPr>
          <w:rFonts w:ascii="Arial" w:cs="Arial" w:eastAsia="Arial" w:hAnsi="Arial"/>
          <w:sz w:val="11"/>
          <w:szCs w:val="11"/>
          <w:color w:val="F7323F"/>
        </w:rPr>
      </w:pPr>
      <w:r>
        <w:rPr>
          <w:rFonts w:ascii="Arial" w:cs="Arial" w:eastAsia="Arial" w:hAnsi="Arial"/>
          <w:sz w:val="11"/>
          <w:szCs w:val="11"/>
          <w:color w:val="050505"/>
        </w:rPr>
        <w:t>we generated total revenue of $218.6 million, $435.0 million, and $915.0 million, respectively, representing 99.0% and 110.3% year-over-year growth;</w:t>
      </w:r>
    </w:p>
    <w:p>
      <w:pPr>
        <w:spacing w:after="0" w:line="38" w:lineRule="exact"/>
        <w:rPr>
          <w:rFonts w:ascii="Arial" w:cs="Arial" w:eastAsia="Arial" w:hAnsi="Arial"/>
          <w:sz w:val="11"/>
          <w:szCs w:val="11"/>
          <w:color w:val="F7323F"/>
        </w:rPr>
      </w:pPr>
    </w:p>
    <w:p>
      <w:pPr>
        <w:ind w:left="2620" w:hanging="200"/>
        <w:spacing w:after="0"/>
        <w:tabs>
          <w:tab w:leader="none" w:pos="2620" w:val="left"/>
        </w:tabs>
        <w:numPr>
          <w:ilvl w:val="0"/>
          <w:numId w:val="1"/>
        </w:numPr>
        <w:rPr>
          <w:rFonts w:ascii="Arial" w:cs="Arial" w:eastAsia="Arial" w:hAnsi="Arial"/>
          <w:sz w:val="11"/>
          <w:szCs w:val="11"/>
          <w:color w:val="F7323F"/>
        </w:rPr>
      </w:pPr>
      <w:r>
        <w:rPr>
          <w:rFonts w:ascii="Arial" w:cs="Arial" w:eastAsia="Arial" w:hAnsi="Arial"/>
          <w:sz w:val="11"/>
          <w:szCs w:val="11"/>
          <w:color w:val="050505"/>
        </w:rPr>
        <w:t>we incurred net losses of $(71.1) million, $(47.9) million, and $(195.6) million, respectively; and</w:t>
      </w:r>
    </w:p>
    <w:p>
      <w:pPr>
        <w:spacing w:after="0" w:line="44" w:lineRule="exact"/>
        <w:rPr>
          <w:rFonts w:ascii="Arial" w:cs="Arial" w:eastAsia="Arial" w:hAnsi="Arial"/>
          <w:sz w:val="11"/>
          <w:szCs w:val="11"/>
          <w:color w:val="F7323F"/>
        </w:rPr>
      </w:pPr>
    </w:p>
    <w:p>
      <w:pPr>
        <w:ind w:left="2620" w:hanging="200"/>
        <w:spacing w:after="0"/>
        <w:tabs>
          <w:tab w:leader="none" w:pos="2620" w:val="left"/>
        </w:tabs>
        <w:numPr>
          <w:ilvl w:val="0"/>
          <w:numId w:val="1"/>
        </w:numPr>
        <w:rPr>
          <w:rFonts w:ascii="Arial" w:cs="Arial" w:eastAsia="Arial" w:hAnsi="Arial"/>
          <w:sz w:val="11"/>
          <w:szCs w:val="11"/>
          <w:color w:val="F7323F"/>
        </w:rPr>
      </w:pPr>
      <w:r>
        <w:rPr>
          <w:rFonts w:ascii="Arial" w:cs="Arial" w:eastAsia="Arial" w:hAnsi="Arial"/>
          <w:sz w:val="11"/>
          <w:szCs w:val="11"/>
          <w:color w:val="050505"/>
        </w:rPr>
        <w:t>our Adjusted EBITDA was $(51.8) million, $(30.4) million, and $(71.3) million, respectively.</w:t>
      </w:r>
    </w:p>
    <w:p>
      <w:pPr>
        <w:spacing w:after="0" w:line="144" w:lineRule="exact"/>
        <w:rPr>
          <w:sz w:val="20"/>
          <w:szCs w:val="20"/>
          <w:color w:val="auto"/>
        </w:rPr>
      </w:pPr>
    </w:p>
    <w:p>
      <w:pPr>
        <w:ind w:left="2280" w:right="1059"/>
        <w:spacing w:after="0" w:line="245" w:lineRule="auto"/>
        <w:rPr>
          <w:sz w:val="20"/>
          <w:szCs w:val="20"/>
          <w:color w:val="auto"/>
        </w:rPr>
      </w:pPr>
      <w:r>
        <w:rPr>
          <w:rFonts w:ascii="Arial" w:cs="Arial" w:eastAsia="Arial" w:hAnsi="Arial"/>
          <w:sz w:val="11"/>
          <w:szCs w:val="11"/>
          <w:color w:val="050505"/>
        </w:rPr>
        <w:t>See the section titled “Selected Consolidated Financial and Other Data—Non-GAAP Financial Measures” for information regarding our use of Adjusted EBITDA and a reconciliation of net loss to Adjusted EBITDA.</w:t>
      </w:r>
    </w:p>
    <w:p>
      <w:pPr>
        <w:spacing w:after="0" w:line="138" w:lineRule="exact"/>
        <w:rPr>
          <w:sz w:val="20"/>
          <w:szCs w:val="20"/>
          <w:color w:val="auto"/>
        </w:rPr>
      </w:pPr>
    </w:p>
    <w:p>
      <w:pPr>
        <w:ind w:left="2280"/>
        <w:spacing w:after="0"/>
        <w:rPr>
          <w:sz w:val="20"/>
          <w:szCs w:val="20"/>
          <w:color w:val="auto"/>
        </w:rPr>
      </w:pPr>
      <w:r>
        <w:rPr>
          <w:rFonts w:ascii="Arial" w:cs="Arial" w:eastAsia="Arial" w:hAnsi="Arial"/>
          <w:sz w:val="11"/>
          <w:szCs w:val="11"/>
          <w:color w:val="050505"/>
        </w:rPr>
        <w:t>For fiscal 2017, 2018, and 2019, key metrics of our business included:</w:t>
      </w:r>
    </w:p>
    <w:p>
      <w:pPr>
        <w:spacing w:after="0" w:line="162" w:lineRule="exact"/>
        <w:rPr>
          <w:sz w:val="20"/>
          <w:szCs w:val="20"/>
          <w:color w:val="auto"/>
        </w:rPr>
      </w:pPr>
    </w:p>
    <w:p>
      <w:pPr>
        <w:ind w:left="2620" w:hanging="200"/>
        <w:spacing w:after="0"/>
        <w:tabs>
          <w:tab w:leader="none" w:pos="2620" w:val="left"/>
        </w:tabs>
        <w:numPr>
          <w:ilvl w:val="0"/>
          <w:numId w:val="2"/>
        </w:numPr>
        <w:rPr>
          <w:rFonts w:ascii="Arial" w:cs="Arial" w:eastAsia="Arial" w:hAnsi="Arial"/>
          <w:sz w:val="11"/>
          <w:szCs w:val="11"/>
          <w:color w:val="F7323F"/>
        </w:rPr>
      </w:pPr>
      <w:r>
        <w:rPr>
          <w:rFonts w:ascii="Arial" w:cs="Arial" w:eastAsia="Arial" w:hAnsi="Arial"/>
          <w:sz w:val="11"/>
          <w:szCs w:val="11"/>
          <w:color w:val="050505"/>
        </w:rPr>
        <w:t>Connected Fitness Subscribers of 107,708, 245,667, and 511,202, respectively; and</w:t>
      </w:r>
    </w:p>
    <w:p>
      <w:pPr>
        <w:spacing w:after="0" w:line="80" w:lineRule="exact"/>
        <w:rPr>
          <w:rFonts w:ascii="Arial" w:cs="Arial" w:eastAsia="Arial" w:hAnsi="Arial"/>
          <w:sz w:val="11"/>
          <w:szCs w:val="11"/>
          <w:color w:val="F7323F"/>
        </w:rPr>
      </w:pPr>
    </w:p>
    <w:p>
      <w:pPr>
        <w:ind w:left="2620" w:hanging="200"/>
        <w:spacing w:after="0"/>
        <w:tabs>
          <w:tab w:leader="none" w:pos="2620" w:val="left"/>
        </w:tabs>
        <w:numPr>
          <w:ilvl w:val="0"/>
          <w:numId w:val="2"/>
        </w:numPr>
        <w:rPr>
          <w:rFonts w:ascii="Arial" w:cs="Arial" w:eastAsia="Arial" w:hAnsi="Arial"/>
          <w:sz w:val="11"/>
          <w:szCs w:val="11"/>
          <w:color w:val="F7323F"/>
        </w:rPr>
      </w:pPr>
      <w:r>
        <w:rPr>
          <w:rFonts w:ascii="Arial" w:cs="Arial" w:eastAsia="Arial" w:hAnsi="Arial"/>
          <w:sz w:val="11"/>
          <w:szCs w:val="11"/>
          <w:color w:val="050505"/>
        </w:rPr>
        <w:t>Average Net Monthly Connected Fitness Churn of 0.70%, 0.64%, and 0.65%, respectively.</w:t>
      </w:r>
    </w:p>
    <w:p>
      <w:pPr>
        <w:spacing w:after="0" w:line="144" w:lineRule="exact"/>
        <w:rPr>
          <w:sz w:val="20"/>
          <w:szCs w:val="20"/>
          <w:color w:val="auto"/>
        </w:rPr>
      </w:pPr>
    </w:p>
    <w:p>
      <w:pPr>
        <w:jc w:val="both"/>
        <w:ind w:left="2280" w:right="1059"/>
        <w:spacing w:after="0" w:line="241" w:lineRule="auto"/>
        <w:rPr>
          <w:sz w:val="20"/>
          <w:szCs w:val="20"/>
          <w:color w:val="auto"/>
        </w:rPr>
      </w:pPr>
      <w:r>
        <w:rPr>
          <w:rFonts w:ascii="Arial" w:cs="Arial" w:eastAsia="Arial" w:hAnsi="Arial"/>
          <w:sz w:val="11"/>
          <w:szCs w:val="11"/>
          <w:color w:val="050505"/>
        </w:rPr>
        <w:t>For a definition of Connected Fitness Subscriber Lifetime Value, see the section titled “Management’s Discussion and Analysis of Financial Condition and Results of Operations—Business Model” and for a definition of Connected Fitness Subscribers, Average Net Monthly Connected Fitness Churn, and Subscription Contribution Margin, see the section titled “Management’s Discussion and Analysis of Financial Condition and Results of Operations—Key Operational and Business Metrics.”</w:t>
      </w:r>
    </w:p>
    <w:p>
      <w:pPr>
        <w:spacing w:after="0" w:line="357" w:lineRule="exact"/>
        <w:rPr>
          <w:sz w:val="20"/>
          <w:szCs w:val="20"/>
          <w:color w:val="auto"/>
        </w:rPr>
      </w:pPr>
    </w:p>
    <w:p>
      <w:pPr>
        <w:ind w:left="5700"/>
        <w:spacing w:after="0"/>
        <w:rPr>
          <w:sz w:val="20"/>
          <w:szCs w:val="20"/>
          <w:color w:val="auto"/>
        </w:rPr>
      </w:pPr>
      <w:r>
        <w:rPr>
          <w:rFonts w:ascii="Arial" w:cs="Arial" w:eastAsia="Arial" w:hAnsi="Arial"/>
          <w:sz w:val="11"/>
          <w:szCs w:val="11"/>
          <w:color w:val="050505"/>
        </w:rPr>
        <w:t>2</w:t>
      </w:r>
    </w:p>
    <w:p>
      <w:pPr>
        <w:sectPr>
          <w:pgSz w:w="11900" w:h="16838" w:orient="portrait"/>
          <w:cols w:equalWidth="0" w:num="1">
            <w:col w:w="10239"/>
          </w:cols>
          <w:pgMar w:left="220" w:top="354" w:right="1440" w:bottom="1440" w:gutter="0" w:footer="0" w:header="0"/>
        </w:sectPr>
      </w:pPr>
    </w:p>
    <w:bookmarkStart w:id="7" w:name="page8"/>
    <w:bookmarkEnd w:id="7"/>
    <w:p>
      <w:pPr>
        <w:spacing w:after="0"/>
        <w:rPr>
          <w:rFonts w:ascii="Arial" w:cs="Arial" w:eastAsia="Arial" w:hAnsi="Arial"/>
          <w:sz w:val="10"/>
          <w:szCs w:val="10"/>
          <w:b w:val="1"/>
          <w:bCs w:val="1"/>
          <w:u w:val="single" w:color="auto"/>
          <w:color w:val="0000EE"/>
        </w:rPr>
      </w:pPr>
      <w:r>
        <w:rPr>
          <w:rFonts w:ascii="Arial" w:cs="Arial" w:eastAsia="Arial" w:hAnsi="Arial"/>
          <w:sz w:val="10"/>
          <w:szCs w:val="10"/>
          <w:b w:val="1"/>
          <w:bCs w:val="1"/>
          <w:u w:val="single" w:color="auto"/>
          <w:color w:val="0000EE"/>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hyperlink w:anchor="page5">
        <w:r>
          <w:rPr>
            <w:rFonts w:ascii="Arial" w:cs="Arial" w:eastAsia="Arial" w:hAnsi="Arial"/>
            <w:sz w:val="10"/>
            <w:szCs w:val="10"/>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1306830</wp:posOffset>
            </wp:positionH>
            <wp:positionV relativeFrom="paragraph">
              <wp:posOffset>147320</wp:posOffset>
            </wp:positionV>
            <wp:extent cx="4674235" cy="397637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4674235" cy="3976370"/>
                    </a:xfrm>
                    <a:prstGeom prst="rect">
                      <a:avLst/>
                    </a:prstGeom>
                    <a:noFill/>
                  </pic:spPr>
                </pic:pic>
              </a:graphicData>
            </a:graphic>
          </wp:anchor>
        </w:drawing>
      </w:r>
    </w:p>
    <w:p>
      <w:pPr>
        <w:sectPr>
          <w:pgSz w:w="11900" w:h="16838" w:orient="portrait"/>
          <w:cols w:equalWidth="0" w:num="1">
            <w:col w:w="10239"/>
          </w:cols>
          <w:pgMar w:left="220" w:top="354"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2280"/>
        <w:spacing w:after="0"/>
        <w:rPr>
          <w:sz w:val="20"/>
          <w:szCs w:val="20"/>
          <w:color w:val="auto"/>
        </w:rPr>
      </w:pPr>
      <w:r>
        <w:rPr>
          <w:rFonts w:ascii="Arial" w:cs="Arial" w:eastAsia="Arial" w:hAnsi="Arial"/>
          <w:sz w:val="11"/>
          <w:szCs w:val="11"/>
          <w:b w:val="1"/>
          <w:bCs w:val="1"/>
          <w:u w:val="single" w:color="auto"/>
          <w:color w:val="auto"/>
        </w:rPr>
        <w:t>Our Industry and Opportunity</w:t>
      </w:r>
    </w:p>
    <w:p>
      <w:pPr>
        <w:spacing w:after="0" w:line="144" w:lineRule="exact"/>
        <w:rPr>
          <w:sz w:val="20"/>
          <w:szCs w:val="20"/>
          <w:color w:val="auto"/>
        </w:rPr>
      </w:pPr>
    </w:p>
    <w:p>
      <w:pPr>
        <w:ind w:left="2280"/>
        <w:spacing w:after="0"/>
        <w:rPr>
          <w:sz w:val="20"/>
          <w:szCs w:val="20"/>
          <w:color w:val="auto"/>
        </w:rPr>
      </w:pPr>
      <w:r>
        <w:rPr>
          <w:rFonts w:ascii="Arial" w:cs="Arial" w:eastAsia="Arial" w:hAnsi="Arial"/>
          <w:sz w:val="11"/>
          <w:szCs w:val="11"/>
          <w:b w:val="1"/>
          <w:bCs w:val="1"/>
          <w:i w:val="1"/>
          <w:iCs w:val="1"/>
          <w:color w:val="auto"/>
        </w:rPr>
        <w:t>Industry</w:t>
      </w:r>
    </w:p>
    <w:p>
      <w:pPr>
        <w:spacing w:after="0" w:line="12" w:lineRule="exact"/>
        <w:rPr>
          <w:sz w:val="20"/>
          <w:szCs w:val="20"/>
          <w:color w:val="auto"/>
        </w:rPr>
      </w:pPr>
    </w:p>
    <w:p>
      <w:pPr>
        <w:jc w:val="both"/>
        <w:ind w:left="2280" w:right="1059"/>
        <w:spacing w:after="0" w:line="241" w:lineRule="auto"/>
        <w:rPr>
          <w:sz w:val="20"/>
          <w:szCs w:val="20"/>
          <w:color w:val="auto"/>
        </w:rPr>
      </w:pPr>
      <w:r>
        <w:rPr>
          <w:rFonts w:ascii="Arial" w:cs="Arial" w:eastAsia="Arial" w:hAnsi="Arial"/>
          <w:sz w:val="11"/>
          <w:szCs w:val="11"/>
          <w:color w:val="050505"/>
        </w:rPr>
        <w:t>We participate in the massive and growing global health and wellness industry. According to a 2018 report by the Global Wellness Institute, the total global spend on the wellness industry in 2017 was $4.2 trillion, of which the global fitness and certain categories of wellness, including meditation and yoga, spend represented nearly $600 billion. According to the International Health, Racquet &amp; Sportsclub Association, or IHRSA, 183 million and 62 million people had gym memberships globally and in the United States, respectively, as of 2018.</w:t>
      </w:r>
    </w:p>
    <w:p>
      <w:pPr>
        <w:spacing w:after="0" w:line="140" w:lineRule="exact"/>
        <w:rPr>
          <w:sz w:val="20"/>
          <w:szCs w:val="20"/>
          <w:color w:val="auto"/>
        </w:rPr>
      </w:pPr>
    </w:p>
    <w:p>
      <w:pPr>
        <w:jc w:val="both"/>
        <w:ind w:left="2280" w:right="1059"/>
        <w:spacing w:after="0" w:line="273" w:lineRule="auto"/>
        <w:rPr>
          <w:sz w:val="20"/>
          <w:szCs w:val="20"/>
          <w:color w:val="auto"/>
        </w:rPr>
      </w:pPr>
      <w:r>
        <w:rPr>
          <w:rFonts w:ascii="Arial" w:cs="Arial" w:eastAsia="Arial" w:hAnsi="Arial"/>
          <w:sz w:val="10"/>
          <w:szCs w:val="10"/>
          <w:color w:val="050505"/>
        </w:rPr>
        <w:t>Our current product portfolio, which consists of our Bike, Tread, and fitness and wellness subscription services, addresses a large consumer base. Within our current and announced markets (the United States, the United Kingdom, Canada, and Germany), we estimate that 75 million people used treadmills and 27 million used stationary cycling bikes in the 12 months ended March 2019. In those same regions, we estimate that over 5 million treadmills and nearly 3 million stationary cycling bikes were purchased for in-home use in the 12 months ended March 2019.</w:t>
      </w:r>
    </w:p>
    <w:p>
      <w:pPr>
        <w:spacing w:after="0" w:line="125" w:lineRule="exact"/>
        <w:rPr>
          <w:sz w:val="20"/>
          <w:szCs w:val="20"/>
          <w:color w:val="auto"/>
        </w:rPr>
      </w:pPr>
    </w:p>
    <w:p>
      <w:pPr>
        <w:jc w:val="both"/>
        <w:ind w:left="2280" w:right="1059"/>
        <w:spacing w:after="0" w:line="245" w:lineRule="auto"/>
        <w:rPr>
          <w:sz w:val="20"/>
          <w:szCs w:val="20"/>
          <w:color w:val="auto"/>
        </w:rPr>
      </w:pPr>
      <w:r>
        <w:rPr>
          <w:rFonts w:ascii="Arial" w:cs="Arial" w:eastAsia="Arial" w:hAnsi="Arial"/>
          <w:sz w:val="11"/>
          <w:szCs w:val="11"/>
          <w:color w:val="050505"/>
        </w:rPr>
        <w:t>We believe that we are significantly expanding the market for fitness equipment and products. According to our 2019 Member Survey, four out of five Members were not in the market for home fitness equipment prior to purchasing a Peloton Connected Fitness Product.</w:t>
      </w:r>
    </w:p>
    <w:p>
      <w:pPr>
        <w:spacing w:after="0" w:line="126" w:lineRule="exact"/>
        <w:rPr>
          <w:sz w:val="20"/>
          <w:szCs w:val="20"/>
          <w:color w:val="auto"/>
        </w:rPr>
      </w:pPr>
    </w:p>
    <w:p>
      <w:pPr>
        <w:ind w:left="2280"/>
        <w:spacing w:after="0"/>
        <w:rPr>
          <w:sz w:val="20"/>
          <w:szCs w:val="20"/>
          <w:color w:val="auto"/>
        </w:rPr>
      </w:pPr>
      <w:r>
        <w:rPr>
          <w:rFonts w:ascii="Arial" w:cs="Arial" w:eastAsia="Arial" w:hAnsi="Arial"/>
          <w:sz w:val="11"/>
          <w:szCs w:val="11"/>
          <w:b w:val="1"/>
          <w:bCs w:val="1"/>
          <w:i w:val="1"/>
          <w:iCs w:val="1"/>
          <w:color w:val="auto"/>
        </w:rPr>
        <w:t>Opportunity</w:t>
      </w:r>
    </w:p>
    <w:p>
      <w:pPr>
        <w:spacing w:after="0" w:line="12" w:lineRule="exact"/>
        <w:rPr>
          <w:sz w:val="20"/>
          <w:szCs w:val="20"/>
          <w:color w:val="auto"/>
        </w:rPr>
      </w:pPr>
    </w:p>
    <w:p>
      <w:pPr>
        <w:jc w:val="both"/>
        <w:ind w:left="2280" w:right="1059"/>
        <w:spacing w:after="0" w:line="242" w:lineRule="auto"/>
        <w:rPr>
          <w:sz w:val="20"/>
          <w:szCs w:val="20"/>
          <w:color w:val="auto"/>
        </w:rPr>
      </w:pPr>
      <w:r>
        <w:rPr>
          <w:rFonts w:ascii="Arial" w:cs="Arial" w:eastAsia="Arial" w:hAnsi="Arial"/>
          <w:sz w:val="11"/>
          <w:szCs w:val="11"/>
          <w:color w:val="050505"/>
        </w:rPr>
        <w:t>We consider our market opportunity in terms of a Total Addressable Market, or TAM, which we believe is the market we can reach over the long-term in our current and announced markets, and a Serviceable Addressable Market, or SAM, which we address with our current product verticals and price points.</w:t>
      </w:r>
    </w:p>
    <w:p>
      <w:pPr>
        <w:spacing w:after="0" w:line="140" w:lineRule="exact"/>
        <w:rPr>
          <w:sz w:val="20"/>
          <w:szCs w:val="20"/>
          <w:color w:val="auto"/>
        </w:rPr>
      </w:pPr>
    </w:p>
    <w:p>
      <w:pPr>
        <w:jc w:val="both"/>
        <w:ind w:left="2280" w:right="1059"/>
        <w:spacing w:after="0"/>
        <w:rPr>
          <w:sz w:val="20"/>
          <w:szCs w:val="20"/>
          <w:color w:val="auto"/>
        </w:rPr>
      </w:pPr>
      <w:r>
        <w:rPr>
          <w:rFonts w:ascii="Arial" w:cs="Arial" w:eastAsia="Arial" w:hAnsi="Arial"/>
          <w:sz w:val="11"/>
          <w:szCs w:val="11"/>
          <w:color w:val="050505"/>
        </w:rPr>
        <w:t>According to our research, our TAM is 67 million households, of which 45 million are in the United States. Within our TAM, we estimate that 52 million households are interested in learning more about our Connected Fitness Products without seeing the price. We estimate that our SAM is 14 million Connected Fitness Products, with 12 million represented in the United States. Historically, our SAM has grown as our brand awareness has increased. With low brand awareness in our current international markets, we believe we will see SAM expand as we make further investments in building brand and product awareness in these regions. We will grow both TAM and SAM as we expand beyond our current geographies and grow SAM as we develop new Connected Fitness Products and content in new fitness verticals. With approximately 577,000 Connected Fitness Products sold globally as of June 30, 2019, we are approximately 4% penetrated in our SAM of 14 million. For a discussion of the methodology used in determining our TAM and SAM, see the section titled “Industry and Market Data.”</w:t>
      </w:r>
    </w:p>
    <w:p>
      <w:pPr>
        <w:spacing w:after="0" w:line="357" w:lineRule="exact"/>
        <w:rPr>
          <w:sz w:val="20"/>
          <w:szCs w:val="20"/>
          <w:color w:val="auto"/>
        </w:rPr>
      </w:pPr>
    </w:p>
    <w:p>
      <w:pPr>
        <w:ind w:left="5700"/>
        <w:spacing w:after="0"/>
        <w:rPr>
          <w:sz w:val="20"/>
          <w:szCs w:val="20"/>
          <w:color w:val="auto"/>
        </w:rPr>
      </w:pPr>
      <w:r>
        <w:rPr>
          <w:rFonts w:ascii="Arial" w:cs="Arial" w:eastAsia="Arial" w:hAnsi="Arial"/>
          <w:sz w:val="11"/>
          <w:szCs w:val="11"/>
          <w:color w:val="050505"/>
        </w:rPr>
        <w:t>3</w:t>
      </w:r>
    </w:p>
    <w:p>
      <w:pPr>
        <w:sectPr>
          <w:pgSz w:w="11900" w:h="16838" w:orient="portrait"/>
          <w:cols w:equalWidth="0" w:num="1">
            <w:col w:w="10239"/>
          </w:cols>
          <w:pgMar w:left="220" w:top="354" w:right="1440" w:bottom="1440" w:gutter="0" w:footer="0" w:header="0"/>
          <w:type w:val="continuous"/>
        </w:sectPr>
      </w:pPr>
    </w:p>
    <w:bookmarkStart w:id="8" w:name="page9"/>
    <w:bookmarkEnd w:id="8"/>
    <w:p>
      <w:pPr>
        <w:spacing w:after="0"/>
        <w:rPr>
          <w:rFonts w:ascii="Arial" w:cs="Arial" w:eastAsia="Arial" w:hAnsi="Arial"/>
          <w:sz w:val="10"/>
          <w:szCs w:val="10"/>
          <w:b w:val="1"/>
          <w:bCs w:val="1"/>
          <w:u w:val="single" w:color="auto"/>
          <w:color w:val="0000EE"/>
        </w:rPr>
      </w:pPr>
      <w:r>
        <w:rPr>
          <w:rFonts w:ascii="Arial" w:cs="Arial" w:eastAsia="Arial" w:hAnsi="Arial"/>
          <w:sz w:val="10"/>
          <w:szCs w:val="10"/>
          <w:b w:val="1"/>
          <w:bCs w:val="1"/>
          <w:u w:val="single" w:color="auto"/>
          <w:color w:val="0000EE"/>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hyperlink w:anchor="page5">
        <w:r>
          <w:rPr>
            <w:rFonts w:ascii="Arial" w:cs="Arial" w:eastAsia="Arial" w:hAnsi="Arial"/>
            <w:sz w:val="10"/>
            <w:szCs w:val="10"/>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1306830</wp:posOffset>
            </wp:positionH>
            <wp:positionV relativeFrom="paragraph">
              <wp:posOffset>147320</wp:posOffset>
            </wp:positionV>
            <wp:extent cx="4674235" cy="508571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4674235" cy="5085715"/>
                    </a:xfrm>
                    <a:prstGeom prst="rect">
                      <a:avLst/>
                    </a:prstGeom>
                    <a:noFill/>
                  </pic:spPr>
                </pic:pic>
              </a:graphicData>
            </a:graphic>
          </wp:anchor>
        </w:drawing>
      </w:r>
    </w:p>
    <w:p>
      <w:pPr>
        <w:sectPr>
          <w:pgSz w:w="11900" w:h="16838" w:orient="portrait"/>
          <w:cols w:equalWidth="0" w:num="1">
            <w:col w:w="10239"/>
          </w:cols>
          <w:pgMar w:left="220" w:top="354"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2480" w:hanging="195"/>
        <w:spacing w:after="0"/>
        <w:tabs>
          <w:tab w:leader="none" w:pos="2480" w:val="left"/>
        </w:tabs>
        <w:numPr>
          <w:ilvl w:val="0"/>
          <w:numId w:val="3"/>
        </w:numPr>
        <w:rPr>
          <w:rFonts w:ascii="Arial" w:cs="Arial" w:eastAsia="Arial" w:hAnsi="Arial"/>
          <w:sz w:val="8"/>
          <w:szCs w:val="8"/>
          <w:color w:val="050505"/>
        </w:rPr>
      </w:pPr>
      <w:r>
        <w:rPr>
          <w:rFonts w:ascii="Arial" w:cs="Arial" w:eastAsia="Arial" w:hAnsi="Arial"/>
          <w:sz w:val="8"/>
          <w:szCs w:val="8"/>
          <w:color w:val="050505"/>
        </w:rPr>
        <w:t>Represents our total addressable market within our current and announced markets—the United States, the United Kingdom, Canada, and Germany.</w:t>
      </w:r>
    </w:p>
    <w:p>
      <w:pPr>
        <w:spacing w:after="0" w:line="135" w:lineRule="exact"/>
        <w:rPr>
          <w:sz w:val="20"/>
          <w:szCs w:val="20"/>
          <w:color w:val="auto"/>
        </w:rPr>
      </w:pPr>
    </w:p>
    <w:p>
      <w:pPr>
        <w:ind w:left="2280"/>
        <w:spacing w:after="0"/>
        <w:rPr>
          <w:sz w:val="20"/>
          <w:szCs w:val="20"/>
          <w:color w:val="auto"/>
        </w:rPr>
      </w:pPr>
      <w:r>
        <w:rPr>
          <w:rFonts w:ascii="Arial" w:cs="Arial" w:eastAsia="Arial" w:hAnsi="Arial"/>
          <w:sz w:val="11"/>
          <w:szCs w:val="11"/>
          <w:b w:val="1"/>
          <w:bCs w:val="1"/>
          <w:i w:val="1"/>
          <w:iCs w:val="1"/>
          <w:color w:val="auto"/>
        </w:rPr>
        <w:t>Consumer Trends in Our Favor</w:t>
      </w:r>
    </w:p>
    <w:p>
      <w:pPr>
        <w:spacing w:after="0" w:line="144" w:lineRule="exact"/>
        <w:rPr>
          <w:sz w:val="20"/>
          <w:szCs w:val="20"/>
          <w:color w:val="auto"/>
        </w:rPr>
      </w:pPr>
    </w:p>
    <w:p>
      <w:pPr>
        <w:ind w:left="2280"/>
        <w:spacing w:after="0"/>
        <w:rPr>
          <w:sz w:val="20"/>
          <w:szCs w:val="20"/>
          <w:color w:val="auto"/>
        </w:rPr>
      </w:pPr>
      <w:r>
        <w:rPr>
          <w:rFonts w:ascii="Arial" w:cs="Arial" w:eastAsia="Arial" w:hAnsi="Arial"/>
          <w:sz w:val="11"/>
          <w:szCs w:val="11"/>
          <w:b w:val="1"/>
          <w:bCs w:val="1"/>
          <w:color w:val="auto"/>
        </w:rPr>
        <w:t>Increasing Focus on Health and Wellness</w:t>
      </w:r>
    </w:p>
    <w:p>
      <w:pPr>
        <w:spacing w:after="0" w:line="12" w:lineRule="exact"/>
        <w:rPr>
          <w:sz w:val="20"/>
          <w:szCs w:val="20"/>
          <w:color w:val="auto"/>
        </w:rPr>
      </w:pPr>
    </w:p>
    <w:p>
      <w:pPr>
        <w:jc w:val="both"/>
        <w:ind w:left="2280" w:right="1059"/>
        <w:spacing w:after="0"/>
        <w:rPr>
          <w:sz w:val="20"/>
          <w:szCs w:val="20"/>
          <w:color w:val="auto"/>
        </w:rPr>
      </w:pPr>
      <w:r>
        <w:rPr>
          <w:rFonts w:ascii="Arial" w:cs="Arial" w:eastAsia="Arial" w:hAnsi="Arial"/>
          <w:sz w:val="11"/>
          <w:szCs w:val="11"/>
          <w:color w:val="050505"/>
        </w:rPr>
        <w:t>The growing awareness of the benefits of exercise and physical activity is driving increasing participation and spend in fitness and wellness. This has translated into consistent year-over-year growth of the fitness industry both in the United States and globally over the past two decades, even during times of economic recession. According to IHRSA, health club industry revenues in the United States grew at a 5.4% annual growth rate over the last ten years. In addition, employers and health insurance companies are investing in employee well-being by offering incentives for preventative health measures such as exercise. According to a 2017 study by the National Business Group on Health, 74% of employers offer employee wellness incentives, with the average employee incentive amount increasing from $521 in 2013 to $742 in 2017.</w:t>
      </w:r>
    </w:p>
    <w:p>
      <w:pPr>
        <w:spacing w:after="0" w:line="129" w:lineRule="exact"/>
        <w:rPr>
          <w:sz w:val="20"/>
          <w:szCs w:val="20"/>
          <w:color w:val="auto"/>
        </w:rPr>
      </w:pPr>
    </w:p>
    <w:p>
      <w:pPr>
        <w:ind w:left="2280"/>
        <w:spacing w:after="0"/>
        <w:rPr>
          <w:sz w:val="20"/>
          <w:szCs w:val="20"/>
          <w:color w:val="auto"/>
        </w:rPr>
      </w:pPr>
      <w:r>
        <w:rPr>
          <w:rFonts w:ascii="Arial" w:cs="Arial" w:eastAsia="Arial" w:hAnsi="Arial"/>
          <w:sz w:val="11"/>
          <w:szCs w:val="11"/>
          <w:b w:val="1"/>
          <w:bCs w:val="1"/>
          <w:color w:val="auto"/>
        </w:rPr>
        <w:t>Streaming Media is the Leading Channel of Consumption</w:t>
      </w:r>
    </w:p>
    <w:p>
      <w:pPr>
        <w:spacing w:after="0" w:line="12" w:lineRule="exact"/>
        <w:rPr>
          <w:sz w:val="20"/>
          <w:szCs w:val="20"/>
          <w:color w:val="auto"/>
        </w:rPr>
      </w:pPr>
    </w:p>
    <w:p>
      <w:pPr>
        <w:jc w:val="both"/>
        <w:ind w:left="2280" w:right="1059"/>
        <w:spacing w:after="0"/>
        <w:rPr>
          <w:sz w:val="20"/>
          <w:szCs w:val="20"/>
          <w:color w:val="auto"/>
        </w:rPr>
      </w:pPr>
      <w:r>
        <w:rPr>
          <w:rFonts w:ascii="Arial" w:cs="Arial" w:eastAsia="Arial" w:hAnsi="Arial"/>
          <w:sz w:val="11"/>
          <w:szCs w:val="11"/>
          <w:color w:val="050505"/>
        </w:rPr>
        <w:t>The quality, volume, and speed of streaming content has profoundly changed media consumption patterns. Consumers can select from extensive catalogs of content across video programming, music, books, and gaming, among other categories, allowing for personalized, on-demand consumption anywhere, anytime, and at a great value. According to Kagan, a media research group of S&amp;P Global Market Intelligence, global digital music paid subscribers are estimated to have grown from 12.1 million in 2012 to 162.5 million in 2018. Similarly, digital video paid subscribers are estimated to have increased in the United States from 37.6 million in 2012 to 167.8 million in 2018.</w:t>
      </w:r>
    </w:p>
    <w:p>
      <w:pPr>
        <w:spacing w:after="0" w:line="130" w:lineRule="exact"/>
        <w:rPr>
          <w:sz w:val="20"/>
          <w:szCs w:val="20"/>
          <w:color w:val="auto"/>
        </w:rPr>
      </w:pPr>
    </w:p>
    <w:p>
      <w:pPr>
        <w:ind w:left="2280"/>
        <w:spacing w:after="0"/>
        <w:rPr>
          <w:sz w:val="20"/>
          <w:szCs w:val="20"/>
          <w:color w:val="auto"/>
        </w:rPr>
      </w:pPr>
      <w:r>
        <w:rPr>
          <w:rFonts w:ascii="Arial" w:cs="Arial" w:eastAsia="Arial" w:hAnsi="Arial"/>
          <w:sz w:val="11"/>
          <w:szCs w:val="11"/>
          <w:b w:val="1"/>
          <w:bCs w:val="1"/>
          <w:color w:val="auto"/>
        </w:rPr>
        <w:t>Desire for Community and Shared Experiences</w:t>
      </w:r>
    </w:p>
    <w:p>
      <w:pPr>
        <w:spacing w:after="0" w:line="12" w:lineRule="exact"/>
        <w:rPr>
          <w:sz w:val="20"/>
          <w:szCs w:val="20"/>
          <w:color w:val="auto"/>
        </w:rPr>
      </w:pPr>
    </w:p>
    <w:p>
      <w:pPr>
        <w:jc w:val="both"/>
        <w:ind w:left="2280" w:right="1059"/>
        <w:spacing w:after="0" w:line="273" w:lineRule="auto"/>
        <w:rPr>
          <w:sz w:val="20"/>
          <w:szCs w:val="20"/>
          <w:color w:val="auto"/>
        </w:rPr>
      </w:pPr>
      <w:r>
        <w:rPr>
          <w:rFonts w:ascii="Arial" w:cs="Arial" w:eastAsia="Arial" w:hAnsi="Arial"/>
          <w:sz w:val="10"/>
          <w:szCs w:val="10"/>
          <w:color w:val="050505"/>
        </w:rPr>
        <w:t>We believe consumers are increasingly spending on experiences and are seeking meaningful community connections. Within the fitness industry, consumers have migrated to boutique fitness due to personalization, expert instruction, and the sense of community. Boutique-style fitness offerings are the fastest growing brick-and-mortar fitness category. According to IHRSA, as of 2017, 40% of members of health and fitness clubs reported belonging to a boutique fitness studio, and from 2013 to 2017, membership in boutique studios grew approximately 121%.</w:t>
      </w:r>
    </w:p>
    <w:p>
      <w:pPr>
        <w:spacing w:after="0" w:line="113" w:lineRule="exact"/>
        <w:rPr>
          <w:sz w:val="20"/>
          <w:szCs w:val="20"/>
          <w:color w:val="auto"/>
        </w:rPr>
      </w:pPr>
    </w:p>
    <w:p>
      <w:pPr>
        <w:ind w:left="2280"/>
        <w:spacing w:after="0"/>
        <w:rPr>
          <w:sz w:val="20"/>
          <w:szCs w:val="20"/>
          <w:color w:val="auto"/>
        </w:rPr>
      </w:pPr>
      <w:r>
        <w:rPr>
          <w:rFonts w:ascii="Arial" w:cs="Arial" w:eastAsia="Arial" w:hAnsi="Arial"/>
          <w:sz w:val="11"/>
          <w:szCs w:val="11"/>
          <w:b w:val="1"/>
          <w:bCs w:val="1"/>
          <w:color w:val="auto"/>
        </w:rPr>
        <w:t>Demand for Convenience</w:t>
      </w:r>
    </w:p>
    <w:p>
      <w:pPr>
        <w:spacing w:after="0" w:line="12" w:lineRule="exact"/>
        <w:rPr>
          <w:sz w:val="20"/>
          <w:szCs w:val="20"/>
          <w:color w:val="auto"/>
        </w:rPr>
      </w:pPr>
    </w:p>
    <w:p>
      <w:pPr>
        <w:jc w:val="both"/>
        <w:ind w:left="2280" w:right="1059"/>
        <w:spacing w:after="0" w:line="241" w:lineRule="auto"/>
        <w:rPr>
          <w:sz w:val="20"/>
          <w:szCs w:val="20"/>
          <w:color w:val="auto"/>
        </w:rPr>
      </w:pPr>
      <w:r>
        <w:rPr>
          <w:rFonts w:ascii="Arial" w:cs="Arial" w:eastAsia="Arial" w:hAnsi="Arial"/>
          <w:sz w:val="11"/>
          <w:szCs w:val="11"/>
          <w:color w:val="050505"/>
        </w:rPr>
        <w:t>Household trends, longer working hours, and the rise of mobile technology make it challenging to balance time between family, work, and personal health and wellness. According to the Pew Research Center, over the last few decades, there has been an increase in dual income families from 49% in 1970 to 66% in 2016. We believe that busy lifestyles, less free time, and changing household dynamics are driving demand for convenient fitness options.</w:t>
      </w:r>
    </w:p>
    <w:p>
      <w:pPr>
        <w:spacing w:after="0" w:line="128" w:lineRule="exact"/>
        <w:rPr>
          <w:sz w:val="20"/>
          <w:szCs w:val="20"/>
          <w:color w:val="auto"/>
        </w:rPr>
      </w:pPr>
    </w:p>
    <w:p>
      <w:pPr>
        <w:ind w:left="2280"/>
        <w:spacing w:after="0"/>
        <w:rPr>
          <w:sz w:val="20"/>
          <w:szCs w:val="20"/>
          <w:color w:val="auto"/>
        </w:rPr>
      </w:pPr>
      <w:r>
        <w:rPr>
          <w:rFonts w:ascii="Arial" w:cs="Arial" w:eastAsia="Arial" w:hAnsi="Arial"/>
          <w:sz w:val="11"/>
          <w:szCs w:val="11"/>
          <w:b w:val="1"/>
          <w:bCs w:val="1"/>
          <w:u w:val="single" w:color="auto"/>
          <w:color w:val="auto"/>
        </w:rPr>
        <w:t>What Sets Us Apart</w:t>
      </w:r>
    </w:p>
    <w:p>
      <w:pPr>
        <w:spacing w:after="0" w:line="144" w:lineRule="exact"/>
        <w:rPr>
          <w:sz w:val="20"/>
          <w:szCs w:val="20"/>
          <w:color w:val="auto"/>
        </w:rPr>
      </w:pPr>
    </w:p>
    <w:p>
      <w:pPr>
        <w:ind w:left="2280"/>
        <w:spacing w:after="0"/>
        <w:rPr>
          <w:sz w:val="20"/>
          <w:szCs w:val="20"/>
          <w:color w:val="auto"/>
        </w:rPr>
      </w:pPr>
      <w:r>
        <w:rPr>
          <w:rFonts w:ascii="Arial" w:cs="Arial" w:eastAsia="Arial" w:hAnsi="Arial"/>
          <w:sz w:val="11"/>
          <w:szCs w:val="11"/>
          <w:b w:val="1"/>
          <w:bCs w:val="1"/>
          <w:i w:val="1"/>
          <w:iCs w:val="1"/>
          <w:color w:val="auto"/>
        </w:rPr>
        <w:t>Category-Defining Brand with Broad Appeal</w:t>
      </w:r>
    </w:p>
    <w:p>
      <w:pPr>
        <w:spacing w:after="0" w:line="12" w:lineRule="exact"/>
        <w:rPr>
          <w:sz w:val="20"/>
          <w:szCs w:val="20"/>
          <w:color w:val="auto"/>
        </w:rPr>
      </w:pPr>
    </w:p>
    <w:p>
      <w:pPr>
        <w:jc w:val="both"/>
        <w:ind w:left="2280" w:right="1059"/>
        <w:spacing w:after="0" w:line="245" w:lineRule="auto"/>
        <w:rPr>
          <w:sz w:val="20"/>
          <w:szCs w:val="20"/>
          <w:color w:val="auto"/>
        </w:rPr>
      </w:pPr>
      <w:r>
        <w:rPr>
          <w:rFonts w:ascii="Arial" w:cs="Arial" w:eastAsia="Arial" w:hAnsi="Arial"/>
          <w:sz w:val="11"/>
          <w:szCs w:val="11"/>
          <w:color w:val="050505"/>
        </w:rPr>
        <w:t>Peloton is the pioneer of connected, technology-enabled fitness. By meshing the physical and digital worlds, we have created an immersive experience that our Members love. We have scaled rapidly through data-driven marketing and education-based</w:t>
      </w:r>
    </w:p>
    <w:p>
      <w:pPr>
        <w:spacing w:after="0" w:line="354" w:lineRule="exact"/>
        <w:rPr>
          <w:sz w:val="20"/>
          <w:szCs w:val="20"/>
          <w:color w:val="auto"/>
        </w:rPr>
      </w:pPr>
    </w:p>
    <w:p>
      <w:pPr>
        <w:ind w:left="5700"/>
        <w:spacing w:after="0"/>
        <w:rPr>
          <w:sz w:val="20"/>
          <w:szCs w:val="20"/>
          <w:color w:val="auto"/>
        </w:rPr>
      </w:pPr>
      <w:r>
        <w:rPr>
          <w:rFonts w:ascii="Arial" w:cs="Arial" w:eastAsia="Arial" w:hAnsi="Arial"/>
          <w:sz w:val="11"/>
          <w:szCs w:val="11"/>
          <w:color w:val="050505"/>
        </w:rPr>
        <w:t>4</w:t>
      </w:r>
    </w:p>
    <w:p>
      <w:pPr>
        <w:sectPr>
          <w:pgSz w:w="11900" w:h="16838" w:orient="portrait"/>
          <w:cols w:equalWidth="0" w:num="1">
            <w:col w:w="10239"/>
          </w:cols>
          <w:pgMar w:left="220" w:top="354" w:right="1440" w:bottom="1440" w:gutter="0" w:footer="0" w:header="0"/>
          <w:type w:val="continuous"/>
        </w:sectPr>
      </w:pPr>
    </w:p>
    <w:bookmarkStart w:id="9" w:name="page10"/>
    <w:bookmarkEnd w:id="9"/>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hyperlink w:anchor="page5">
        <w:r>
          <w:rPr>
            <w:rFonts w:ascii="Arial" w:cs="Arial" w:eastAsia="Arial" w:hAnsi="Arial"/>
            <w:sz w:val="12"/>
            <w:szCs w:val="12"/>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1306830</wp:posOffset>
            </wp:positionH>
            <wp:positionV relativeFrom="paragraph">
              <wp:posOffset>132715</wp:posOffset>
            </wp:positionV>
            <wp:extent cx="4674235" cy="453707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4674235" cy="4537075"/>
                    </a:xfrm>
                    <a:prstGeom prst="rect">
                      <a:avLst/>
                    </a:prstGeom>
                    <a:noFill/>
                  </pic:spPr>
                </pic:pic>
              </a:graphicData>
            </a:graphic>
          </wp:anchor>
        </w:drawing>
      </w:r>
    </w:p>
    <w:p>
      <w:pPr>
        <w:spacing w:after="0" w:line="322" w:lineRule="exact"/>
        <w:rPr>
          <w:sz w:val="20"/>
          <w:szCs w:val="20"/>
          <w:color w:val="auto"/>
        </w:rPr>
      </w:pPr>
    </w:p>
    <w:p>
      <w:pPr>
        <w:jc w:val="both"/>
        <w:ind w:left="2280" w:right="1059"/>
        <w:spacing w:after="0" w:line="241" w:lineRule="auto"/>
        <w:rPr>
          <w:sz w:val="20"/>
          <w:szCs w:val="20"/>
          <w:color w:val="auto"/>
        </w:rPr>
      </w:pPr>
      <w:r>
        <w:rPr>
          <w:rFonts w:ascii="Arial" w:cs="Arial" w:eastAsia="Arial" w:hAnsi="Arial"/>
          <w:sz w:val="11"/>
          <w:szCs w:val="11"/>
          <w:color w:val="050505"/>
        </w:rPr>
        <w:t>sales efforts. Our marketing is made more efficient by the significant word-of-mouth referrals from our loyal Members, which has become one of our largest sales channels. As a result of strong Connected Fitness Product sales and low Average Net Monthly Connected Fitness Churn, we have grown our Connected Fitness Subscribers from 35,135 as of June 30, 2016 to 511,202 as of June 30, 2019, representing annualized growth of approximately 144.1%.</w:t>
      </w:r>
    </w:p>
    <w:p>
      <w:pPr>
        <w:spacing w:after="0" w:line="140" w:lineRule="exact"/>
        <w:rPr>
          <w:sz w:val="20"/>
          <w:szCs w:val="20"/>
          <w:color w:val="auto"/>
        </w:rPr>
      </w:pPr>
    </w:p>
    <w:p>
      <w:pPr>
        <w:jc w:val="both"/>
        <w:ind w:left="2280" w:right="1059"/>
        <w:spacing w:after="0" w:line="241" w:lineRule="auto"/>
        <w:rPr>
          <w:sz w:val="20"/>
          <w:szCs w:val="20"/>
          <w:color w:val="auto"/>
        </w:rPr>
      </w:pPr>
      <w:r>
        <w:rPr>
          <w:rFonts w:ascii="Arial" w:cs="Arial" w:eastAsia="Arial" w:hAnsi="Arial"/>
          <w:sz w:val="11"/>
          <w:szCs w:val="11"/>
          <w:color w:val="050505"/>
        </w:rPr>
        <w:t>We are democratizing access to high-quality boutique fitness by making it accessible and affordable through the compelling value of our unlimited household Connected Fitness Subscriptions and attractive financing programs for the Bike and Tread. We continue to broaden our demographic appeal—our fastest growing demographic segments are consumers under 35 years old and those with household incomes under $75,000.</w:t>
      </w:r>
    </w:p>
    <w:p>
      <w:pPr>
        <w:spacing w:after="0" w:line="128" w:lineRule="exact"/>
        <w:rPr>
          <w:sz w:val="20"/>
          <w:szCs w:val="20"/>
          <w:color w:val="auto"/>
        </w:rPr>
      </w:pPr>
    </w:p>
    <w:p>
      <w:pPr>
        <w:ind w:left="2280"/>
        <w:spacing w:after="0"/>
        <w:rPr>
          <w:sz w:val="20"/>
          <w:szCs w:val="20"/>
          <w:color w:val="auto"/>
        </w:rPr>
      </w:pPr>
      <w:r>
        <w:rPr>
          <w:rFonts w:ascii="Arial" w:cs="Arial" w:eastAsia="Arial" w:hAnsi="Arial"/>
          <w:sz w:val="11"/>
          <w:szCs w:val="11"/>
          <w:b w:val="1"/>
          <w:bCs w:val="1"/>
          <w:i w:val="1"/>
          <w:iCs w:val="1"/>
          <w:color w:val="auto"/>
        </w:rPr>
        <w:t>Growing and Scaled Platform with Network Effects</w:t>
      </w:r>
    </w:p>
    <w:p>
      <w:pPr>
        <w:spacing w:after="0" w:line="12" w:lineRule="exact"/>
        <w:rPr>
          <w:sz w:val="20"/>
          <w:szCs w:val="20"/>
          <w:color w:val="auto"/>
        </w:rPr>
      </w:pPr>
    </w:p>
    <w:p>
      <w:pPr>
        <w:jc w:val="both"/>
        <w:ind w:left="2280" w:right="1059"/>
        <w:spacing w:after="0"/>
        <w:rPr>
          <w:sz w:val="20"/>
          <w:szCs w:val="20"/>
          <w:color w:val="auto"/>
        </w:rPr>
      </w:pPr>
      <w:r>
        <w:rPr>
          <w:rFonts w:ascii="Arial" w:cs="Arial" w:eastAsia="Arial" w:hAnsi="Arial"/>
          <w:sz w:val="11"/>
          <w:szCs w:val="11"/>
          <w:color w:val="050505"/>
        </w:rPr>
        <w:t>As the largest interactive fitness platform in the world, our rapidly growing and scaled Member base is a highly strategic asset. With our first mover advantage, we have achieved critical mass, which improves our platform and Member experience. As of June 30, 2019, on average, nearly 6,400 Members participated in each cycling class, across live and on-demand. As our community of Members continues to grow, the Peloton fitness experience becomes more inspiring, more competitive, more immersive, and more connected. Over time, Members are embedded in the Peloton community and we become a part of their lives, increasing the opportunity cost of Members leaving or potential Members not joining our platform.</w:t>
      </w:r>
    </w:p>
    <w:p>
      <w:pPr>
        <w:spacing w:after="0" w:line="130" w:lineRule="exact"/>
        <w:rPr>
          <w:sz w:val="20"/>
          <w:szCs w:val="20"/>
          <w:color w:val="auto"/>
        </w:rPr>
      </w:pPr>
    </w:p>
    <w:p>
      <w:pPr>
        <w:ind w:left="2280"/>
        <w:spacing w:after="0"/>
        <w:rPr>
          <w:sz w:val="20"/>
          <w:szCs w:val="20"/>
          <w:color w:val="auto"/>
        </w:rPr>
      </w:pPr>
      <w:r>
        <w:rPr>
          <w:rFonts w:ascii="Arial" w:cs="Arial" w:eastAsia="Arial" w:hAnsi="Arial"/>
          <w:sz w:val="11"/>
          <w:szCs w:val="11"/>
          <w:b w:val="1"/>
          <w:bCs w:val="1"/>
          <w:i w:val="1"/>
          <w:iCs w:val="1"/>
          <w:color w:val="auto"/>
        </w:rPr>
        <w:t>Engaging-to-the-Point-of-Addictive Fitness Experience Drives High Retention</w:t>
      </w:r>
    </w:p>
    <w:p>
      <w:pPr>
        <w:spacing w:after="0" w:line="12" w:lineRule="exact"/>
        <w:rPr>
          <w:sz w:val="20"/>
          <w:szCs w:val="20"/>
          <w:color w:val="auto"/>
        </w:rPr>
      </w:pPr>
    </w:p>
    <w:p>
      <w:pPr>
        <w:jc w:val="both"/>
        <w:ind w:left="2280" w:right="1059"/>
        <w:spacing w:after="0"/>
        <w:rPr>
          <w:sz w:val="20"/>
          <w:szCs w:val="20"/>
          <w:color w:val="auto"/>
        </w:rPr>
      </w:pPr>
      <w:r>
        <w:rPr>
          <w:rFonts w:ascii="Arial" w:cs="Arial" w:eastAsia="Arial" w:hAnsi="Arial"/>
          <w:sz w:val="11"/>
          <w:szCs w:val="11"/>
          <w:color w:val="050505"/>
        </w:rPr>
        <w:t>By making fitness fun and motivating, we help our Members achieve their personal goals. We analyze millions of workouts per month to help us develop features that improve our Member experience and create new, on-trend fitness and wellness content that our Members crave. Engagement is the leading indicator of retention for our Connected Fitness Subscribers. We have consistently seen workouts increase over time. On average, our Connected Fitness Subscribers completed 7.5, 8.4, and 11.5 workouts per month in fiscal 2017, 2018, and 2019, respectively. Usage drives value and loyalty, which is evidenced by our exceptional weighted-average 12-month Connected Fitness Subscriber retention rate of 95% across all fiscal year cohorts since fiscal 2016.</w:t>
      </w:r>
    </w:p>
    <w:p>
      <w:pPr>
        <w:spacing w:after="0" w:line="130" w:lineRule="exact"/>
        <w:rPr>
          <w:sz w:val="20"/>
          <w:szCs w:val="20"/>
          <w:color w:val="auto"/>
        </w:rPr>
      </w:pPr>
    </w:p>
    <w:p>
      <w:pPr>
        <w:ind w:left="2280"/>
        <w:spacing w:after="0"/>
        <w:rPr>
          <w:sz w:val="20"/>
          <w:szCs w:val="20"/>
          <w:color w:val="auto"/>
        </w:rPr>
      </w:pPr>
      <w:r>
        <w:rPr>
          <w:rFonts w:ascii="Arial" w:cs="Arial" w:eastAsia="Arial" w:hAnsi="Arial"/>
          <w:sz w:val="11"/>
          <w:szCs w:val="11"/>
          <w:b w:val="1"/>
          <w:bCs w:val="1"/>
          <w:i w:val="1"/>
          <w:iCs w:val="1"/>
          <w:color w:val="auto"/>
        </w:rPr>
        <w:t>Vertically Integrated Platform That is Difficult to Replicate</w:t>
      </w:r>
    </w:p>
    <w:p>
      <w:pPr>
        <w:spacing w:after="0" w:line="12" w:lineRule="exact"/>
        <w:rPr>
          <w:sz w:val="20"/>
          <w:szCs w:val="20"/>
          <w:color w:val="auto"/>
        </w:rPr>
      </w:pPr>
    </w:p>
    <w:p>
      <w:pPr>
        <w:jc w:val="both"/>
        <w:ind w:left="2280" w:right="1059"/>
        <w:spacing w:after="0"/>
        <w:rPr>
          <w:sz w:val="20"/>
          <w:szCs w:val="20"/>
          <w:color w:val="auto"/>
        </w:rPr>
      </w:pPr>
      <w:r>
        <w:rPr>
          <w:rFonts w:ascii="Arial" w:cs="Arial" w:eastAsia="Arial" w:hAnsi="Arial"/>
          <w:sz w:val="11"/>
          <w:szCs w:val="11"/>
          <w:color w:val="050505"/>
        </w:rPr>
        <w:t>We are driven by our Members-first obsession and see every Member touchpoint as an opportunity to exceed expectations. To create the best platform, we designed our own products, developed our own interactive software, and created our own high production value fitness and wellness programming. For full end-to-end Member support, we were also compelled to develop our own customer education, purchase and delivery, and services platform. We sell our Connected Fitness Products exclusively through our knowledgeable inside sales and showroom associates as well as our e-commerce site. Our high-touch delivery teams ensure that new Members are immediately set up and ready to work out on their new Bike or Tread. The effectiveness of our end-to-end platform is demonstrated by the high Net Promoter Score for our Bike, which has been within the range of 80 to 93 since we began measuring it in 2016.</w:t>
      </w:r>
    </w:p>
    <w:p>
      <w:pPr>
        <w:spacing w:after="0" w:line="129" w:lineRule="exact"/>
        <w:rPr>
          <w:sz w:val="20"/>
          <w:szCs w:val="20"/>
          <w:color w:val="auto"/>
        </w:rPr>
      </w:pPr>
    </w:p>
    <w:p>
      <w:pPr>
        <w:ind w:left="2280"/>
        <w:spacing w:after="0"/>
        <w:rPr>
          <w:sz w:val="20"/>
          <w:szCs w:val="20"/>
          <w:color w:val="auto"/>
        </w:rPr>
      </w:pPr>
      <w:r>
        <w:rPr>
          <w:rFonts w:ascii="Arial" w:cs="Arial" w:eastAsia="Arial" w:hAnsi="Arial"/>
          <w:sz w:val="11"/>
          <w:szCs w:val="11"/>
          <w:b w:val="1"/>
          <w:bCs w:val="1"/>
          <w:i w:val="1"/>
          <w:iCs w:val="1"/>
          <w:color w:val="auto"/>
        </w:rPr>
        <w:t>Compelling Financial Model</w:t>
      </w:r>
    </w:p>
    <w:p>
      <w:pPr>
        <w:spacing w:after="0" w:line="12" w:lineRule="exact"/>
        <w:rPr>
          <w:sz w:val="20"/>
          <w:szCs w:val="20"/>
          <w:color w:val="auto"/>
        </w:rPr>
      </w:pPr>
    </w:p>
    <w:p>
      <w:pPr>
        <w:jc w:val="both"/>
        <w:ind w:left="2280" w:right="1059"/>
        <w:spacing w:after="0"/>
        <w:rPr>
          <w:sz w:val="20"/>
          <w:szCs w:val="20"/>
          <w:color w:val="auto"/>
        </w:rPr>
      </w:pPr>
      <w:r>
        <w:rPr>
          <w:rFonts w:ascii="Arial" w:cs="Arial" w:eastAsia="Arial" w:hAnsi="Arial"/>
          <w:sz w:val="11"/>
          <w:szCs w:val="11"/>
          <w:color w:val="050505"/>
        </w:rPr>
        <w:t>Our financial profile is characterized by high growth, strong retention, recurring revenue, margin expansion, and efficient customer acquisition. Our growth is attributable to our data-driven marketing approach and Member word-of-mouth referrals, both of which help us generate predictable and increasingly efficient Connected Fitness Product sales. Our low Average Net Monthly Connected Fitness Churn, combined with our high Subscription Contribution Margin, results in attractive Connected Fitness Subscriber Lifetime Value. We offset customer acquisition costs with the gross profit earned on our Connected Fitness Products, generating rapid payback of sales and marketing investments and robust unit economics.</w:t>
      </w:r>
    </w:p>
    <w:p>
      <w:pPr>
        <w:spacing w:after="0" w:line="130" w:lineRule="exact"/>
        <w:rPr>
          <w:sz w:val="20"/>
          <w:szCs w:val="20"/>
          <w:color w:val="auto"/>
        </w:rPr>
      </w:pPr>
    </w:p>
    <w:p>
      <w:pPr>
        <w:ind w:left="2280"/>
        <w:spacing w:after="0"/>
        <w:rPr>
          <w:sz w:val="20"/>
          <w:szCs w:val="20"/>
          <w:color w:val="auto"/>
        </w:rPr>
      </w:pPr>
      <w:r>
        <w:rPr>
          <w:rFonts w:ascii="Arial" w:cs="Arial" w:eastAsia="Arial" w:hAnsi="Arial"/>
          <w:sz w:val="11"/>
          <w:szCs w:val="11"/>
          <w:b w:val="1"/>
          <w:bCs w:val="1"/>
          <w:i w:val="1"/>
          <w:iCs w:val="1"/>
          <w:color w:val="auto"/>
        </w:rPr>
        <w:t>Founder-Led, Passionate Team</w:t>
      </w:r>
    </w:p>
    <w:p>
      <w:pPr>
        <w:spacing w:after="0" w:line="12" w:lineRule="exact"/>
        <w:rPr>
          <w:sz w:val="20"/>
          <w:szCs w:val="20"/>
          <w:color w:val="auto"/>
        </w:rPr>
      </w:pPr>
    </w:p>
    <w:p>
      <w:pPr>
        <w:jc w:val="both"/>
        <w:ind w:left="2280" w:right="1059"/>
        <w:spacing w:after="0"/>
        <w:rPr>
          <w:sz w:val="20"/>
          <w:szCs w:val="20"/>
          <w:color w:val="auto"/>
        </w:rPr>
      </w:pPr>
      <w:r>
        <w:rPr>
          <w:rFonts w:ascii="Arial" w:cs="Arial" w:eastAsia="Arial" w:hAnsi="Arial"/>
          <w:sz w:val="11"/>
          <w:szCs w:val="11"/>
          <w:color w:val="050505"/>
        </w:rPr>
        <w:t>Peloton was founded by John Foley in 2012. Along with his four co-founders, John set out to create the most convenient and immersive indoor cycling experience in the world. Our founders believed deeply that creating a Members-first experience would require Peloton to be as vertically integrated as possible, and so we built teams that span software development, product design, fitness instruction, content production, marketing, music, logistics, retail, and apparel. We believe that no other company is at the intersection of all these disciplines, which means that every day we are doing something that no other company has done before. This, along with the positive impact we have on our Members’ physical and mental well-being, fuels our passion for continuous innovation and progress.</w:t>
      </w:r>
    </w:p>
    <w:p>
      <w:pPr>
        <w:spacing w:after="0" w:line="358" w:lineRule="exact"/>
        <w:rPr>
          <w:sz w:val="20"/>
          <w:szCs w:val="20"/>
          <w:color w:val="auto"/>
        </w:rPr>
      </w:pPr>
    </w:p>
    <w:p>
      <w:pPr>
        <w:ind w:left="5700"/>
        <w:spacing w:after="0"/>
        <w:rPr>
          <w:sz w:val="20"/>
          <w:szCs w:val="20"/>
          <w:color w:val="auto"/>
        </w:rPr>
      </w:pPr>
      <w:r>
        <w:rPr>
          <w:rFonts w:ascii="Arial" w:cs="Arial" w:eastAsia="Arial" w:hAnsi="Arial"/>
          <w:sz w:val="11"/>
          <w:szCs w:val="11"/>
          <w:color w:val="050505"/>
        </w:rPr>
        <w:t>5</w:t>
      </w:r>
    </w:p>
    <w:p>
      <w:pPr>
        <w:sectPr>
          <w:pgSz w:w="11900" w:h="16838" w:orient="portrait"/>
          <w:cols w:equalWidth="0" w:num="1">
            <w:col w:w="10239"/>
          </w:cols>
          <w:pgMar w:left="220" w:top="354" w:right="1440" w:bottom="1440" w:gutter="0" w:footer="0" w:header="0"/>
        </w:sectPr>
      </w:pPr>
    </w:p>
    <w:bookmarkStart w:id="10" w:name="page11"/>
    <w:bookmarkEnd w:id="10"/>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hyperlink w:anchor="page5">
        <w:r>
          <w:rPr>
            <w:rFonts w:ascii="Arial" w:cs="Arial" w:eastAsia="Arial" w:hAnsi="Arial"/>
            <w:sz w:val="12"/>
            <w:szCs w:val="12"/>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1306830</wp:posOffset>
            </wp:positionH>
            <wp:positionV relativeFrom="paragraph">
              <wp:posOffset>132715</wp:posOffset>
            </wp:positionV>
            <wp:extent cx="4674235" cy="437642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4674235" cy="4376420"/>
                    </a:xfrm>
                    <a:prstGeom prst="rect">
                      <a:avLst/>
                    </a:prstGeom>
                    <a:noFill/>
                  </pic:spPr>
                </pic:pic>
              </a:graphicData>
            </a:graphic>
          </wp:anchor>
        </w:drawing>
      </w:r>
    </w:p>
    <w:p>
      <w:pPr>
        <w:spacing w:after="0" w:line="310" w:lineRule="exact"/>
        <w:rPr>
          <w:sz w:val="20"/>
          <w:szCs w:val="20"/>
          <w:color w:val="auto"/>
        </w:rPr>
      </w:pPr>
    </w:p>
    <w:p>
      <w:pPr>
        <w:ind w:left="2280"/>
        <w:spacing w:after="0"/>
        <w:rPr>
          <w:sz w:val="20"/>
          <w:szCs w:val="20"/>
          <w:color w:val="auto"/>
        </w:rPr>
      </w:pPr>
      <w:r>
        <w:rPr>
          <w:rFonts w:ascii="Arial" w:cs="Arial" w:eastAsia="Arial" w:hAnsi="Arial"/>
          <w:sz w:val="11"/>
          <w:szCs w:val="11"/>
          <w:b w:val="1"/>
          <w:bCs w:val="1"/>
          <w:u w:val="single" w:color="auto"/>
          <w:color w:val="auto"/>
        </w:rPr>
        <w:t>Growth Strategies</w:t>
      </w:r>
    </w:p>
    <w:p>
      <w:pPr>
        <w:spacing w:after="0" w:line="12" w:lineRule="exact"/>
        <w:rPr>
          <w:sz w:val="20"/>
          <w:szCs w:val="20"/>
          <w:color w:val="auto"/>
        </w:rPr>
      </w:pPr>
    </w:p>
    <w:p>
      <w:pPr>
        <w:jc w:val="both"/>
        <w:ind w:left="2280" w:right="1059"/>
        <w:spacing w:after="0" w:line="245" w:lineRule="auto"/>
        <w:rPr>
          <w:sz w:val="20"/>
          <w:szCs w:val="20"/>
          <w:color w:val="auto"/>
        </w:rPr>
      </w:pPr>
      <w:r>
        <w:rPr>
          <w:rFonts w:ascii="Arial" w:cs="Arial" w:eastAsia="Arial" w:hAnsi="Arial"/>
          <w:sz w:val="11"/>
          <w:szCs w:val="11"/>
          <w:color w:val="050505"/>
        </w:rPr>
        <w:t>Our goal is to rapidly grow our Member base through the sale of our Connected Fitness Products while continuing to engage and retain our scaled and loyal community of Members.</w:t>
      </w:r>
    </w:p>
    <w:p>
      <w:pPr>
        <w:spacing w:after="0" w:line="126" w:lineRule="exact"/>
        <w:rPr>
          <w:sz w:val="20"/>
          <w:szCs w:val="20"/>
          <w:color w:val="auto"/>
        </w:rPr>
      </w:pPr>
    </w:p>
    <w:p>
      <w:pPr>
        <w:ind w:left="2280"/>
        <w:spacing w:after="0"/>
        <w:rPr>
          <w:sz w:val="20"/>
          <w:szCs w:val="20"/>
          <w:color w:val="auto"/>
        </w:rPr>
      </w:pPr>
      <w:r>
        <w:rPr>
          <w:rFonts w:ascii="Arial" w:cs="Arial" w:eastAsia="Arial" w:hAnsi="Arial"/>
          <w:sz w:val="11"/>
          <w:szCs w:val="11"/>
          <w:b w:val="1"/>
          <w:bCs w:val="1"/>
          <w:i w:val="1"/>
          <w:iCs w:val="1"/>
          <w:color w:val="auto"/>
        </w:rPr>
        <w:t>Grow Brand Awareness</w:t>
      </w:r>
    </w:p>
    <w:p>
      <w:pPr>
        <w:spacing w:after="0" w:line="12" w:lineRule="exact"/>
        <w:rPr>
          <w:sz w:val="20"/>
          <w:szCs w:val="20"/>
          <w:color w:val="auto"/>
        </w:rPr>
      </w:pPr>
    </w:p>
    <w:p>
      <w:pPr>
        <w:jc w:val="both"/>
        <w:ind w:left="2280" w:right="1059"/>
        <w:spacing w:after="0"/>
        <w:rPr>
          <w:sz w:val="20"/>
          <w:szCs w:val="20"/>
          <w:color w:val="auto"/>
        </w:rPr>
      </w:pPr>
      <w:r>
        <w:rPr>
          <w:rFonts w:ascii="Arial" w:cs="Arial" w:eastAsia="Arial" w:hAnsi="Arial"/>
          <w:sz w:val="11"/>
          <w:szCs w:val="11"/>
          <w:color w:val="050505"/>
        </w:rPr>
        <w:t>We are still in the early stages of growth in our existing markets. As of June 30, 2019, we had sold approximately 577,000 Connected Fitness Products globally, a small fraction of the 14 million products we believe reflect our SAM. While our aided brand awareness has grown rapidly in the United States and reached 67% as of April 3, 2019, we have significant room to increase our brand and product awareness in both the United States and in our other geographies through television, digital, and social media marketing, as well as our showrooms and word-of-mouth referrals. We continue to broaden our demographic appeal by educating customers on the compelling value of our Connected Fitness Subscriptions.</w:t>
      </w:r>
    </w:p>
    <w:p>
      <w:pPr>
        <w:spacing w:after="0" w:line="130" w:lineRule="exact"/>
        <w:rPr>
          <w:sz w:val="20"/>
          <w:szCs w:val="20"/>
          <w:color w:val="auto"/>
        </w:rPr>
      </w:pPr>
    </w:p>
    <w:p>
      <w:pPr>
        <w:ind w:left="2280"/>
        <w:spacing w:after="0"/>
        <w:rPr>
          <w:sz w:val="20"/>
          <w:szCs w:val="20"/>
          <w:color w:val="auto"/>
        </w:rPr>
      </w:pPr>
      <w:r>
        <w:rPr>
          <w:rFonts w:ascii="Arial" w:cs="Arial" w:eastAsia="Arial" w:hAnsi="Arial"/>
          <w:sz w:val="11"/>
          <w:szCs w:val="11"/>
          <w:b w:val="1"/>
          <w:bCs w:val="1"/>
          <w:i w:val="1"/>
          <w:iCs w:val="1"/>
          <w:color w:val="auto"/>
        </w:rPr>
        <w:t>Continuously Improve Member Experience</w:t>
      </w:r>
    </w:p>
    <w:p>
      <w:pPr>
        <w:spacing w:after="0" w:line="12" w:lineRule="exact"/>
        <w:rPr>
          <w:sz w:val="20"/>
          <w:szCs w:val="20"/>
          <w:color w:val="auto"/>
        </w:rPr>
      </w:pPr>
    </w:p>
    <w:p>
      <w:pPr>
        <w:jc w:val="both"/>
        <w:ind w:left="2280" w:right="1059"/>
        <w:spacing w:after="0"/>
        <w:rPr>
          <w:sz w:val="20"/>
          <w:szCs w:val="20"/>
          <w:color w:val="auto"/>
        </w:rPr>
      </w:pPr>
      <w:r>
        <w:rPr>
          <w:rFonts w:ascii="Arial" w:cs="Arial" w:eastAsia="Arial" w:hAnsi="Arial"/>
          <w:sz w:val="11"/>
          <w:szCs w:val="11"/>
          <w:color w:val="050505"/>
        </w:rPr>
        <w:t>We constantly improve and evolve our interactive software and content to drive Member engagement, which helps us maintain our high retention rates as we grow. We deploy new software features frequently and currently produce over 950 original programs per month to keep our content library fresh and on-trend. We also continue to drive usage through innovative fitness and wellness programs and goal-based challenges that make Members feel more accountable and help them reach their personal goals. Total Workouts for our Connected Fitness Subscribers grew from 17.9 million in fiscal 2018 to 52.2 million in fiscal 2019, representing a 192% increase. For a definition of Total Workouts, see the section titled “Management’s Discussion and Analysis of Financial Condition and Results of Operations—Key Operational and Business Metrics.”</w:t>
      </w:r>
    </w:p>
    <w:p>
      <w:pPr>
        <w:spacing w:after="0" w:line="129" w:lineRule="exact"/>
        <w:rPr>
          <w:sz w:val="20"/>
          <w:szCs w:val="20"/>
          <w:color w:val="auto"/>
        </w:rPr>
      </w:pPr>
    </w:p>
    <w:p>
      <w:pPr>
        <w:ind w:left="2280"/>
        <w:spacing w:after="0"/>
        <w:rPr>
          <w:sz w:val="20"/>
          <w:szCs w:val="20"/>
          <w:color w:val="auto"/>
        </w:rPr>
      </w:pPr>
      <w:r>
        <w:rPr>
          <w:rFonts w:ascii="Arial" w:cs="Arial" w:eastAsia="Arial" w:hAnsi="Arial"/>
          <w:sz w:val="11"/>
          <w:szCs w:val="11"/>
          <w:b w:val="1"/>
          <w:bCs w:val="1"/>
          <w:i w:val="1"/>
          <w:iCs w:val="1"/>
          <w:color w:val="auto"/>
        </w:rPr>
        <w:t>Launch New Products and Expand Content Offering</w:t>
      </w:r>
    </w:p>
    <w:p>
      <w:pPr>
        <w:spacing w:after="0" w:line="12" w:lineRule="exact"/>
        <w:rPr>
          <w:sz w:val="20"/>
          <w:szCs w:val="20"/>
          <w:color w:val="auto"/>
        </w:rPr>
      </w:pPr>
    </w:p>
    <w:p>
      <w:pPr>
        <w:jc w:val="both"/>
        <w:ind w:left="2280" w:right="1059"/>
        <w:spacing w:after="0" w:line="278" w:lineRule="auto"/>
        <w:rPr>
          <w:sz w:val="20"/>
          <w:szCs w:val="20"/>
          <w:color w:val="auto"/>
        </w:rPr>
      </w:pPr>
      <w:r>
        <w:rPr>
          <w:rFonts w:ascii="Arial" w:cs="Arial" w:eastAsia="Arial" w:hAnsi="Arial"/>
          <w:sz w:val="10"/>
          <w:szCs w:val="10"/>
          <w:color w:val="050505"/>
        </w:rPr>
        <w:t>Over time, we plan to invest heavily in new product development and content to further penetrate our SAM. We will launch new Connected Fitness Products and accessories in our existing, as well as new fitness verticals, while continuously updating and expanding our original fitness and wellness programming. We will pursue new products where there is a large market opportunity in areas of fitness with staying power.</w:t>
      </w:r>
    </w:p>
    <w:p>
      <w:pPr>
        <w:spacing w:after="0" w:line="111" w:lineRule="exact"/>
        <w:rPr>
          <w:sz w:val="20"/>
          <w:szCs w:val="20"/>
          <w:color w:val="auto"/>
        </w:rPr>
      </w:pPr>
    </w:p>
    <w:p>
      <w:pPr>
        <w:ind w:left="2280"/>
        <w:spacing w:after="0"/>
        <w:rPr>
          <w:sz w:val="20"/>
          <w:szCs w:val="20"/>
          <w:color w:val="auto"/>
        </w:rPr>
      </w:pPr>
      <w:r>
        <w:rPr>
          <w:rFonts w:ascii="Arial" w:cs="Arial" w:eastAsia="Arial" w:hAnsi="Arial"/>
          <w:sz w:val="11"/>
          <w:szCs w:val="11"/>
          <w:b w:val="1"/>
          <w:bCs w:val="1"/>
          <w:i w:val="1"/>
          <w:iCs w:val="1"/>
          <w:color w:val="auto"/>
        </w:rPr>
        <w:t>Pursue Disciplined Expansion into New Geographies</w:t>
      </w:r>
    </w:p>
    <w:p>
      <w:pPr>
        <w:spacing w:after="0" w:line="12" w:lineRule="exact"/>
        <w:rPr>
          <w:sz w:val="20"/>
          <w:szCs w:val="20"/>
          <w:color w:val="auto"/>
        </w:rPr>
      </w:pPr>
    </w:p>
    <w:p>
      <w:pPr>
        <w:jc w:val="both"/>
        <w:ind w:left="2280" w:right="1059"/>
        <w:spacing w:after="0"/>
        <w:rPr>
          <w:sz w:val="20"/>
          <w:szCs w:val="20"/>
          <w:color w:val="auto"/>
        </w:rPr>
      </w:pPr>
      <w:r>
        <w:rPr>
          <w:rFonts w:ascii="Arial" w:cs="Arial" w:eastAsia="Arial" w:hAnsi="Arial"/>
          <w:sz w:val="11"/>
          <w:szCs w:val="11"/>
          <w:color w:val="050505"/>
        </w:rPr>
        <w:t>With more than 174 million people belonging to gyms globally, we believe there is significant opportunity for Peloton to grow internationally. In 2018, we began our international expansion and brought the Peloton experience to the United Kingdom and Canada. With our expansion into Germany in the winter of 2019, we will be in the largest fitness markets in the world. We will continue to pursue disciplined international expansion by targeting countries with high fitness penetration and spend, the presence of boutique fitness, and where we believe the Peloton value proposition will resonate.</w:t>
      </w:r>
    </w:p>
    <w:p>
      <w:pPr>
        <w:spacing w:after="0" w:line="130" w:lineRule="exact"/>
        <w:rPr>
          <w:sz w:val="20"/>
          <w:szCs w:val="20"/>
          <w:color w:val="auto"/>
        </w:rPr>
      </w:pPr>
    </w:p>
    <w:p>
      <w:pPr>
        <w:ind w:left="2280"/>
        <w:spacing w:after="0"/>
        <w:rPr>
          <w:sz w:val="20"/>
          <w:szCs w:val="20"/>
          <w:color w:val="auto"/>
        </w:rPr>
      </w:pPr>
      <w:r>
        <w:rPr>
          <w:rFonts w:ascii="Arial" w:cs="Arial" w:eastAsia="Arial" w:hAnsi="Arial"/>
          <w:sz w:val="11"/>
          <w:szCs w:val="11"/>
          <w:b w:val="1"/>
          <w:bCs w:val="1"/>
          <w:i w:val="1"/>
          <w:iCs w:val="1"/>
          <w:color w:val="auto"/>
        </w:rPr>
        <w:t>Invest in Our Platform</w:t>
      </w:r>
    </w:p>
    <w:p>
      <w:pPr>
        <w:spacing w:after="0" w:line="12" w:lineRule="exact"/>
        <w:rPr>
          <w:sz w:val="20"/>
          <w:szCs w:val="20"/>
          <w:color w:val="auto"/>
        </w:rPr>
      </w:pPr>
    </w:p>
    <w:p>
      <w:pPr>
        <w:jc w:val="both"/>
        <w:ind w:left="2280" w:right="1059"/>
        <w:spacing w:after="0"/>
        <w:rPr>
          <w:sz w:val="20"/>
          <w:szCs w:val="20"/>
          <w:color w:val="auto"/>
        </w:rPr>
      </w:pPr>
      <w:r>
        <w:rPr>
          <w:rFonts w:ascii="Arial" w:cs="Arial" w:eastAsia="Arial" w:hAnsi="Arial"/>
          <w:sz w:val="11"/>
          <w:szCs w:val="11"/>
          <w:color w:val="050505"/>
        </w:rPr>
        <w:t>We will continue to invest in technology and infrastructure to extend our leadership in connected fitness, increase our value proposition, and support our growth. Over the next couple of years, we will continue to invest in state-of-the-art production studios in New York City and London and a new headquarters in New York City, which will include a dedicated research and development facility for new product design, development, and testing. We will continue to invest heavily in a variety of software and hardware engineering functions, supply chain operations, manufacturing, and advanced quality assurance to support our growth.</w:t>
      </w:r>
    </w:p>
    <w:p>
      <w:pPr>
        <w:spacing w:after="0" w:line="130" w:lineRule="exact"/>
        <w:rPr>
          <w:sz w:val="20"/>
          <w:szCs w:val="20"/>
          <w:color w:val="auto"/>
        </w:rPr>
      </w:pPr>
    </w:p>
    <w:p>
      <w:pPr>
        <w:ind w:left="2280"/>
        <w:spacing w:after="0"/>
        <w:rPr>
          <w:sz w:val="20"/>
          <w:szCs w:val="20"/>
          <w:color w:val="auto"/>
        </w:rPr>
      </w:pPr>
      <w:r>
        <w:rPr>
          <w:rFonts w:ascii="Arial" w:cs="Arial" w:eastAsia="Arial" w:hAnsi="Arial"/>
          <w:sz w:val="11"/>
          <w:szCs w:val="11"/>
          <w:b w:val="1"/>
          <w:bCs w:val="1"/>
          <w:i w:val="1"/>
          <w:iCs w:val="1"/>
          <w:color w:val="auto"/>
        </w:rPr>
        <w:t>Increase Profitability Through Fixed Cost Leverage</w:t>
      </w:r>
    </w:p>
    <w:p>
      <w:pPr>
        <w:spacing w:after="0" w:line="12" w:lineRule="exact"/>
        <w:rPr>
          <w:sz w:val="20"/>
          <w:szCs w:val="20"/>
          <w:color w:val="auto"/>
        </w:rPr>
      </w:pPr>
    </w:p>
    <w:p>
      <w:pPr>
        <w:jc w:val="both"/>
        <w:ind w:left="2280" w:right="1059"/>
        <w:spacing w:after="0"/>
        <w:rPr>
          <w:sz w:val="20"/>
          <w:szCs w:val="20"/>
          <w:color w:val="auto"/>
        </w:rPr>
      </w:pPr>
      <w:r>
        <w:rPr>
          <w:rFonts w:ascii="Arial" w:cs="Arial" w:eastAsia="Arial" w:hAnsi="Arial"/>
          <w:sz w:val="11"/>
          <w:szCs w:val="11"/>
          <w:color w:val="050505"/>
        </w:rPr>
        <w:t>The continued growth of our Connected Fitness Subscriber base will allow us to improve Subscription Contribution Margin, increase Connected Fitness Subscriber Lifetime Value, and generate operating leverage. A significant portion of our content creation costs can be leveraged over time given that a limited number of production studios and instructors can support the future growth of our Subscriber base, which includes both our Connected Fitness and Digital Subscribers. We expect to drive continued efficiencies in sales and marketing expenses as we benefit from increasing brand awareness, word-of-mouth referrals from our growing Subscriber base, and further optimization of our sales and marketing investments by channel. We will also achieve operating leverage as we scale fixed general and administrative expenses, including those associated with our new headquarters in New York City.</w:t>
      </w:r>
    </w:p>
    <w:p>
      <w:pPr>
        <w:spacing w:after="0" w:line="358" w:lineRule="exact"/>
        <w:rPr>
          <w:sz w:val="20"/>
          <w:szCs w:val="20"/>
          <w:color w:val="auto"/>
        </w:rPr>
      </w:pPr>
    </w:p>
    <w:p>
      <w:pPr>
        <w:ind w:left="5700"/>
        <w:spacing w:after="0"/>
        <w:rPr>
          <w:sz w:val="20"/>
          <w:szCs w:val="20"/>
          <w:color w:val="auto"/>
        </w:rPr>
      </w:pPr>
      <w:r>
        <w:rPr>
          <w:rFonts w:ascii="Arial" w:cs="Arial" w:eastAsia="Arial" w:hAnsi="Arial"/>
          <w:sz w:val="11"/>
          <w:szCs w:val="11"/>
          <w:color w:val="050505"/>
        </w:rPr>
        <w:t>6</w:t>
      </w:r>
    </w:p>
    <w:p>
      <w:pPr>
        <w:sectPr>
          <w:pgSz w:w="11900" w:h="16838" w:orient="portrait"/>
          <w:cols w:equalWidth="0" w:num="1">
            <w:col w:w="10239"/>
          </w:cols>
          <w:pgMar w:left="220" w:top="354" w:right="1440" w:bottom="1440" w:gutter="0" w:footer="0" w:header="0"/>
        </w:sectPr>
      </w:pPr>
    </w:p>
    <w:bookmarkStart w:id="11" w:name="page12"/>
    <w:bookmarkEnd w:id="11"/>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hyperlink w:anchor="page5">
        <w:r>
          <w:rPr>
            <w:rFonts w:ascii="Arial" w:cs="Arial" w:eastAsia="Arial" w:hAnsi="Arial"/>
            <w:sz w:val="12"/>
            <w:szCs w:val="12"/>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1306830</wp:posOffset>
            </wp:positionH>
            <wp:positionV relativeFrom="paragraph">
              <wp:posOffset>132715</wp:posOffset>
            </wp:positionV>
            <wp:extent cx="4674235" cy="46570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4674235" cy="4657090"/>
                    </a:xfrm>
                    <a:prstGeom prst="rect">
                      <a:avLst/>
                    </a:prstGeom>
                    <a:noFill/>
                  </pic:spPr>
                </pic:pic>
              </a:graphicData>
            </a:graphic>
          </wp:anchor>
        </w:drawing>
      </w:r>
    </w:p>
    <w:p>
      <w:pPr>
        <w:spacing w:after="0" w:line="310" w:lineRule="exact"/>
        <w:rPr>
          <w:sz w:val="20"/>
          <w:szCs w:val="20"/>
          <w:color w:val="auto"/>
        </w:rPr>
      </w:pPr>
    </w:p>
    <w:p>
      <w:pPr>
        <w:jc w:val="center"/>
        <w:ind w:right="-1220"/>
        <w:spacing w:after="0"/>
        <w:rPr>
          <w:sz w:val="20"/>
          <w:szCs w:val="20"/>
          <w:color w:val="auto"/>
        </w:rPr>
      </w:pPr>
      <w:r>
        <w:rPr>
          <w:rFonts w:ascii="Arial" w:cs="Arial" w:eastAsia="Arial" w:hAnsi="Arial"/>
          <w:sz w:val="11"/>
          <w:szCs w:val="11"/>
          <w:b w:val="1"/>
          <w:bCs w:val="1"/>
          <w:color w:val="auto"/>
        </w:rPr>
        <w:t>Risks Associated with Our Business</w:t>
      </w:r>
    </w:p>
    <w:p>
      <w:pPr>
        <w:spacing w:after="0" w:line="156" w:lineRule="exact"/>
        <w:rPr>
          <w:sz w:val="20"/>
          <w:szCs w:val="20"/>
          <w:color w:val="auto"/>
        </w:rPr>
      </w:pPr>
    </w:p>
    <w:p>
      <w:pPr>
        <w:ind w:left="2280" w:right="1059"/>
        <w:spacing w:after="0" w:line="245" w:lineRule="auto"/>
        <w:rPr>
          <w:sz w:val="20"/>
          <w:szCs w:val="20"/>
          <w:color w:val="auto"/>
        </w:rPr>
      </w:pPr>
      <w:r>
        <w:rPr>
          <w:rFonts w:ascii="Arial" w:cs="Arial" w:eastAsia="Arial" w:hAnsi="Arial"/>
          <w:sz w:val="11"/>
          <w:szCs w:val="11"/>
          <w:color w:val="050505"/>
        </w:rPr>
        <w:t>Our business is subject to numerous risks and uncertainties, including those highlighted in the section titled “Risk Factors” immediately following this Prospectus Summary. Some of these risks include:</w:t>
      </w:r>
    </w:p>
    <w:p>
      <w:pPr>
        <w:spacing w:after="0" w:line="156" w:lineRule="exact"/>
        <w:rPr>
          <w:sz w:val="20"/>
          <w:szCs w:val="20"/>
          <w:color w:val="auto"/>
        </w:rPr>
      </w:pPr>
    </w:p>
    <w:p>
      <w:pPr>
        <w:ind w:left="2620" w:right="1079" w:hanging="200"/>
        <w:spacing w:after="0" w:line="245" w:lineRule="auto"/>
        <w:tabs>
          <w:tab w:leader="none" w:pos="2620" w:val="left"/>
        </w:tabs>
        <w:numPr>
          <w:ilvl w:val="0"/>
          <w:numId w:val="4"/>
        </w:numPr>
        <w:rPr>
          <w:rFonts w:ascii="Arial" w:cs="Arial" w:eastAsia="Arial" w:hAnsi="Arial"/>
          <w:sz w:val="11"/>
          <w:szCs w:val="11"/>
          <w:color w:val="F7323F"/>
        </w:rPr>
      </w:pPr>
      <w:r>
        <w:rPr>
          <w:rFonts w:ascii="Arial" w:cs="Arial" w:eastAsia="Arial" w:hAnsi="Arial"/>
          <w:sz w:val="11"/>
          <w:szCs w:val="11"/>
          <w:color w:val="050505"/>
        </w:rPr>
        <w:t>We have incurred operating losses in the past, expect to incur operating losses in the future, and may not achieve or maintain profitability in the future;</w:t>
      </w:r>
    </w:p>
    <w:p>
      <w:pPr>
        <w:spacing w:after="0" w:line="38" w:lineRule="exact"/>
        <w:rPr>
          <w:rFonts w:ascii="Arial" w:cs="Arial" w:eastAsia="Arial" w:hAnsi="Arial"/>
          <w:sz w:val="11"/>
          <w:szCs w:val="11"/>
          <w:color w:val="F7323F"/>
        </w:rPr>
      </w:pPr>
    </w:p>
    <w:p>
      <w:pPr>
        <w:ind w:left="2620" w:hanging="200"/>
        <w:spacing w:after="0"/>
        <w:tabs>
          <w:tab w:leader="none" w:pos="2620" w:val="left"/>
        </w:tabs>
        <w:numPr>
          <w:ilvl w:val="0"/>
          <w:numId w:val="4"/>
        </w:numPr>
        <w:rPr>
          <w:rFonts w:ascii="Arial" w:cs="Arial" w:eastAsia="Arial" w:hAnsi="Arial"/>
          <w:sz w:val="11"/>
          <w:szCs w:val="11"/>
          <w:color w:val="F7323F"/>
        </w:rPr>
      </w:pPr>
      <w:r>
        <w:rPr>
          <w:rFonts w:ascii="Arial" w:cs="Arial" w:eastAsia="Arial" w:hAnsi="Arial"/>
          <w:sz w:val="11"/>
          <w:szCs w:val="11"/>
          <w:color w:val="050505"/>
        </w:rPr>
        <w:t>We may be unable to attract and retain Subscribers, which could have an adverse effect on our business and rate of growth;</w:t>
      </w:r>
    </w:p>
    <w:p>
      <w:pPr>
        <w:spacing w:after="0" w:line="44" w:lineRule="exact"/>
        <w:rPr>
          <w:rFonts w:ascii="Arial" w:cs="Arial" w:eastAsia="Arial" w:hAnsi="Arial"/>
          <w:sz w:val="11"/>
          <w:szCs w:val="11"/>
          <w:color w:val="F7323F"/>
        </w:rPr>
      </w:pPr>
    </w:p>
    <w:p>
      <w:pPr>
        <w:jc w:val="both"/>
        <w:ind w:left="2620" w:right="1059" w:hanging="200"/>
        <w:spacing w:after="0" w:line="242" w:lineRule="auto"/>
        <w:tabs>
          <w:tab w:leader="none" w:pos="2620" w:val="left"/>
        </w:tabs>
        <w:numPr>
          <w:ilvl w:val="0"/>
          <w:numId w:val="4"/>
        </w:numPr>
        <w:rPr>
          <w:rFonts w:ascii="Arial" w:cs="Arial" w:eastAsia="Arial" w:hAnsi="Arial"/>
          <w:sz w:val="11"/>
          <w:szCs w:val="11"/>
          <w:color w:val="F7323F"/>
        </w:rPr>
      </w:pPr>
      <w:r>
        <w:rPr>
          <w:rFonts w:ascii="Arial" w:cs="Arial" w:eastAsia="Arial" w:hAnsi="Arial"/>
          <w:sz w:val="11"/>
          <w:szCs w:val="11"/>
          <w:color w:val="050505"/>
        </w:rPr>
        <w:t>If we are unable to anticipate consumer preferences and successfully develop and introduce new, innovative, and updated products and services in a timely manner or effectively manage the introduction of new or enhanced products and services, our business may be adversely affected;</w:t>
      </w:r>
    </w:p>
    <w:p>
      <w:pPr>
        <w:spacing w:after="0" w:line="40" w:lineRule="exact"/>
        <w:rPr>
          <w:rFonts w:ascii="Arial" w:cs="Arial" w:eastAsia="Arial" w:hAnsi="Arial"/>
          <w:sz w:val="11"/>
          <w:szCs w:val="11"/>
          <w:color w:val="F7323F"/>
        </w:rPr>
      </w:pPr>
    </w:p>
    <w:p>
      <w:pPr>
        <w:ind w:left="2620" w:right="1059" w:hanging="200"/>
        <w:spacing w:after="0" w:line="294" w:lineRule="auto"/>
        <w:tabs>
          <w:tab w:leader="none" w:pos="2620" w:val="left"/>
        </w:tabs>
        <w:numPr>
          <w:ilvl w:val="0"/>
          <w:numId w:val="4"/>
        </w:numPr>
        <w:rPr>
          <w:rFonts w:ascii="Arial" w:cs="Arial" w:eastAsia="Arial" w:hAnsi="Arial"/>
          <w:sz w:val="10"/>
          <w:szCs w:val="10"/>
          <w:color w:val="F7323F"/>
        </w:rPr>
      </w:pPr>
      <w:r>
        <w:rPr>
          <w:rFonts w:ascii="Arial" w:cs="Arial" w:eastAsia="Arial" w:hAnsi="Arial"/>
          <w:sz w:val="10"/>
          <w:szCs w:val="10"/>
          <w:color w:val="050505"/>
        </w:rPr>
        <w:t>The market for our products and services is still in the early stages of growth and if it does not continue to grow, grows more slowly than we expect, or fails to grow as large as we expect, our business, financial condition, and operating results may be adversely affected;</w:t>
      </w:r>
    </w:p>
    <w:p>
      <w:pPr>
        <w:spacing w:after="0" w:line="15" w:lineRule="exact"/>
        <w:rPr>
          <w:rFonts w:ascii="Arial" w:cs="Arial" w:eastAsia="Arial" w:hAnsi="Arial"/>
          <w:sz w:val="10"/>
          <w:szCs w:val="10"/>
          <w:color w:val="F7323F"/>
        </w:rPr>
      </w:pPr>
    </w:p>
    <w:p>
      <w:pPr>
        <w:ind w:left="2620" w:right="1059" w:hanging="200"/>
        <w:spacing w:after="0" w:line="245" w:lineRule="auto"/>
        <w:tabs>
          <w:tab w:leader="none" w:pos="2620" w:val="left"/>
        </w:tabs>
        <w:numPr>
          <w:ilvl w:val="0"/>
          <w:numId w:val="4"/>
        </w:numPr>
        <w:rPr>
          <w:rFonts w:ascii="Arial" w:cs="Arial" w:eastAsia="Arial" w:hAnsi="Arial"/>
          <w:sz w:val="11"/>
          <w:szCs w:val="11"/>
          <w:color w:val="F7323F"/>
        </w:rPr>
      </w:pPr>
      <w:r>
        <w:rPr>
          <w:rFonts w:ascii="Arial" w:cs="Arial" w:eastAsia="Arial" w:hAnsi="Arial"/>
          <w:sz w:val="11"/>
          <w:szCs w:val="11"/>
          <w:color w:val="050505"/>
        </w:rPr>
        <w:t>We have a limited operating history, our past financial results may not be indicative of our future performance, and our revenue growth rate is likely to slow as our business matures;</w:t>
      </w:r>
    </w:p>
    <w:p>
      <w:pPr>
        <w:spacing w:after="0" w:line="38" w:lineRule="exact"/>
        <w:rPr>
          <w:rFonts w:ascii="Arial" w:cs="Arial" w:eastAsia="Arial" w:hAnsi="Arial"/>
          <w:sz w:val="11"/>
          <w:szCs w:val="11"/>
          <w:color w:val="F7323F"/>
        </w:rPr>
      </w:pPr>
    </w:p>
    <w:p>
      <w:pPr>
        <w:ind w:left="2620" w:hanging="200"/>
        <w:spacing w:after="0"/>
        <w:tabs>
          <w:tab w:leader="none" w:pos="2620" w:val="left"/>
        </w:tabs>
        <w:numPr>
          <w:ilvl w:val="0"/>
          <w:numId w:val="4"/>
        </w:numPr>
        <w:rPr>
          <w:rFonts w:ascii="Arial" w:cs="Arial" w:eastAsia="Arial" w:hAnsi="Arial"/>
          <w:sz w:val="11"/>
          <w:szCs w:val="11"/>
          <w:color w:val="F7323F"/>
        </w:rPr>
      </w:pPr>
      <w:r>
        <w:rPr>
          <w:rFonts w:ascii="Arial" w:cs="Arial" w:eastAsia="Arial" w:hAnsi="Arial"/>
          <w:sz w:val="11"/>
          <w:szCs w:val="11"/>
          <w:color w:val="050505"/>
        </w:rPr>
        <w:t>We operate in a highly competitive market and we may be unable to compete successfully against existing and future competitors;</w:t>
      </w:r>
    </w:p>
    <w:p>
      <w:pPr>
        <w:spacing w:after="0" w:line="44" w:lineRule="exact"/>
        <w:rPr>
          <w:rFonts w:ascii="Arial" w:cs="Arial" w:eastAsia="Arial" w:hAnsi="Arial"/>
          <w:sz w:val="11"/>
          <w:szCs w:val="11"/>
          <w:color w:val="F7323F"/>
        </w:rPr>
      </w:pPr>
    </w:p>
    <w:p>
      <w:pPr>
        <w:ind w:left="2620" w:right="1059" w:hanging="200"/>
        <w:spacing w:after="0" w:line="245" w:lineRule="auto"/>
        <w:tabs>
          <w:tab w:leader="none" w:pos="2620" w:val="left"/>
        </w:tabs>
        <w:numPr>
          <w:ilvl w:val="0"/>
          <w:numId w:val="4"/>
        </w:numPr>
        <w:rPr>
          <w:rFonts w:ascii="Arial" w:cs="Arial" w:eastAsia="Arial" w:hAnsi="Arial"/>
          <w:sz w:val="11"/>
          <w:szCs w:val="11"/>
          <w:color w:val="F7323F"/>
        </w:rPr>
      </w:pPr>
      <w:r>
        <w:rPr>
          <w:rFonts w:ascii="Arial" w:cs="Arial" w:eastAsia="Arial" w:hAnsi="Arial"/>
          <w:sz w:val="11"/>
          <w:szCs w:val="11"/>
          <w:color w:val="050505"/>
        </w:rPr>
        <w:t>We derive a significant majority of our revenue from sales of our Bike and a decline in sales of our Bike would negatively affect our future revenue and operating results;</w:t>
      </w:r>
    </w:p>
    <w:p>
      <w:pPr>
        <w:spacing w:after="0" w:line="38" w:lineRule="exact"/>
        <w:rPr>
          <w:rFonts w:ascii="Arial" w:cs="Arial" w:eastAsia="Arial" w:hAnsi="Arial"/>
          <w:sz w:val="11"/>
          <w:szCs w:val="11"/>
          <w:color w:val="F7323F"/>
        </w:rPr>
      </w:pPr>
    </w:p>
    <w:p>
      <w:pPr>
        <w:ind w:left="2620" w:right="1059" w:hanging="200"/>
        <w:spacing w:after="0" w:line="245" w:lineRule="auto"/>
        <w:tabs>
          <w:tab w:leader="none" w:pos="2620" w:val="left"/>
        </w:tabs>
        <w:numPr>
          <w:ilvl w:val="0"/>
          <w:numId w:val="4"/>
        </w:numPr>
        <w:rPr>
          <w:rFonts w:ascii="Arial" w:cs="Arial" w:eastAsia="Arial" w:hAnsi="Arial"/>
          <w:sz w:val="11"/>
          <w:szCs w:val="11"/>
          <w:color w:val="F7323F"/>
        </w:rPr>
      </w:pPr>
      <w:r>
        <w:rPr>
          <w:rFonts w:ascii="Arial" w:cs="Arial" w:eastAsia="Arial" w:hAnsi="Arial"/>
          <w:sz w:val="11"/>
          <w:szCs w:val="11"/>
          <w:color w:val="050505"/>
        </w:rPr>
        <w:t>We rely on a limited number of suppliers, manufacturers, and logistics partners for our Connected Fitness Products and a loss of any of these partners could negatively affect our business;</w:t>
      </w:r>
    </w:p>
    <w:p>
      <w:pPr>
        <w:spacing w:after="0" w:line="38" w:lineRule="exact"/>
        <w:rPr>
          <w:rFonts w:ascii="Arial" w:cs="Arial" w:eastAsia="Arial" w:hAnsi="Arial"/>
          <w:sz w:val="11"/>
          <w:szCs w:val="11"/>
          <w:color w:val="F7323F"/>
        </w:rPr>
      </w:pPr>
    </w:p>
    <w:p>
      <w:pPr>
        <w:ind w:left="2620" w:right="1079" w:hanging="200"/>
        <w:spacing w:after="0" w:line="245" w:lineRule="auto"/>
        <w:tabs>
          <w:tab w:leader="none" w:pos="2620" w:val="left"/>
        </w:tabs>
        <w:numPr>
          <w:ilvl w:val="0"/>
          <w:numId w:val="4"/>
        </w:numPr>
        <w:rPr>
          <w:rFonts w:ascii="Arial" w:cs="Arial" w:eastAsia="Arial" w:hAnsi="Arial"/>
          <w:sz w:val="11"/>
          <w:szCs w:val="11"/>
          <w:color w:val="F7323F"/>
        </w:rPr>
      </w:pPr>
      <w:r>
        <w:rPr>
          <w:rFonts w:ascii="Arial" w:cs="Arial" w:eastAsia="Arial" w:hAnsi="Arial"/>
          <w:sz w:val="11"/>
          <w:szCs w:val="11"/>
          <w:color w:val="050505"/>
        </w:rPr>
        <w:t>We have limited control over our suppliers, manufacturers, and logistics partners, which may subject us to significant risks, including the potential inability to produce or obtain quality products &amp; services on a timely basis or in sufficient quantity;</w:t>
      </w:r>
    </w:p>
    <w:p>
      <w:pPr>
        <w:spacing w:after="0" w:line="38" w:lineRule="exact"/>
        <w:rPr>
          <w:rFonts w:ascii="Arial" w:cs="Arial" w:eastAsia="Arial" w:hAnsi="Arial"/>
          <w:sz w:val="11"/>
          <w:szCs w:val="11"/>
          <w:color w:val="F7323F"/>
        </w:rPr>
      </w:pPr>
    </w:p>
    <w:p>
      <w:pPr>
        <w:ind w:left="2620" w:right="1079" w:hanging="200"/>
        <w:spacing w:after="0" w:line="245" w:lineRule="auto"/>
        <w:tabs>
          <w:tab w:leader="none" w:pos="2620" w:val="left"/>
        </w:tabs>
        <w:numPr>
          <w:ilvl w:val="0"/>
          <w:numId w:val="4"/>
        </w:numPr>
        <w:rPr>
          <w:rFonts w:ascii="Arial" w:cs="Arial" w:eastAsia="Arial" w:hAnsi="Arial"/>
          <w:sz w:val="11"/>
          <w:szCs w:val="11"/>
          <w:color w:val="F7323F"/>
        </w:rPr>
      </w:pPr>
      <w:r>
        <w:rPr>
          <w:rFonts w:ascii="Arial" w:cs="Arial" w:eastAsia="Arial" w:hAnsi="Arial"/>
          <w:sz w:val="11"/>
          <w:szCs w:val="11"/>
          <w:color w:val="050505"/>
        </w:rPr>
        <w:t>We depend upon third-party licenses for the use of music in our content and an adverse change to, loss of, or claim that we do not hold necessary licenses may have an adverse effect on our business, operating results, and financial condition;</w:t>
      </w:r>
    </w:p>
    <w:p>
      <w:pPr>
        <w:spacing w:after="0" w:line="38" w:lineRule="exact"/>
        <w:rPr>
          <w:rFonts w:ascii="Arial" w:cs="Arial" w:eastAsia="Arial" w:hAnsi="Arial"/>
          <w:sz w:val="11"/>
          <w:szCs w:val="11"/>
          <w:color w:val="F7323F"/>
        </w:rPr>
      </w:pPr>
    </w:p>
    <w:p>
      <w:pPr>
        <w:ind w:left="2620" w:hanging="200"/>
        <w:spacing w:after="0"/>
        <w:tabs>
          <w:tab w:leader="none" w:pos="2620" w:val="left"/>
        </w:tabs>
        <w:numPr>
          <w:ilvl w:val="0"/>
          <w:numId w:val="4"/>
        </w:numPr>
        <w:rPr>
          <w:rFonts w:ascii="Arial" w:cs="Arial" w:eastAsia="Arial" w:hAnsi="Arial"/>
          <w:sz w:val="11"/>
          <w:szCs w:val="11"/>
          <w:color w:val="F7323F"/>
        </w:rPr>
      </w:pPr>
      <w:r>
        <w:rPr>
          <w:rFonts w:ascii="Arial" w:cs="Arial" w:eastAsia="Arial" w:hAnsi="Arial"/>
          <w:sz w:val="11"/>
          <w:szCs w:val="11"/>
          <w:color w:val="050505"/>
        </w:rPr>
        <w:t>Our success depends on our ability to maintain the value and reputation of the Peloton brand; and</w:t>
      </w:r>
    </w:p>
    <w:p>
      <w:pPr>
        <w:spacing w:after="0" w:line="44" w:lineRule="exact"/>
        <w:rPr>
          <w:rFonts w:ascii="Arial" w:cs="Arial" w:eastAsia="Arial" w:hAnsi="Arial"/>
          <w:sz w:val="11"/>
          <w:szCs w:val="11"/>
          <w:color w:val="F7323F"/>
        </w:rPr>
      </w:pPr>
    </w:p>
    <w:p>
      <w:pPr>
        <w:jc w:val="both"/>
        <w:ind w:left="2620" w:right="1059" w:hanging="200"/>
        <w:spacing w:after="0" w:line="242" w:lineRule="auto"/>
        <w:tabs>
          <w:tab w:leader="none" w:pos="2620" w:val="left"/>
        </w:tabs>
        <w:numPr>
          <w:ilvl w:val="0"/>
          <w:numId w:val="4"/>
        </w:numPr>
        <w:rPr>
          <w:rFonts w:ascii="Arial" w:cs="Arial" w:eastAsia="Arial" w:hAnsi="Arial"/>
          <w:sz w:val="11"/>
          <w:szCs w:val="11"/>
          <w:color w:val="F7323F"/>
        </w:rPr>
      </w:pPr>
      <w:r>
        <w:rPr>
          <w:rFonts w:ascii="Arial" w:cs="Arial" w:eastAsia="Arial" w:hAnsi="Arial"/>
          <w:sz w:val="11"/>
          <w:szCs w:val="11"/>
          <w:color w:val="050505"/>
        </w:rPr>
        <w:t>The dual class structure of our common stock will have the effect of concentrating voting control with those stockholders who held our capital stock prior to the completion of this offering and the private placement, including our directors, executive officers, and 5% stockholders.</w:t>
      </w:r>
    </w:p>
    <w:p>
      <w:pPr>
        <w:spacing w:after="0" w:line="200" w:lineRule="exact"/>
        <w:rPr>
          <w:sz w:val="20"/>
          <w:szCs w:val="20"/>
          <w:color w:val="auto"/>
        </w:rPr>
      </w:pPr>
    </w:p>
    <w:p>
      <w:pPr>
        <w:jc w:val="center"/>
        <w:ind w:right="-1220"/>
        <w:spacing w:after="0"/>
        <w:rPr>
          <w:sz w:val="20"/>
          <w:szCs w:val="20"/>
          <w:color w:val="auto"/>
        </w:rPr>
      </w:pPr>
      <w:r>
        <w:rPr>
          <w:rFonts w:ascii="Arial" w:cs="Arial" w:eastAsia="Arial" w:hAnsi="Arial"/>
          <w:sz w:val="11"/>
          <w:szCs w:val="11"/>
          <w:b w:val="1"/>
          <w:bCs w:val="1"/>
          <w:color w:val="auto"/>
        </w:rPr>
        <w:t>Channels for Disclosure of Information</w:t>
      </w:r>
    </w:p>
    <w:p>
      <w:pPr>
        <w:spacing w:after="0" w:line="156" w:lineRule="exact"/>
        <w:rPr>
          <w:sz w:val="20"/>
          <w:szCs w:val="20"/>
          <w:color w:val="auto"/>
        </w:rPr>
      </w:pPr>
    </w:p>
    <w:p>
      <w:pPr>
        <w:jc w:val="both"/>
        <w:ind w:left="2280" w:right="1059"/>
        <w:spacing w:after="0" w:line="242" w:lineRule="auto"/>
        <w:rPr>
          <w:sz w:val="20"/>
          <w:szCs w:val="20"/>
          <w:color w:val="auto"/>
        </w:rPr>
      </w:pPr>
      <w:r>
        <w:rPr>
          <w:rFonts w:ascii="Arial" w:cs="Arial" w:eastAsia="Arial" w:hAnsi="Arial"/>
          <w:sz w:val="11"/>
          <w:szCs w:val="11"/>
          <w:color w:val="050505"/>
        </w:rPr>
        <w:t>Following the completion of this offering, we intend to announce material information to the public through filings with the Securities and Exchange Commission, or the SEC, the investor relations page on our website (</w:t>
      </w:r>
      <w:r>
        <w:rPr>
          <w:rFonts w:ascii="Arial" w:cs="Arial" w:eastAsia="Arial" w:hAnsi="Arial"/>
          <w:sz w:val="11"/>
          <w:szCs w:val="11"/>
          <w:i w:val="1"/>
          <w:iCs w:val="1"/>
          <w:color w:val="050505"/>
        </w:rPr>
        <w:t>www.onepeloton.com</w:t>
      </w:r>
      <w:r>
        <w:rPr>
          <w:rFonts w:ascii="Arial" w:cs="Arial" w:eastAsia="Arial" w:hAnsi="Arial"/>
          <w:sz w:val="11"/>
          <w:szCs w:val="11"/>
          <w:color w:val="050505"/>
        </w:rPr>
        <w:t>), press releases, public conference calls, and public webcasts.</w:t>
      </w:r>
    </w:p>
    <w:p>
      <w:pPr>
        <w:spacing w:after="0" w:line="140" w:lineRule="exact"/>
        <w:rPr>
          <w:sz w:val="20"/>
          <w:szCs w:val="20"/>
          <w:color w:val="auto"/>
        </w:rPr>
      </w:pPr>
    </w:p>
    <w:p>
      <w:pPr>
        <w:jc w:val="both"/>
        <w:ind w:left="2280" w:right="1059"/>
        <w:spacing w:after="0" w:line="245" w:lineRule="auto"/>
        <w:rPr>
          <w:sz w:val="20"/>
          <w:szCs w:val="20"/>
          <w:color w:val="auto"/>
        </w:rPr>
      </w:pPr>
      <w:r>
        <w:rPr>
          <w:rFonts w:ascii="Arial" w:cs="Arial" w:eastAsia="Arial" w:hAnsi="Arial"/>
          <w:sz w:val="11"/>
          <w:szCs w:val="11"/>
          <w:color w:val="050505"/>
        </w:rPr>
        <w:t>Any updates to the list of disclosure channels through which we will announce information will be posted on the investor relations page on our website.</w:t>
      </w:r>
    </w:p>
    <w:p>
      <w:pPr>
        <w:spacing w:after="0" w:line="198" w:lineRule="exact"/>
        <w:rPr>
          <w:sz w:val="20"/>
          <w:szCs w:val="20"/>
          <w:color w:val="auto"/>
        </w:rPr>
      </w:pPr>
    </w:p>
    <w:p>
      <w:pPr>
        <w:jc w:val="center"/>
        <w:ind w:right="-1220"/>
        <w:spacing w:after="0"/>
        <w:rPr>
          <w:sz w:val="20"/>
          <w:szCs w:val="20"/>
          <w:color w:val="auto"/>
        </w:rPr>
      </w:pPr>
      <w:r>
        <w:rPr>
          <w:rFonts w:ascii="Arial" w:cs="Arial" w:eastAsia="Arial" w:hAnsi="Arial"/>
          <w:sz w:val="11"/>
          <w:szCs w:val="11"/>
          <w:b w:val="1"/>
          <w:bCs w:val="1"/>
          <w:color w:val="auto"/>
        </w:rPr>
        <w:t>Corporate Information</w:t>
      </w:r>
    </w:p>
    <w:p>
      <w:pPr>
        <w:spacing w:after="0" w:line="156" w:lineRule="exact"/>
        <w:rPr>
          <w:sz w:val="20"/>
          <w:szCs w:val="20"/>
          <w:color w:val="auto"/>
        </w:rPr>
      </w:pPr>
    </w:p>
    <w:p>
      <w:pPr>
        <w:jc w:val="both"/>
        <w:ind w:left="2280" w:right="1059"/>
        <w:spacing w:after="0" w:line="242" w:lineRule="auto"/>
        <w:rPr>
          <w:sz w:val="20"/>
          <w:szCs w:val="20"/>
          <w:color w:val="auto"/>
        </w:rPr>
      </w:pPr>
      <w:r>
        <w:rPr>
          <w:rFonts w:ascii="Arial" w:cs="Arial" w:eastAsia="Arial" w:hAnsi="Arial"/>
          <w:sz w:val="11"/>
          <w:szCs w:val="11"/>
          <w:color w:val="050505"/>
        </w:rPr>
        <w:t>We were formed in 2012 as Peloton Interactive, LLC, a Delaware limited liability company. Peloton Interactive, Inc., a Delaware corporation, was incorporated in March 2015, and through a corporate restructuring in April 2015, Peloton Interactive, LLC merged with and into Peloton Interactive, Inc.</w:t>
      </w:r>
    </w:p>
    <w:p>
      <w:pPr>
        <w:spacing w:after="0" w:line="139" w:lineRule="exact"/>
        <w:rPr>
          <w:sz w:val="20"/>
          <w:szCs w:val="20"/>
          <w:color w:val="auto"/>
        </w:rPr>
      </w:pPr>
    </w:p>
    <w:p>
      <w:pPr>
        <w:ind w:left="2280"/>
        <w:spacing w:after="0"/>
        <w:rPr>
          <w:sz w:val="20"/>
          <w:szCs w:val="20"/>
          <w:color w:val="auto"/>
        </w:rPr>
      </w:pPr>
      <w:r>
        <w:rPr>
          <w:rFonts w:ascii="Arial" w:cs="Arial" w:eastAsia="Arial" w:hAnsi="Arial"/>
          <w:sz w:val="11"/>
          <w:szCs w:val="11"/>
          <w:color w:val="050505"/>
        </w:rPr>
        <w:t>Our principal executive offices are located at 125 West 25th Street, 11th Floor, New York, New York 10001 and our telephone number is</w:t>
      </w:r>
    </w:p>
    <w:p>
      <w:pPr>
        <w:ind w:left="2560" w:hanging="275"/>
        <w:spacing w:after="0"/>
        <w:tabs>
          <w:tab w:leader="none" w:pos="2560" w:val="left"/>
        </w:tabs>
        <w:numPr>
          <w:ilvl w:val="0"/>
          <w:numId w:val="5"/>
        </w:numPr>
        <w:rPr>
          <w:rFonts w:ascii="Arial" w:cs="Arial" w:eastAsia="Arial" w:hAnsi="Arial"/>
          <w:sz w:val="11"/>
          <w:szCs w:val="11"/>
          <w:color w:val="050505"/>
        </w:rPr>
      </w:pPr>
      <w:r>
        <w:rPr>
          <w:rFonts w:ascii="Arial" w:cs="Arial" w:eastAsia="Arial" w:hAnsi="Arial"/>
          <w:sz w:val="11"/>
          <w:szCs w:val="11"/>
          <w:color w:val="050505"/>
        </w:rPr>
        <w:t>679-9129. Our website address is www.onepeloton.com. The information contained on, or that</w:t>
      </w:r>
    </w:p>
    <w:p>
      <w:pPr>
        <w:spacing w:after="0" w:line="359" w:lineRule="exact"/>
        <w:rPr>
          <w:rFonts w:ascii="Arial" w:cs="Arial" w:eastAsia="Arial" w:hAnsi="Arial"/>
          <w:sz w:val="11"/>
          <w:szCs w:val="11"/>
          <w:color w:val="050505"/>
        </w:rPr>
      </w:pPr>
    </w:p>
    <w:p>
      <w:pPr>
        <w:ind w:left="5700"/>
        <w:spacing w:after="0"/>
        <w:rPr>
          <w:rFonts w:ascii="Arial" w:cs="Arial" w:eastAsia="Arial" w:hAnsi="Arial"/>
          <w:sz w:val="11"/>
          <w:szCs w:val="11"/>
          <w:color w:val="050505"/>
        </w:rPr>
      </w:pPr>
      <w:r>
        <w:rPr>
          <w:rFonts w:ascii="Arial" w:cs="Arial" w:eastAsia="Arial" w:hAnsi="Arial"/>
          <w:sz w:val="11"/>
          <w:szCs w:val="11"/>
          <w:color w:val="050505"/>
        </w:rPr>
        <w:t>7</w:t>
      </w:r>
    </w:p>
    <w:p>
      <w:pPr>
        <w:sectPr>
          <w:pgSz w:w="11900" w:h="16838" w:orient="portrait"/>
          <w:cols w:equalWidth="0" w:num="1">
            <w:col w:w="10239"/>
          </w:cols>
          <w:pgMar w:left="220" w:top="354" w:right="1440" w:bottom="1440" w:gutter="0" w:footer="0" w:header="0"/>
        </w:sectPr>
      </w:pPr>
    </w:p>
    <w:bookmarkStart w:id="12" w:name="page13"/>
    <w:bookmarkEnd w:id="12"/>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hyperlink w:anchor="page5">
        <w:r>
          <w:rPr>
            <w:rFonts w:ascii="Arial" w:cs="Arial" w:eastAsia="Arial" w:hAnsi="Arial"/>
            <w:sz w:val="12"/>
            <w:szCs w:val="12"/>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1306830</wp:posOffset>
            </wp:positionH>
            <wp:positionV relativeFrom="paragraph">
              <wp:posOffset>132715</wp:posOffset>
            </wp:positionV>
            <wp:extent cx="4674235" cy="36214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4674235" cy="3621405"/>
                    </a:xfrm>
                    <a:prstGeom prst="rect">
                      <a:avLst/>
                    </a:prstGeom>
                    <a:noFill/>
                  </pic:spPr>
                </pic:pic>
              </a:graphicData>
            </a:graphic>
          </wp:anchor>
        </w:drawing>
      </w:r>
    </w:p>
    <w:p>
      <w:pPr>
        <w:spacing w:after="0" w:line="322" w:lineRule="exact"/>
        <w:rPr>
          <w:sz w:val="20"/>
          <w:szCs w:val="20"/>
          <w:color w:val="auto"/>
        </w:rPr>
      </w:pPr>
    </w:p>
    <w:p>
      <w:pPr>
        <w:jc w:val="both"/>
        <w:ind w:left="2280" w:right="1059"/>
        <w:spacing w:after="0" w:line="242" w:lineRule="auto"/>
        <w:rPr>
          <w:sz w:val="20"/>
          <w:szCs w:val="20"/>
          <w:color w:val="auto"/>
        </w:rPr>
      </w:pPr>
      <w:r>
        <w:rPr>
          <w:rFonts w:ascii="Arial" w:cs="Arial" w:eastAsia="Arial" w:hAnsi="Arial"/>
          <w:sz w:val="11"/>
          <w:szCs w:val="11"/>
          <w:color w:val="050505"/>
        </w:rPr>
        <w:t>can be accessed through, our website is not incorporated by reference into, and is not a part of, this prospectus. Investors should not rely on any such information in deciding whether to purchase our Class A common stock. Unless otherwise indicated, the terms “Peloton,” “Peloton Interactive,” “we,” “us,” and “our” refer to Peloton Interactive, Inc., together with our consolidated subsidiaries.</w:t>
      </w:r>
    </w:p>
    <w:p>
      <w:pPr>
        <w:spacing w:after="0" w:line="140" w:lineRule="exact"/>
        <w:rPr>
          <w:sz w:val="20"/>
          <w:szCs w:val="20"/>
          <w:color w:val="auto"/>
        </w:rPr>
      </w:pPr>
    </w:p>
    <w:p>
      <w:pPr>
        <w:jc w:val="both"/>
        <w:ind w:left="2280" w:right="1059"/>
        <w:spacing w:after="0" w:line="220" w:lineRule="auto"/>
        <w:rPr>
          <w:sz w:val="20"/>
          <w:szCs w:val="20"/>
          <w:color w:val="auto"/>
        </w:rPr>
      </w:pPr>
      <w:r>
        <w:rPr>
          <w:rFonts w:ascii="Arial" w:cs="Arial" w:eastAsia="Arial" w:hAnsi="Arial"/>
          <w:sz w:val="11"/>
          <w:szCs w:val="11"/>
          <w:color w:val="050505"/>
        </w:rPr>
        <w:t xml:space="preserve">Peloton, the Peloton logo, Peloton Bike, Peloton Tread, Peloton Digital, and other registered or common law trade names, trademarks, or service marks of Peloton appearing in this prospectus are the property of Peloton. This prospectus contains additional trade names, trademarks, and service marks of other companies that are the property of their respective owners. We do not intend our use or display of other companies’ trade names, trademarks, or service marks to imply a relationship with, or endorsement or sponsorship of us by, these other companies. Solely for convenience, our trademarks and tradenames referred to in this prospectus appear without the </w:t>
      </w:r>
      <w:r>
        <w:rPr>
          <w:rFonts w:ascii="Arial" w:cs="Arial" w:eastAsia="Arial" w:hAnsi="Arial"/>
          <w:sz w:val="18"/>
          <w:szCs w:val="18"/>
          <w:color w:val="050505"/>
          <w:vertAlign w:val="superscript"/>
        </w:rPr>
        <w:t>®</w:t>
      </w:r>
      <w:r>
        <w:rPr>
          <w:rFonts w:ascii="Arial" w:cs="Arial" w:eastAsia="Arial" w:hAnsi="Arial"/>
          <w:sz w:val="11"/>
          <w:szCs w:val="11"/>
          <w:color w:val="050505"/>
        </w:rPr>
        <w:t xml:space="preserve"> and </w:t>
      </w:r>
      <w:r>
        <w:rPr>
          <w:rFonts w:ascii="Arial" w:cs="Arial" w:eastAsia="Arial" w:hAnsi="Arial"/>
          <w:sz w:val="18"/>
          <w:szCs w:val="18"/>
          <w:color w:val="050505"/>
          <w:vertAlign w:val="superscript"/>
        </w:rPr>
        <w:t>™</w:t>
      </w:r>
      <w:r>
        <w:rPr>
          <w:rFonts w:ascii="Arial" w:cs="Arial" w:eastAsia="Arial" w:hAnsi="Arial"/>
          <w:sz w:val="11"/>
          <w:szCs w:val="11"/>
          <w:color w:val="050505"/>
        </w:rPr>
        <w:t xml:space="preserve"> symbols, but those references are not intended to indicate, in any way, that we will not assert, to the fullest extent under applicable law, our rights, or the right of the applicable licensor, to these trademarks and tradenames.</w:t>
      </w:r>
    </w:p>
    <w:p>
      <w:pPr>
        <w:spacing w:after="0" w:line="201" w:lineRule="exact"/>
        <w:rPr>
          <w:sz w:val="20"/>
          <w:szCs w:val="20"/>
          <w:color w:val="auto"/>
        </w:rPr>
      </w:pPr>
    </w:p>
    <w:p>
      <w:pPr>
        <w:jc w:val="center"/>
        <w:ind w:right="-1220"/>
        <w:spacing w:after="0"/>
        <w:rPr>
          <w:sz w:val="20"/>
          <w:szCs w:val="20"/>
          <w:color w:val="auto"/>
        </w:rPr>
      </w:pPr>
      <w:r>
        <w:rPr>
          <w:rFonts w:ascii="Arial" w:cs="Arial" w:eastAsia="Arial" w:hAnsi="Arial"/>
          <w:sz w:val="11"/>
          <w:szCs w:val="11"/>
          <w:b w:val="1"/>
          <w:bCs w:val="1"/>
          <w:color w:val="auto"/>
        </w:rPr>
        <w:t>Implications of Being an Emerging Growth Company</w:t>
      </w:r>
    </w:p>
    <w:p>
      <w:pPr>
        <w:spacing w:after="0" w:line="156" w:lineRule="exact"/>
        <w:rPr>
          <w:sz w:val="20"/>
          <w:szCs w:val="20"/>
          <w:color w:val="auto"/>
        </w:rPr>
      </w:pPr>
    </w:p>
    <w:p>
      <w:pPr>
        <w:jc w:val="both"/>
        <w:ind w:left="2280" w:right="1059"/>
        <w:spacing w:after="0"/>
        <w:rPr>
          <w:sz w:val="20"/>
          <w:szCs w:val="20"/>
          <w:color w:val="auto"/>
        </w:rPr>
      </w:pPr>
      <w:r>
        <w:rPr>
          <w:rFonts w:ascii="Arial" w:cs="Arial" w:eastAsia="Arial" w:hAnsi="Arial"/>
          <w:sz w:val="11"/>
          <w:szCs w:val="11"/>
          <w:color w:val="050505"/>
        </w:rPr>
        <w:t>As a company with less than $1.07 billion in revenue during our most recently completed fiscal year, we qualify as an “emerging growth company” as defined in Section 2(a) of the Securities Act of 1933, as amended, or the Securities Act, as modified by the Jumpstart Our Business Startups Act of 2012, or the JOBS Act. As an emerging growth company, we may take advantage of specified reduced disclosure and other requirements that are otherwise applicable, in general, to public companies that are not emerging growth companies. These provisions include:</w:t>
      </w:r>
    </w:p>
    <w:p>
      <w:pPr>
        <w:spacing w:after="0" w:line="160" w:lineRule="exact"/>
        <w:rPr>
          <w:sz w:val="20"/>
          <w:szCs w:val="20"/>
          <w:color w:val="auto"/>
        </w:rPr>
      </w:pPr>
    </w:p>
    <w:p>
      <w:pPr>
        <w:ind w:left="2620" w:hanging="200"/>
        <w:spacing w:after="0"/>
        <w:tabs>
          <w:tab w:leader="none" w:pos="2620" w:val="left"/>
        </w:tabs>
        <w:numPr>
          <w:ilvl w:val="0"/>
          <w:numId w:val="6"/>
        </w:numPr>
        <w:rPr>
          <w:rFonts w:ascii="Arial" w:cs="Arial" w:eastAsia="Arial" w:hAnsi="Arial"/>
          <w:sz w:val="11"/>
          <w:szCs w:val="11"/>
          <w:color w:val="F7323F"/>
        </w:rPr>
      </w:pPr>
      <w:r>
        <w:rPr>
          <w:rFonts w:ascii="Arial" w:cs="Arial" w:eastAsia="Arial" w:hAnsi="Arial"/>
          <w:sz w:val="11"/>
          <w:szCs w:val="11"/>
          <w:color w:val="050505"/>
        </w:rPr>
        <w:t>not being required to comply with the auditor attestation requirements of Section 404 of the Sarbanes-Oxley Act of 2002;</w:t>
      </w:r>
    </w:p>
    <w:p>
      <w:pPr>
        <w:spacing w:after="0" w:line="44" w:lineRule="exact"/>
        <w:rPr>
          <w:rFonts w:ascii="Arial" w:cs="Arial" w:eastAsia="Arial" w:hAnsi="Arial"/>
          <w:sz w:val="11"/>
          <w:szCs w:val="11"/>
          <w:color w:val="F7323F"/>
        </w:rPr>
      </w:pPr>
    </w:p>
    <w:p>
      <w:pPr>
        <w:ind w:left="2620" w:hanging="200"/>
        <w:spacing w:after="0"/>
        <w:tabs>
          <w:tab w:leader="none" w:pos="2620" w:val="left"/>
        </w:tabs>
        <w:numPr>
          <w:ilvl w:val="0"/>
          <w:numId w:val="6"/>
        </w:numPr>
        <w:rPr>
          <w:rFonts w:ascii="Arial" w:cs="Arial" w:eastAsia="Arial" w:hAnsi="Arial"/>
          <w:sz w:val="11"/>
          <w:szCs w:val="11"/>
          <w:color w:val="F7323F"/>
        </w:rPr>
      </w:pPr>
      <w:r>
        <w:rPr>
          <w:rFonts w:ascii="Arial" w:cs="Arial" w:eastAsia="Arial" w:hAnsi="Arial"/>
          <w:sz w:val="11"/>
          <w:szCs w:val="11"/>
          <w:color w:val="050505"/>
        </w:rPr>
        <w:t>reduced disclosure obligations regarding executive compensation; and</w:t>
      </w:r>
    </w:p>
    <w:p>
      <w:pPr>
        <w:spacing w:after="0" w:line="44" w:lineRule="exact"/>
        <w:rPr>
          <w:rFonts w:ascii="Arial" w:cs="Arial" w:eastAsia="Arial" w:hAnsi="Arial"/>
          <w:sz w:val="11"/>
          <w:szCs w:val="11"/>
          <w:color w:val="F7323F"/>
        </w:rPr>
      </w:pPr>
    </w:p>
    <w:p>
      <w:pPr>
        <w:ind w:left="2620" w:right="1059" w:hanging="200"/>
        <w:spacing w:after="0" w:line="245" w:lineRule="auto"/>
        <w:tabs>
          <w:tab w:leader="none" w:pos="2620" w:val="left"/>
        </w:tabs>
        <w:numPr>
          <w:ilvl w:val="0"/>
          <w:numId w:val="6"/>
        </w:numPr>
        <w:rPr>
          <w:rFonts w:ascii="Arial" w:cs="Arial" w:eastAsia="Arial" w:hAnsi="Arial"/>
          <w:sz w:val="11"/>
          <w:szCs w:val="11"/>
          <w:color w:val="F7323F"/>
        </w:rPr>
      </w:pPr>
      <w:r>
        <w:rPr>
          <w:rFonts w:ascii="Arial" w:cs="Arial" w:eastAsia="Arial" w:hAnsi="Arial"/>
          <w:sz w:val="11"/>
          <w:szCs w:val="11"/>
          <w:color w:val="050505"/>
        </w:rPr>
        <w:t>exemptions from the requirements of holding a nonbinding advisory vote on executive compensation and shareholder approval of any golden parachute payments not previously approved.</w:t>
      </w:r>
    </w:p>
    <w:p>
      <w:pPr>
        <w:spacing w:after="0" w:line="138" w:lineRule="exact"/>
        <w:rPr>
          <w:sz w:val="20"/>
          <w:szCs w:val="20"/>
          <w:color w:val="auto"/>
        </w:rPr>
      </w:pPr>
    </w:p>
    <w:p>
      <w:pPr>
        <w:jc w:val="both"/>
        <w:ind w:left="2280" w:right="1059"/>
        <w:spacing w:after="0" w:line="241" w:lineRule="auto"/>
        <w:rPr>
          <w:sz w:val="20"/>
          <w:szCs w:val="20"/>
          <w:color w:val="auto"/>
        </w:rPr>
      </w:pPr>
      <w:r>
        <w:rPr>
          <w:rFonts w:ascii="Arial" w:cs="Arial" w:eastAsia="Arial" w:hAnsi="Arial"/>
          <w:sz w:val="11"/>
          <w:szCs w:val="11"/>
          <w:color w:val="050505"/>
        </w:rPr>
        <w:t>Emerging growth companies can also delay adopting new or revised accounting standards until such time as those standards apply to private companies. We have irrevocably elected not to avail ourselves of this accommodation allowing for delayed adoption of new or revised accounting standards and, therefore, we will be subject to the same new or revised accounting standards as other public companies that are not emerging growth companies.</w:t>
      </w:r>
    </w:p>
    <w:p>
      <w:pPr>
        <w:spacing w:after="0" w:line="140" w:lineRule="exact"/>
        <w:rPr>
          <w:sz w:val="20"/>
          <w:szCs w:val="20"/>
          <w:color w:val="auto"/>
        </w:rPr>
      </w:pPr>
    </w:p>
    <w:p>
      <w:pPr>
        <w:jc w:val="both"/>
        <w:ind w:left="2280" w:right="1059"/>
        <w:spacing w:after="0" w:line="241" w:lineRule="auto"/>
        <w:rPr>
          <w:sz w:val="20"/>
          <w:szCs w:val="20"/>
          <w:color w:val="auto"/>
        </w:rPr>
      </w:pPr>
      <w:r>
        <w:rPr>
          <w:rFonts w:ascii="Arial" w:cs="Arial" w:eastAsia="Arial" w:hAnsi="Arial"/>
          <w:sz w:val="11"/>
          <w:szCs w:val="11"/>
          <w:color w:val="050505"/>
        </w:rPr>
        <w:t>We will remain an emerging growth company until the earliest to occur of: (1) the last day of the fiscal year in which we have more than $1.07 billion in annual revenue; (2) the date we qualify as a “large accelerated filer,” with at least $700 million of equity securities held by non-affiliates; (3) the date on which we have issued, in any three-year period, more than $1.0 billion in non-convertible debt securities; and (4) the last day of the fiscal year ending after the fifth anniversary of the completion of this offering.</w:t>
      </w:r>
    </w:p>
    <w:p>
      <w:pPr>
        <w:spacing w:after="0" w:line="140" w:lineRule="exact"/>
        <w:rPr>
          <w:sz w:val="20"/>
          <w:szCs w:val="20"/>
          <w:color w:val="auto"/>
        </w:rPr>
      </w:pPr>
    </w:p>
    <w:p>
      <w:pPr>
        <w:jc w:val="both"/>
        <w:ind w:left="2280" w:right="1059"/>
        <w:spacing w:after="0" w:line="245" w:lineRule="auto"/>
        <w:rPr>
          <w:sz w:val="20"/>
          <w:szCs w:val="20"/>
          <w:color w:val="auto"/>
        </w:rPr>
      </w:pPr>
      <w:r>
        <w:rPr>
          <w:rFonts w:ascii="Arial" w:cs="Arial" w:eastAsia="Arial" w:hAnsi="Arial"/>
          <w:sz w:val="11"/>
          <w:szCs w:val="11"/>
          <w:color w:val="050505"/>
        </w:rPr>
        <w:t>We may take advantage of these exemptions until such time that we are no longer an emerging growth company. Accordingly, the information contained herein may be different than the information you receive from other public companies in which you hold stock.</w:t>
      </w:r>
    </w:p>
    <w:p>
      <w:pPr>
        <w:spacing w:after="0" w:line="354" w:lineRule="exact"/>
        <w:rPr>
          <w:sz w:val="20"/>
          <w:szCs w:val="20"/>
          <w:color w:val="auto"/>
        </w:rPr>
      </w:pPr>
    </w:p>
    <w:p>
      <w:pPr>
        <w:ind w:left="5700"/>
        <w:spacing w:after="0"/>
        <w:rPr>
          <w:sz w:val="20"/>
          <w:szCs w:val="20"/>
          <w:color w:val="auto"/>
        </w:rPr>
      </w:pPr>
      <w:r>
        <w:rPr>
          <w:rFonts w:ascii="Arial" w:cs="Arial" w:eastAsia="Arial" w:hAnsi="Arial"/>
          <w:sz w:val="11"/>
          <w:szCs w:val="11"/>
          <w:color w:val="050505"/>
        </w:rPr>
        <w:t>8</w:t>
      </w:r>
    </w:p>
    <w:p>
      <w:pPr>
        <w:sectPr>
          <w:pgSz w:w="11900" w:h="16838" w:orient="portrait"/>
          <w:cols w:equalWidth="0" w:num="1">
            <w:col w:w="10239"/>
          </w:cols>
          <w:pgMar w:left="220" w:top="354" w:right="1440" w:bottom="1440" w:gutter="0" w:footer="0" w:header="0"/>
        </w:sectPr>
      </w:pPr>
    </w:p>
    <w:bookmarkStart w:id="13" w:name="page14"/>
    <w:bookmarkEnd w:id="13"/>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hyperlink w:anchor="page5">
        <w:r>
          <w:rPr>
            <w:rFonts w:ascii="Arial" w:cs="Arial" w:eastAsia="Arial" w:hAnsi="Arial"/>
            <w:sz w:val="12"/>
            <w:szCs w:val="12"/>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1306830</wp:posOffset>
            </wp:positionH>
            <wp:positionV relativeFrom="paragraph">
              <wp:posOffset>132715</wp:posOffset>
            </wp:positionV>
            <wp:extent cx="4674235" cy="449072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4674235" cy="4490720"/>
                    </a:xfrm>
                    <a:prstGeom prst="rect">
                      <a:avLst/>
                    </a:prstGeom>
                    <a:noFill/>
                  </pic:spPr>
                </pic:pic>
              </a:graphicData>
            </a:graphic>
          </wp:anchor>
        </w:drawing>
      </w:r>
    </w:p>
    <w:p>
      <w:pPr>
        <w:spacing w:after="0" w:line="306" w:lineRule="exact"/>
        <w:rPr>
          <w:sz w:val="20"/>
          <w:szCs w:val="20"/>
          <w:color w:val="auto"/>
        </w:rPr>
      </w:pPr>
    </w:p>
    <w:p>
      <w:pPr>
        <w:ind w:left="5280"/>
        <w:spacing w:after="0"/>
        <w:rPr>
          <w:sz w:val="20"/>
          <w:szCs w:val="20"/>
          <w:color w:val="auto"/>
        </w:rPr>
      </w:pPr>
      <w:r>
        <w:rPr>
          <w:rFonts w:ascii="Arial" w:cs="Arial" w:eastAsia="Arial" w:hAnsi="Arial"/>
          <w:sz w:val="12"/>
          <w:szCs w:val="12"/>
          <w:b w:val="1"/>
          <w:bCs w:val="1"/>
          <w:color w:val="auto"/>
        </w:rPr>
        <w:t>THE OFFERING</w:t>
      </w:r>
    </w:p>
    <w:p>
      <w:pPr>
        <w:spacing w:after="0" w:line="175" w:lineRule="exact"/>
        <w:rPr>
          <w:sz w:val="20"/>
          <w:szCs w:val="20"/>
          <w:color w:val="auto"/>
        </w:rPr>
      </w:pPr>
    </w:p>
    <w:p>
      <w:pPr>
        <w:ind w:left="2320"/>
        <w:spacing w:after="0"/>
        <w:tabs>
          <w:tab w:leader="none" w:pos="6200" w:val="left"/>
        </w:tabs>
        <w:rPr>
          <w:sz w:val="20"/>
          <w:szCs w:val="20"/>
          <w:color w:val="auto"/>
        </w:rPr>
      </w:pPr>
      <w:r>
        <w:rPr>
          <w:rFonts w:ascii="Arial" w:cs="Arial" w:eastAsia="Arial" w:hAnsi="Arial"/>
          <w:sz w:val="11"/>
          <w:szCs w:val="11"/>
          <w:color w:val="050505"/>
        </w:rPr>
        <w:t>Class A common stock offered in this offering</w:t>
      </w:r>
      <w:r>
        <w:rPr>
          <w:sz w:val="20"/>
          <w:szCs w:val="20"/>
          <w:color w:val="auto"/>
        </w:rPr>
        <w:tab/>
      </w:r>
      <w:r>
        <w:rPr>
          <w:rFonts w:ascii="Arial" w:cs="Arial" w:eastAsia="Arial" w:hAnsi="Arial"/>
          <w:sz w:val="10"/>
          <w:szCs w:val="10"/>
          <w:color w:val="050505"/>
        </w:rPr>
        <w:t>40,000,000 shares</w:t>
      </w:r>
    </w:p>
    <w:p>
      <w:pPr>
        <w:spacing w:after="0" w:line="53" w:lineRule="exact"/>
        <w:rPr>
          <w:sz w:val="20"/>
          <w:szCs w:val="20"/>
          <w:color w:val="auto"/>
        </w:rPr>
      </w:pPr>
    </w:p>
    <w:p>
      <w:pPr>
        <w:ind w:left="2320"/>
        <w:spacing w:after="0"/>
        <w:tabs>
          <w:tab w:leader="none" w:pos="6200" w:val="left"/>
        </w:tabs>
        <w:rPr>
          <w:sz w:val="20"/>
          <w:szCs w:val="20"/>
          <w:color w:val="auto"/>
        </w:rPr>
      </w:pPr>
      <w:r>
        <w:rPr>
          <w:rFonts w:ascii="Arial" w:cs="Arial" w:eastAsia="Arial" w:hAnsi="Arial"/>
          <w:sz w:val="11"/>
          <w:szCs w:val="11"/>
          <w:color w:val="050505"/>
        </w:rPr>
        <w:t>Class A common stock offered in the private placement</w:t>
      </w:r>
      <w:r>
        <w:rPr>
          <w:sz w:val="20"/>
          <w:szCs w:val="20"/>
          <w:color w:val="auto"/>
        </w:rPr>
        <w:tab/>
      </w:r>
      <w:r>
        <w:rPr>
          <w:rFonts w:ascii="Arial" w:cs="Arial" w:eastAsia="Arial" w:hAnsi="Arial"/>
          <w:sz w:val="11"/>
          <w:szCs w:val="11"/>
          <w:color w:val="050505"/>
        </w:rPr>
        <w:t>Concurrent with the closing of this offering, entities affiliated</w:t>
      </w:r>
    </w:p>
    <w:p>
      <w:pPr>
        <w:ind w:left="6220"/>
        <w:spacing w:after="0"/>
        <w:rPr>
          <w:sz w:val="20"/>
          <w:szCs w:val="20"/>
          <w:color w:val="auto"/>
        </w:rPr>
      </w:pPr>
      <w:r>
        <w:rPr>
          <w:rFonts w:ascii="Arial" w:cs="Arial" w:eastAsia="Arial" w:hAnsi="Arial"/>
          <w:sz w:val="10"/>
          <w:szCs w:val="10"/>
          <w:color w:val="050505"/>
        </w:rPr>
        <w:t>with TCV, an existing stockholder, have agreed to purchase a</w:t>
      </w:r>
    </w:p>
    <w:p>
      <w:pPr>
        <w:spacing w:after="0" w:line="11" w:lineRule="exact"/>
        <w:rPr>
          <w:sz w:val="20"/>
          <w:szCs w:val="20"/>
          <w:color w:val="auto"/>
        </w:rPr>
      </w:pPr>
    </w:p>
    <w:p>
      <w:pPr>
        <w:ind w:left="6220"/>
        <w:spacing w:after="0"/>
        <w:rPr>
          <w:sz w:val="20"/>
          <w:szCs w:val="20"/>
          <w:color w:val="auto"/>
        </w:rPr>
      </w:pPr>
      <w:r>
        <w:rPr>
          <w:rFonts w:ascii="Arial" w:cs="Arial" w:eastAsia="Arial" w:hAnsi="Arial"/>
          <w:sz w:val="11"/>
          <w:szCs w:val="11"/>
          <w:color w:val="050505"/>
        </w:rPr>
        <w:t>number  of  shares  of  Class A  common  stock  with  an</w:t>
      </w:r>
    </w:p>
    <w:p>
      <w:pPr>
        <w:ind w:left="6220"/>
        <w:spacing w:after="0"/>
        <w:rPr>
          <w:sz w:val="20"/>
          <w:szCs w:val="20"/>
          <w:color w:val="auto"/>
        </w:rPr>
      </w:pPr>
      <w:r>
        <w:rPr>
          <w:rFonts w:ascii="Arial" w:cs="Arial" w:eastAsia="Arial" w:hAnsi="Arial"/>
          <w:sz w:val="10"/>
          <w:szCs w:val="10"/>
          <w:color w:val="050505"/>
        </w:rPr>
        <w:t>aggregate purchase price of approximately $100.0 million at a</w:t>
      </w:r>
    </w:p>
    <w:p>
      <w:pPr>
        <w:spacing w:after="0" w:line="11" w:lineRule="exact"/>
        <w:rPr>
          <w:sz w:val="20"/>
          <w:szCs w:val="20"/>
          <w:color w:val="auto"/>
        </w:rPr>
      </w:pPr>
    </w:p>
    <w:p>
      <w:pPr>
        <w:ind w:left="6220"/>
        <w:spacing w:after="0"/>
        <w:rPr>
          <w:sz w:val="20"/>
          <w:szCs w:val="20"/>
          <w:color w:val="auto"/>
        </w:rPr>
      </w:pPr>
      <w:r>
        <w:rPr>
          <w:rFonts w:ascii="Arial" w:cs="Arial" w:eastAsia="Arial" w:hAnsi="Arial"/>
          <w:sz w:val="10"/>
          <w:szCs w:val="10"/>
          <w:color w:val="050505"/>
        </w:rPr>
        <w:t>price per share equal to the initial public offering price. Based</w:t>
      </w:r>
    </w:p>
    <w:p>
      <w:pPr>
        <w:spacing w:after="0" w:line="11" w:lineRule="exact"/>
        <w:rPr>
          <w:sz w:val="20"/>
          <w:szCs w:val="20"/>
          <w:color w:val="auto"/>
        </w:rPr>
      </w:pPr>
    </w:p>
    <w:p>
      <w:pPr>
        <w:jc w:val="right"/>
        <w:ind w:right="1059"/>
        <w:spacing w:after="0"/>
        <w:rPr>
          <w:sz w:val="20"/>
          <w:szCs w:val="20"/>
          <w:color w:val="auto"/>
        </w:rPr>
      </w:pPr>
      <w:r>
        <w:rPr>
          <w:rFonts w:ascii="Arial" w:cs="Arial" w:eastAsia="Arial" w:hAnsi="Arial"/>
          <w:sz w:val="11"/>
          <w:szCs w:val="11"/>
          <w:color w:val="050505"/>
        </w:rPr>
        <w:t>upon the initial public offering price of $29.00 per share this</w:t>
      </w:r>
    </w:p>
    <w:p>
      <w:pPr>
        <w:ind w:left="6220"/>
        <w:spacing w:after="0"/>
        <w:rPr>
          <w:sz w:val="20"/>
          <w:szCs w:val="20"/>
          <w:color w:val="auto"/>
        </w:rPr>
      </w:pPr>
      <w:r>
        <w:rPr>
          <w:rFonts w:ascii="Arial" w:cs="Arial" w:eastAsia="Arial" w:hAnsi="Arial"/>
          <w:sz w:val="11"/>
          <w:szCs w:val="11"/>
          <w:color w:val="050505"/>
        </w:rPr>
        <w:t>will be 3,448,275 shares of Class A common stock. Sales of</w:t>
      </w:r>
    </w:p>
    <w:p>
      <w:pPr>
        <w:ind w:left="6220"/>
        <w:spacing w:after="0"/>
        <w:rPr>
          <w:sz w:val="20"/>
          <w:szCs w:val="20"/>
          <w:color w:val="auto"/>
        </w:rPr>
      </w:pPr>
      <w:r>
        <w:rPr>
          <w:rFonts w:ascii="Arial" w:cs="Arial" w:eastAsia="Arial" w:hAnsi="Arial"/>
          <w:sz w:val="11"/>
          <w:szCs w:val="11"/>
          <w:color w:val="050505"/>
        </w:rPr>
        <w:t>these shares to entities affiliated with TCV will not be</w:t>
      </w:r>
    </w:p>
    <w:p>
      <w:pPr>
        <w:ind w:left="6220"/>
        <w:spacing w:after="0"/>
        <w:rPr>
          <w:sz w:val="20"/>
          <w:szCs w:val="20"/>
          <w:color w:val="auto"/>
        </w:rPr>
      </w:pPr>
      <w:r>
        <w:rPr>
          <w:rFonts w:ascii="Arial" w:cs="Arial" w:eastAsia="Arial" w:hAnsi="Arial"/>
          <w:sz w:val="11"/>
          <w:szCs w:val="11"/>
          <w:color w:val="050505"/>
        </w:rPr>
        <w:t>registered in this offering. In addition, TCV has agreed to a</w:t>
      </w:r>
    </w:p>
    <w:p>
      <w:pPr>
        <w:ind w:left="6220"/>
        <w:spacing w:after="0"/>
        <w:rPr>
          <w:sz w:val="20"/>
          <w:szCs w:val="20"/>
          <w:color w:val="auto"/>
        </w:rPr>
      </w:pPr>
      <w:r>
        <w:rPr>
          <w:rFonts w:ascii="Arial" w:cs="Arial" w:eastAsia="Arial" w:hAnsi="Arial"/>
          <w:sz w:val="11"/>
          <w:szCs w:val="11"/>
          <w:color w:val="050505"/>
        </w:rPr>
        <w:t>180-day lock-up agreement pursuant to which the Class A</w:t>
      </w:r>
    </w:p>
    <w:p>
      <w:pPr>
        <w:ind w:left="6220"/>
        <w:spacing w:after="0"/>
        <w:rPr>
          <w:sz w:val="20"/>
          <w:szCs w:val="20"/>
          <w:color w:val="auto"/>
        </w:rPr>
      </w:pPr>
      <w:r>
        <w:rPr>
          <w:rFonts w:ascii="Arial" w:cs="Arial" w:eastAsia="Arial" w:hAnsi="Arial"/>
          <w:sz w:val="11"/>
          <w:szCs w:val="11"/>
          <w:color w:val="050505"/>
        </w:rPr>
        <w:t>common stock purchased in the private placement will be</w:t>
      </w:r>
    </w:p>
    <w:p>
      <w:pPr>
        <w:ind w:left="6220"/>
        <w:spacing w:after="0"/>
        <w:rPr>
          <w:sz w:val="20"/>
          <w:szCs w:val="20"/>
          <w:color w:val="auto"/>
        </w:rPr>
      </w:pPr>
      <w:r>
        <w:rPr>
          <w:rFonts w:ascii="Arial" w:cs="Arial" w:eastAsia="Arial" w:hAnsi="Arial"/>
          <w:sz w:val="11"/>
          <w:szCs w:val="11"/>
          <w:color w:val="050505"/>
        </w:rPr>
        <w:t>locked  up for a period  of  180  days,  subject to  early</w:t>
      </w:r>
    </w:p>
    <w:p>
      <w:pPr>
        <w:ind w:left="6220"/>
        <w:spacing w:after="0"/>
        <w:rPr>
          <w:sz w:val="20"/>
          <w:szCs w:val="20"/>
          <w:color w:val="auto"/>
        </w:rPr>
      </w:pPr>
      <w:r>
        <w:rPr>
          <w:rFonts w:ascii="Arial" w:cs="Arial" w:eastAsia="Arial" w:hAnsi="Arial"/>
          <w:sz w:val="11"/>
          <w:szCs w:val="11"/>
          <w:color w:val="050505"/>
        </w:rPr>
        <w:t>termination as described in the section titled “Underwriting”.</w:t>
      </w:r>
    </w:p>
    <w:p>
      <w:pPr>
        <w:ind w:left="6220"/>
        <w:spacing w:after="0"/>
        <w:rPr>
          <w:sz w:val="20"/>
          <w:szCs w:val="20"/>
          <w:color w:val="auto"/>
        </w:rPr>
      </w:pPr>
      <w:r>
        <w:rPr>
          <w:rFonts w:ascii="Arial" w:cs="Arial" w:eastAsia="Arial" w:hAnsi="Arial"/>
          <w:sz w:val="11"/>
          <w:szCs w:val="11"/>
          <w:color w:val="050505"/>
        </w:rPr>
        <w:t>We refer to the private placement of these shares of Class A</w:t>
      </w:r>
    </w:p>
    <w:p>
      <w:pPr>
        <w:ind w:left="6220"/>
        <w:spacing w:after="0"/>
        <w:rPr>
          <w:sz w:val="20"/>
          <w:szCs w:val="20"/>
          <w:color w:val="auto"/>
        </w:rPr>
      </w:pPr>
      <w:r>
        <w:rPr>
          <w:rFonts w:ascii="Arial" w:cs="Arial" w:eastAsia="Arial" w:hAnsi="Arial"/>
          <w:sz w:val="11"/>
          <w:szCs w:val="11"/>
          <w:color w:val="050505"/>
        </w:rPr>
        <w:t>common stock as the private placement.</w:t>
      </w:r>
    </w:p>
    <w:p>
      <w:pPr>
        <w:spacing w:after="0" w:line="53" w:lineRule="exact"/>
        <w:rPr>
          <w:sz w:val="20"/>
          <w:szCs w:val="20"/>
          <w:color w:val="auto"/>
        </w:rPr>
      </w:pPr>
    </w:p>
    <w:p>
      <w:pPr>
        <w:ind w:left="2320"/>
        <w:spacing w:after="0"/>
        <w:tabs>
          <w:tab w:leader="none" w:pos="6200" w:val="left"/>
        </w:tabs>
        <w:rPr>
          <w:sz w:val="20"/>
          <w:szCs w:val="20"/>
          <w:color w:val="auto"/>
        </w:rPr>
      </w:pPr>
      <w:r>
        <w:rPr>
          <w:rFonts w:ascii="Arial" w:cs="Arial" w:eastAsia="Arial" w:hAnsi="Arial"/>
          <w:sz w:val="11"/>
          <w:szCs w:val="11"/>
          <w:color w:val="050505"/>
        </w:rPr>
        <w:t>Option to purchase additional shares of Class A common stock offered in this</w:t>
      </w:r>
      <w:r>
        <w:rPr>
          <w:sz w:val="20"/>
          <w:szCs w:val="20"/>
          <w:color w:val="auto"/>
        </w:rPr>
        <w:tab/>
      </w:r>
      <w:r>
        <w:rPr>
          <w:rFonts w:ascii="Arial" w:cs="Arial" w:eastAsia="Arial" w:hAnsi="Arial"/>
          <w:sz w:val="10"/>
          <w:szCs w:val="10"/>
          <w:color w:val="050505"/>
        </w:rPr>
        <w:t>6,000,000 shares</w:t>
      </w:r>
    </w:p>
    <w:p>
      <w:pPr>
        <w:ind w:left="2360"/>
        <w:spacing w:after="0"/>
        <w:rPr>
          <w:sz w:val="20"/>
          <w:szCs w:val="20"/>
          <w:color w:val="auto"/>
        </w:rPr>
      </w:pPr>
      <w:r>
        <w:rPr>
          <w:rFonts w:ascii="Arial" w:cs="Arial" w:eastAsia="Arial" w:hAnsi="Arial"/>
          <w:sz w:val="11"/>
          <w:szCs w:val="11"/>
          <w:color w:val="050505"/>
        </w:rPr>
        <w:t>offering</w:t>
      </w:r>
    </w:p>
    <w:p>
      <w:pPr>
        <w:sectPr>
          <w:pgSz w:w="11900" w:h="16838" w:orient="portrait"/>
          <w:cols w:equalWidth="0" w:num="1">
            <w:col w:w="10239"/>
          </w:cols>
          <w:pgMar w:left="220" w:top="354" w:right="1440" w:bottom="1440" w:gutter="0" w:footer="0" w:header="0"/>
        </w:sectPr>
      </w:pPr>
    </w:p>
    <w:p>
      <w:pPr>
        <w:spacing w:after="0" w:line="54" w:lineRule="exact"/>
        <w:rPr>
          <w:sz w:val="20"/>
          <w:szCs w:val="20"/>
          <w:color w:val="auto"/>
        </w:rPr>
      </w:pPr>
    </w:p>
    <w:p>
      <w:pPr>
        <w:ind w:left="2360" w:hanging="37"/>
        <w:spacing w:after="0" w:line="245" w:lineRule="auto"/>
        <w:rPr>
          <w:sz w:val="20"/>
          <w:szCs w:val="20"/>
          <w:color w:val="auto"/>
        </w:rPr>
      </w:pPr>
      <w:r>
        <w:rPr>
          <w:rFonts w:ascii="Arial" w:cs="Arial" w:eastAsia="Arial" w:hAnsi="Arial"/>
          <w:sz w:val="11"/>
          <w:szCs w:val="11"/>
          <w:color w:val="050505"/>
        </w:rPr>
        <w:t>Class A common stock to be outstanding after this offering and the private placement</w:t>
      </w:r>
    </w:p>
    <w:p>
      <w:pPr>
        <w:spacing w:after="0" w:line="48" w:lineRule="exact"/>
        <w:rPr>
          <w:sz w:val="20"/>
          <w:szCs w:val="20"/>
          <w:color w:val="auto"/>
        </w:rPr>
      </w:pPr>
    </w:p>
    <w:p>
      <w:pPr>
        <w:ind w:left="2360" w:hanging="37"/>
        <w:spacing w:after="0" w:line="245" w:lineRule="auto"/>
        <w:rPr>
          <w:sz w:val="20"/>
          <w:szCs w:val="20"/>
          <w:color w:val="auto"/>
        </w:rPr>
      </w:pPr>
      <w:r>
        <w:rPr>
          <w:rFonts w:ascii="Arial" w:cs="Arial" w:eastAsia="Arial" w:hAnsi="Arial"/>
          <w:sz w:val="11"/>
          <w:szCs w:val="11"/>
          <w:color w:val="050505"/>
        </w:rPr>
        <w:t>Class B common stock to be outstanding after this offering and the private placement</w:t>
      </w:r>
    </w:p>
    <w:p>
      <w:pPr>
        <w:spacing w:after="0" w:line="20" w:lineRule="exact"/>
        <w:rPr>
          <w:sz w:val="20"/>
          <w:szCs w:val="20"/>
          <w:color w:val="auto"/>
        </w:rPr>
      </w:pPr>
      <w:r>
        <w:rPr>
          <w:sz w:val="20"/>
          <w:szCs w:val="20"/>
          <w:color w:val="auto"/>
        </w:rPr>
        <w:br w:type="column"/>
      </w:r>
    </w:p>
    <w:p>
      <w:pPr>
        <w:spacing w:after="0" w:line="34" w:lineRule="exact"/>
        <w:rPr>
          <w:sz w:val="20"/>
          <w:szCs w:val="20"/>
          <w:color w:val="auto"/>
        </w:rPr>
      </w:pPr>
    </w:p>
    <w:p>
      <w:pPr>
        <w:ind w:right="1059"/>
        <w:spacing w:after="0" w:line="245" w:lineRule="auto"/>
        <w:rPr>
          <w:sz w:val="20"/>
          <w:szCs w:val="20"/>
          <w:color w:val="auto"/>
        </w:rPr>
      </w:pPr>
      <w:r>
        <w:rPr>
          <w:rFonts w:ascii="Arial" w:cs="Arial" w:eastAsia="Arial" w:hAnsi="Arial"/>
          <w:sz w:val="11"/>
          <w:szCs w:val="11"/>
          <w:color w:val="050505"/>
        </w:rPr>
        <w:t>43,448,275 shares (49,448,275 shares if the option to purchase additional shares is exercised in full)</w:t>
      </w:r>
    </w:p>
    <w:p>
      <w:pPr>
        <w:spacing w:after="0" w:line="48" w:lineRule="exact"/>
        <w:rPr>
          <w:sz w:val="20"/>
          <w:szCs w:val="20"/>
          <w:color w:val="auto"/>
        </w:rPr>
      </w:pPr>
    </w:p>
    <w:p>
      <w:pPr>
        <w:spacing w:after="0"/>
        <w:rPr>
          <w:sz w:val="20"/>
          <w:szCs w:val="20"/>
          <w:color w:val="auto"/>
        </w:rPr>
      </w:pPr>
      <w:r>
        <w:rPr>
          <w:rFonts w:ascii="Arial" w:cs="Arial" w:eastAsia="Arial" w:hAnsi="Arial"/>
          <w:sz w:val="11"/>
          <w:szCs w:val="11"/>
          <w:color w:val="050505"/>
        </w:rPr>
        <w:t>235,942,233 shares</w:t>
      </w:r>
    </w:p>
    <w:p>
      <w:pPr>
        <w:spacing w:after="0" w:line="179" w:lineRule="exact"/>
        <w:rPr>
          <w:sz w:val="20"/>
          <w:szCs w:val="20"/>
          <w:color w:val="auto"/>
        </w:rPr>
      </w:pPr>
    </w:p>
    <w:p>
      <w:pPr>
        <w:sectPr>
          <w:pgSz w:w="11900" w:h="16838" w:orient="portrait"/>
          <w:cols w:equalWidth="0" w:num="2">
            <w:col w:w="5860" w:space="360"/>
            <w:col w:w="4019"/>
          </w:cols>
          <w:pgMar w:left="220" w:top="354" w:right="1440" w:bottom="1440" w:gutter="0" w:footer="0" w:header="0"/>
          <w:type w:val="continuous"/>
        </w:sectPr>
      </w:pPr>
    </w:p>
    <w:p>
      <w:pPr>
        <w:ind w:left="2360" w:hanging="37"/>
        <w:spacing w:after="0" w:line="245" w:lineRule="auto"/>
        <w:rPr>
          <w:sz w:val="20"/>
          <w:szCs w:val="20"/>
          <w:color w:val="auto"/>
        </w:rPr>
      </w:pPr>
      <w:r>
        <w:rPr>
          <w:rFonts w:ascii="Arial" w:cs="Arial" w:eastAsia="Arial" w:hAnsi="Arial"/>
          <w:sz w:val="11"/>
          <w:szCs w:val="11"/>
          <w:color w:val="050505"/>
        </w:rPr>
        <w:t>Total Class A and Class B common stock to be outstanding after this offering and the private placement</w:t>
      </w:r>
    </w:p>
    <w:p>
      <w:pPr>
        <w:spacing w:after="0" w:line="48" w:lineRule="exact"/>
        <w:rPr>
          <w:sz w:val="20"/>
          <w:szCs w:val="20"/>
          <w:color w:val="auto"/>
        </w:rPr>
      </w:pPr>
    </w:p>
    <w:p>
      <w:pPr>
        <w:ind w:left="2320"/>
        <w:spacing w:after="0"/>
        <w:rPr>
          <w:sz w:val="20"/>
          <w:szCs w:val="20"/>
          <w:color w:val="auto"/>
        </w:rPr>
      </w:pPr>
      <w:r>
        <w:rPr>
          <w:rFonts w:ascii="Arial" w:cs="Arial" w:eastAsia="Arial" w:hAnsi="Arial"/>
          <w:sz w:val="11"/>
          <w:szCs w:val="11"/>
          <w:color w:val="050505"/>
        </w:rPr>
        <w:t>Use of Proceeds</w:t>
      </w:r>
    </w:p>
    <w:p>
      <w:pPr>
        <w:spacing w:after="0" w:line="20" w:lineRule="exact"/>
        <w:rPr>
          <w:sz w:val="20"/>
          <w:szCs w:val="20"/>
          <w:color w:val="auto"/>
        </w:rPr>
      </w:pPr>
      <w:r>
        <w:rPr>
          <w:sz w:val="20"/>
          <w:szCs w:val="20"/>
          <w:color w:val="auto"/>
        </w:rPr>
        <w:br w:type="column"/>
      </w:r>
    </w:p>
    <w:p>
      <w:pPr>
        <w:jc w:val="both"/>
        <w:ind w:right="1079"/>
        <w:spacing w:after="0" w:line="245" w:lineRule="auto"/>
        <w:rPr>
          <w:sz w:val="20"/>
          <w:szCs w:val="20"/>
          <w:color w:val="auto"/>
        </w:rPr>
      </w:pPr>
      <w:r>
        <w:rPr>
          <w:rFonts w:ascii="Arial" w:cs="Arial" w:eastAsia="Arial" w:hAnsi="Arial"/>
          <w:sz w:val="11"/>
          <w:szCs w:val="11"/>
          <w:color w:val="050505"/>
        </w:rPr>
        <w:t>279,390,508 shares (285,390,508 shares if the option to purchase additional shares is exercised in full)</w:t>
      </w:r>
    </w:p>
    <w:p>
      <w:pPr>
        <w:spacing w:after="0" w:line="48" w:lineRule="exact"/>
        <w:rPr>
          <w:sz w:val="20"/>
          <w:szCs w:val="20"/>
          <w:color w:val="auto"/>
        </w:rPr>
      </w:pPr>
    </w:p>
    <w:p>
      <w:pPr>
        <w:jc w:val="both"/>
        <w:ind w:right="1059"/>
        <w:spacing w:after="0" w:line="268" w:lineRule="auto"/>
        <w:rPr>
          <w:sz w:val="20"/>
          <w:szCs w:val="20"/>
          <w:color w:val="auto"/>
        </w:rPr>
      </w:pPr>
      <w:r>
        <w:rPr>
          <w:rFonts w:ascii="Arial" w:cs="Arial" w:eastAsia="Arial" w:hAnsi="Arial"/>
          <w:sz w:val="10"/>
          <w:szCs w:val="10"/>
          <w:color w:val="050505"/>
        </w:rPr>
        <w:t>We estimate that the net proceeds from the sale of shares of our Class A common stock in this offering and the private placement will be approximately $1.2 billion, or approximately $1.4 billion if the underwriters exercise their option to purchase additional shares in full, based upon the initial public offering price of $29.00 per share and after deducting the underwriting discount and estimated offering expenses.</w:t>
      </w:r>
    </w:p>
    <w:p>
      <w:pPr>
        <w:spacing w:after="0" w:line="29" w:lineRule="exact"/>
        <w:rPr>
          <w:sz w:val="20"/>
          <w:szCs w:val="20"/>
          <w:color w:val="auto"/>
        </w:rPr>
      </w:pPr>
    </w:p>
    <w:p>
      <w:pPr>
        <w:jc w:val="both"/>
        <w:ind w:right="1059"/>
        <w:spacing w:after="0" w:line="239" w:lineRule="auto"/>
        <w:rPr>
          <w:sz w:val="20"/>
          <w:szCs w:val="20"/>
          <w:color w:val="auto"/>
        </w:rPr>
      </w:pPr>
      <w:r>
        <w:rPr>
          <w:rFonts w:ascii="Arial" w:cs="Arial" w:eastAsia="Arial" w:hAnsi="Arial"/>
          <w:sz w:val="11"/>
          <w:szCs w:val="11"/>
          <w:color w:val="050505"/>
        </w:rPr>
        <w:t>The principal purposes of this offering and the private placement are to increase our capitalization and financial flexibility, create a public market for our Class A common stock, and enable access to the public equity markets for us and our stockholders. We primarily intend to use the net proceeds that we receive from this offering and the private placement for working capital and other general corporate purposes, which may include research and development and sales and marketing activities, general and administrative matters, and capital expenditures. We may also use a portion of the proceeds for the acquisition of, or investment in, technologies, solutions, or businesses that complement our business. However, we do not have binding agreements or commitments for any acquisitions</w:t>
      </w:r>
    </w:p>
    <w:p>
      <w:pPr>
        <w:spacing w:after="0" w:line="200" w:lineRule="exact"/>
        <w:rPr>
          <w:sz w:val="20"/>
          <w:szCs w:val="20"/>
          <w:color w:val="auto"/>
        </w:rPr>
      </w:pPr>
    </w:p>
    <w:p>
      <w:pPr>
        <w:sectPr>
          <w:pgSz w:w="11900" w:h="16838" w:orient="portrait"/>
          <w:cols w:equalWidth="0" w:num="2">
            <w:col w:w="5600" w:space="620"/>
            <w:col w:w="4019"/>
          </w:cols>
          <w:pgMar w:left="220" w:top="354" w:right="1440" w:bottom="1440" w:gutter="0" w:footer="0" w:header="0"/>
          <w:type w:val="continuous"/>
        </w:sectPr>
      </w:pPr>
    </w:p>
    <w:p>
      <w:pPr>
        <w:spacing w:after="0" w:line="162" w:lineRule="exact"/>
        <w:rPr>
          <w:sz w:val="20"/>
          <w:szCs w:val="20"/>
          <w:color w:val="auto"/>
        </w:rPr>
      </w:pPr>
    </w:p>
    <w:p>
      <w:pPr>
        <w:ind w:left="5700"/>
        <w:spacing w:after="0"/>
        <w:rPr>
          <w:sz w:val="20"/>
          <w:szCs w:val="20"/>
          <w:color w:val="auto"/>
        </w:rPr>
      </w:pPr>
      <w:r>
        <w:rPr>
          <w:rFonts w:ascii="Arial" w:cs="Arial" w:eastAsia="Arial" w:hAnsi="Arial"/>
          <w:sz w:val="10"/>
          <w:szCs w:val="10"/>
          <w:color w:val="050505"/>
        </w:rPr>
        <w:t>9</w:t>
      </w:r>
    </w:p>
    <w:p>
      <w:pPr>
        <w:sectPr>
          <w:pgSz w:w="11900" w:h="16838" w:orient="portrait"/>
          <w:cols w:equalWidth="0" w:num="1">
            <w:col w:w="10239"/>
          </w:cols>
          <w:pgMar w:left="220" w:top="354" w:right="1440" w:bottom="1440" w:gutter="0" w:footer="0" w:header="0"/>
          <w:type w:val="continuous"/>
        </w:sectPr>
      </w:pPr>
    </w:p>
    <w:bookmarkStart w:id="14" w:name="page15"/>
    <w:bookmarkEnd w:id="14"/>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hyperlink w:anchor="page5">
        <w:r>
          <w:rPr>
            <w:rFonts w:ascii="Arial" w:cs="Arial" w:eastAsia="Arial" w:hAnsi="Arial"/>
            <w:sz w:val="12"/>
            <w:szCs w:val="12"/>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1306830</wp:posOffset>
            </wp:positionH>
            <wp:positionV relativeFrom="paragraph">
              <wp:posOffset>132715</wp:posOffset>
            </wp:positionV>
            <wp:extent cx="4674235" cy="455422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4674235" cy="4554220"/>
                    </a:xfrm>
                    <a:prstGeom prst="rect">
                      <a:avLst/>
                    </a:prstGeom>
                    <a:noFill/>
                  </pic:spPr>
                </pic:pic>
              </a:graphicData>
            </a:graphic>
          </wp:anchor>
        </w:drawing>
      </w:r>
    </w:p>
    <w:p>
      <w:pPr>
        <w:spacing w:after="0" w:line="322" w:lineRule="exact"/>
        <w:rPr>
          <w:sz w:val="20"/>
          <w:szCs w:val="20"/>
          <w:color w:val="auto"/>
        </w:rPr>
      </w:pPr>
    </w:p>
    <w:p>
      <w:pPr>
        <w:ind w:left="6220"/>
        <w:spacing w:after="0"/>
        <w:rPr>
          <w:sz w:val="20"/>
          <w:szCs w:val="20"/>
          <w:color w:val="auto"/>
        </w:rPr>
      </w:pPr>
      <w:r>
        <w:rPr>
          <w:rFonts w:ascii="Arial" w:cs="Arial" w:eastAsia="Arial" w:hAnsi="Arial"/>
          <w:sz w:val="10"/>
          <w:szCs w:val="10"/>
          <w:color w:val="050505"/>
        </w:rPr>
        <w:t>or investments outside the ordinary course of business at this</w:t>
      </w:r>
    </w:p>
    <w:p>
      <w:pPr>
        <w:spacing w:after="0" w:line="11" w:lineRule="exact"/>
        <w:rPr>
          <w:sz w:val="20"/>
          <w:szCs w:val="20"/>
          <w:color w:val="auto"/>
        </w:rPr>
      </w:pPr>
    </w:p>
    <w:p>
      <w:pPr>
        <w:ind w:left="6220"/>
        <w:spacing w:after="0"/>
        <w:rPr>
          <w:sz w:val="20"/>
          <w:szCs w:val="20"/>
          <w:color w:val="auto"/>
        </w:rPr>
      </w:pPr>
      <w:r>
        <w:rPr>
          <w:rFonts w:ascii="Arial" w:cs="Arial" w:eastAsia="Arial" w:hAnsi="Arial"/>
          <w:sz w:val="11"/>
          <w:szCs w:val="11"/>
          <w:color w:val="050505"/>
        </w:rPr>
        <w:t>time. See the section titled “Use of Proceeds” for additional</w:t>
      </w:r>
    </w:p>
    <w:p>
      <w:pPr>
        <w:ind w:left="6220"/>
        <w:spacing w:after="0"/>
        <w:rPr>
          <w:sz w:val="20"/>
          <w:szCs w:val="20"/>
          <w:color w:val="auto"/>
        </w:rPr>
      </w:pPr>
      <w:r>
        <w:rPr>
          <w:rFonts w:ascii="Arial" w:cs="Arial" w:eastAsia="Arial" w:hAnsi="Arial"/>
          <w:sz w:val="11"/>
          <w:szCs w:val="11"/>
          <w:color w:val="050505"/>
        </w:rPr>
        <w:t>information.</w:t>
      </w:r>
    </w:p>
    <w:p>
      <w:pPr>
        <w:sectPr>
          <w:pgSz w:w="11900" w:h="16838" w:orient="portrait"/>
          <w:cols w:equalWidth="0" w:num="1">
            <w:col w:w="10239"/>
          </w:cols>
          <w:pgMar w:left="220" w:top="354" w:right="1440" w:bottom="1440" w:gutter="0" w:footer="0" w:header="0"/>
        </w:sectPr>
      </w:pPr>
    </w:p>
    <w:p>
      <w:pPr>
        <w:spacing w:after="0" w:line="54" w:lineRule="exact"/>
        <w:rPr>
          <w:sz w:val="20"/>
          <w:szCs w:val="20"/>
          <w:color w:val="auto"/>
        </w:rPr>
      </w:pPr>
    </w:p>
    <w:p>
      <w:pPr>
        <w:ind w:left="2320"/>
        <w:spacing w:after="0"/>
        <w:rPr>
          <w:sz w:val="20"/>
          <w:szCs w:val="20"/>
          <w:color w:val="auto"/>
        </w:rPr>
      </w:pPr>
      <w:r>
        <w:rPr>
          <w:rFonts w:ascii="Arial" w:cs="Arial" w:eastAsia="Arial" w:hAnsi="Arial"/>
          <w:sz w:val="10"/>
          <w:szCs w:val="10"/>
          <w:color w:val="050505"/>
        </w:rPr>
        <w:t>Voting Rights</w:t>
      </w:r>
    </w:p>
    <w:p>
      <w:pPr>
        <w:spacing w:after="0" w:line="20" w:lineRule="exact"/>
        <w:rPr>
          <w:sz w:val="20"/>
          <w:szCs w:val="20"/>
          <w:color w:val="auto"/>
        </w:rPr>
      </w:pPr>
      <w:r>
        <w:rPr>
          <w:sz w:val="20"/>
          <w:szCs w:val="20"/>
          <w:color w:val="auto"/>
        </w:rPr>
        <w:br w:type="column"/>
      </w:r>
    </w:p>
    <w:p>
      <w:pPr>
        <w:spacing w:after="0" w:line="34" w:lineRule="exact"/>
        <w:rPr>
          <w:sz w:val="20"/>
          <w:szCs w:val="20"/>
          <w:color w:val="auto"/>
        </w:rPr>
      </w:pPr>
    </w:p>
    <w:p>
      <w:pPr>
        <w:spacing w:after="0"/>
        <w:rPr>
          <w:sz w:val="20"/>
          <w:szCs w:val="20"/>
          <w:color w:val="auto"/>
        </w:rPr>
      </w:pPr>
      <w:r>
        <w:rPr>
          <w:rFonts w:ascii="Arial" w:cs="Arial" w:eastAsia="Arial" w:hAnsi="Arial"/>
          <w:sz w:val="10"/>
          <w:szCs w:val="10"/>
          <w:color w:val="050505"/>
        </w:rPr>
        <w:t>Shares of Class A common stock are entitled to one vote per</w:t>
      </w:r>
    </w:p>
    <w:p>
      <w:pPr>
        <w:spacing w:after="0" w:line="11" w:lineRule="exact"/>
        <w:rPr>
          <w:sz w:val="20"/>
          <w:szCs w:val="20"/>
          <w:color w:val="auto"/>
        </w:rPr>
      </w:pPr>
    </w:p>
    <w:p>
      <w:pPr>
        <w:spacing w:after="0"/>
        <w:rPr>
          <w:sz w:val="20"/>
          <w:szCs w:val="20"/>
          <w:color w:val="auto"/>
        </w:rPr>
      </w:pPr>
      <w:r>
        <w:rPr>
          <w:rFonts w:ascii="Arial" w:cs="Arial" w:eastAsia="Arial" w:hAnsi="Arial"/>
          <w:sz w:val="11"/>
          <w:szCs w:val="11"/>
          <w:color w:val="050505"/>
        </w:rPr>
        <w:t>share. Shares of Class B common stock are entitled to 20</w:t>
      </w:r>
    </w:p>
    <w:p>
      <w:pPr>
        <w:spacing w:after="0"/>
        <w:rPr>
          <w:sz w:val="20"/>
          <w:szCs w:val="20"/>
          <w:color w:val="auto"/>
        </w:rPr>
      </w:pPr>
      <w:r>
        <w:rPr>
          <w:rFonts w:ascii="Arial" w:cs="Arial" w:eastAsia="Arial" w:hAnsi="Arial"/>
          <w:sz w:val="11"/>
          <w:szCs w:val="11"/>
          <w:color w:val="050505"/>
        </w:rPr>
        <w:t>votes per share.</w:t>
      </w:r>
    </w:p>
    <w:p>
      <w:pPr>
        <w:spacing w:after="0" w:line="44" w:lineRule="exact"/>
        <w:rPr>
          <w:sz w:val="20"/>
          <w:szCs w:val="20"/>
          <w:color w:val="auto"/>
        </w:rPr>
      </w:pPr>
    </w:p>
    <w:p>
      <w:pPr>
        <w:sectPr>
          <w:pgSz w:w="11900" w:h="16838" w:orient="portrait"/>
          <w:cols w:equalWidth="0" w:num="2">
            <w:col w:w="5500" w:space="720"/>
            <w:col w:w="4019"/>
          </w:cols>
          <w:pgMar w:left="220" w:top="354" w:right="1440" w:bottom="1440" w:gutter="0" w:footer="0" w:header="0"/>
          <w:type w:val="continuous"/>
        </w:sectPr>
      </w:pPr>
    </w:p>
    <w:p>
      <w:pPr>
        <w:ind w:left="6220"/>
        <w:spacing w:after="0"/>
        <w:rPr>
          <w:sz w:val="20"/>
          <w:szCs w:val="20"/>
          <w:color w:val="auto"/>
        </w:rPr>
      </w:pPr>
      <w:r>
        <w:rPr>
          <w:rFonts w:ascii="Arial" w:cs="Arial" w:eastAsia="Arial" w:hAnsi="Arial"/>
          <w:sz w:val="11"/>
          <w:szCs w:val="11"/>
          <w:color w:val="050505"/>
        </w:rPr>
        <w:t>Holders of our Class A common stock and Class B common</w:t>
      </w:r>
    </w:p>
    <w:p>
      <w:pPr>
        <w:ind w:left="6220"/>
        <w:spacing w:after="0"/>
        <w:rPr>
          <w:sz w:val="20"/>
          <w:szCs w:val="20"/>
          <w:color w:val="auto"/>
        </w:rPr>
      </w:pPr>
      <w:r>
        <w:rPr>
          <w:rFonts w:ascii="Arial" w:cs="Arial" w:eastAsia="Arial" w:hAnsi="Arial"/>
          <w:sz w:val="11"/>
          <w:szCs w:val="11"/>
          <w:color w:val="050505"/>
        </w:rPr>
        <w:t>stock will generally vote together as a single class, unless</w:t>
      </w:r>
    </w:p>
    <w:p>
      <w:pPr>
        <w:ind w:left="6220"/>
        <w:spacing w:after="0"/>
        <w:rPr>
          <w:sz w:val="20"/>
          <w:szCs w:val="20"/>
          <w:color w:val="auto"/>
        </w:rPr>
      </w:pPr>
      <w:r>
        <w:rPr>
          <w:rFonts w:ascii="Arial" w:cs="Arial" w:eastAsia="Arial" w:hAnsi="Arial"/>
          <w:sz w:val="11"/>
          <w:szCs w:val="11"/>
          <w:color w:val="050505"/>
        </w:rPr>
        <w:t>otherwise required by law or our restated certificate of</w:t>
      </w:r>
    </w:p>
    <w:p>
      <w:pPr>
        <w:ind w:left="6220"/>
        <w:spacing w:after="0"/>
        <w:rPr>
          <w:sz w:val="20"/>
          <w:szCs w:val="20"/>
          <w:color w:val="auto"/>
        </w:rPr>
      </w:pPr>
      <w:r>
        <w:rPr>
          <w:rFonts w:ascii="Arial" w:cs="Arial" w:eastAsia="Arial" w:hAnsi="Arial"/>
          <w:sz w:val="11"/>
          <w:szCs w:val="11"/>
          <w:color w:val="050505"/>
        </w:rPr>
        <w:t>incorporation. Following the completion of this offering, each</w:t>
      </w:r>
    </w:p>
    <w:p>
      <w:pPr>
        <w:ind w:left="6220"/>
        <w:spacing w:after="0"/>
        <w:rPr>
          <w:sz w:val="20"/>
          <w:szCs w:val="20"/>
          <w:color w:val="auto"/>
        </w:rPr>
      </w:pPr>
      <w:r>
        <w:rPr>
          <w:rFonts w:ascii="Arial" w:cs="Arial" w:eastAsia="Arial" w:hAnsi="Arial"/>
          <w:sz w:val="11"/>
          <w:szCs w:val="11"/>
          <w:color w:val="050505"/>
        </w:rPr>
        <w:t>share of our Class B common stock will be convertible into</w:t>
      </w:r>
    </w:p>
    <w:p>
      <w:pPr>
        <w:ind w:left="6220"/>
        <w:spacing w:after="0"/>
        <w:rPr>
          <w:sz w:val="20"/>
          <w:szCs w:val="20"/>
          <w:color w:val="auto"/>
        </w:rPr>
      </w:pPr>
      <w:r>
        <w:rPr>
          <w:rFonts w:ascii="Arial" w:cs="Arial" w:eastAsia="Arial" w:hAnsi="Arial"/>
          <w:sz w:val="11"/>
          <w:szCs w:val="11"/>
          <w:color w:val="050505"/>
        </w:rPr>
        <w:t>one share of our Class A common stock at any time and will</w:t>
      </w:r>
    </w:p>
    <w:p>
      <w:pPr>
        <w:ind w:left="6220"/>
        <w:spacing w:after="0"/>
        <w:rPr>
          <w:sz w:val="20"/>
          <w:szCs w:val="20"/>
          <w:color w:val="auto"/>
        </w:rPr>
      </w:pPr>
      <w:r>
        <w:rPr>
          <w:rFonts w:ascii="Arial" w:cs="Arial" w:eastAsia="Arial" w:hAnsi="Arial"/>
          <w:sz w:val="11"/>
          <w:szCs w:val="11"/>
          <w:color w:val="050505"/>
        </w:rPr>
        <w:t>convert automatically upon certain transfers and upon the</w:t>
      </w:r>
    </w:p>
    <w:p>
      <w:pPr>
        <w:ind w:left="6220"/>
        <w:spacing w:after="0"/>
        <w:rPr>
          <w:sz w:val="20"/>
          <w:szCs w:val="20"/>
          <w:color w:val="auto"/>
        </w:rPr>
      </w:pPr>
      <w:r>
        <w:rPr>
          <w:rFonts w:ascii="Arial" w:cs="Arial" w:eastAsia="Arial" w:hAnsi="Arial"/>
          <w:sz w:val="11"/>
          <w:szCs w:val="11"/>
          <w:color w:val="050505"/>
        </w:rPr>
        <w:t>earlier of (i) the date specified by a vote of the holders of 66</w:t>
      </w:r>
    </w:p>
    <w:p>
      <w:pPr>
        <w:ind w:left="6220"/>
        <w:spacing w:after="0"/>
        <w:rPr>
          <w:sz w:val="20"/>
          <w:szCs w:val="20"/>
          <w:color w:val="auto"/>
        </w:rPr>
      </w:pPr>
      <w:r>
        <w:rPr>
          <w:rFonts w:ascii="Arial" w:cs="Arial" w:eastAsia="Arial" w:hAnsi="Arial"/>
          <w:sz w:val="11"/>
          <w:szCs w:val="11"/>
          <w:color w:val="050505"/>
        </w:rPr>
        <w:t>2/3% of the then outstanding shares of Class B common</w:t>
      </w:r>
    </w:p>
    <w:p>
      <w:pPr>
        <w:ind w:left="6220"/>
        <w:spacing w:after="0"/>
        <w:rPr>
          <w:sz w:val="20"/>
          <w:szCs w:val="20"/>
          <w:color w:val="auto"/>
        </w:rPr>
      </w:pPr>
      <w:r>
        <w:rPr>
          <w:rFonts w:ascii="Arial" w:cs="Arial" w:eastAsia="Arial" w:hAnsi="Arial"/>
          <w:sz w:val="11"/>
          <w:szCs w:val="11"/>
          <w:color w:val="050505"/>
        </w:rPr>
        <w:t>stock, (ii) ten years from the closing of this offering, and (iii)</w:t>
      </w:r>
    </w:p>
    <w:p>
      <w:pPr>
        <w:ind w:left="6220"/>
        <w:spacing w:after="0"/>
        <w:rPr>
          <w:sz w:val="20"/>
          <w:szCs w:val="20"/>
          <w:color w:val="auto"/>
        </w:rPr>
      </w:pPr>
      <w:r>
        <w:rPr>
          <w:rFonts w:ascii="Arial" w:cs="Arial" w:eastAsia="Arial" w:hAnsi="Arial"/>
          <w:sz w:val="11"/>
          <w:szCs w:val="11"/>
          <w:color w:val="050505"/>
        </w:rPr>
        <w:t>the date the shares of Class B common stock cease to</w:t>
      </w:r>
    </w:p>
    <w:p>
      <w:pPr>
        <w:ind w:left="6220"/>
        <w:spacing w:after="0"/>
        <w:rPr>
          <w:sz w:val="20"/>
          <w:szCs w:val="20"/>
          <w:color w:val="auto"/>
        </w:rPr>
      </w:pPr>
      <w:r>
        <w:rPr>
          <w:rFonts w:ascii="Arial" w:cs="Arial" w:eastAsia="Arial" w:hAnsi="Arial"/>
          <w:sz w:val="11"/>
          <w:szCs w:val="11"/>
          <w:color w:val="050505"/>
        </w:rPr>
        <w:t>represent at least 1% of all outstanding shares of our</w:t>
      </w:r>
    </w:p>
    <w:p>
      <w:pPr>
        <w:ind w:left="6220"/>
        <w:spacing w:after="0"/>
        <w:rPr>
          <w:sz w:val="20"/>
          <w:szCs w:val="20"/>
          <w:color w:val="auto"/>
        </w:rPr>
      </w:pPr>
      <w:r>
        <w:rPr>
          <w:rFonts w:ascii="Arial" w:cs="Arial" w:eastAsia="Arial" w:hAnsi="Arial"/>
          <w:sz w:val="11"/>
          <w:szCs w:val="11"/>
          <w:color w:val="050505"/>
        </w:rPr>
        <w:t>common stock. The holders of our outstanding Class B</w:t>
      </w:r>
    </w:p>
    <w:p>
      <w:pPr>
        <w:ind w:left="6220"/>
        <w:spacing w:after="0"/>
        <w:rPr>
          <w:sz w:val="20"/>
          <w:szCs w:val="20"/>
          <w:color w:val="auto"/>
        </w:rPr>
      </w:pPr>
      <w:r>
        <w:rPr>
          <w:rFonts w:ascii="Arial" w:cs="Arial" w:eastAsia="Arial" w:hAnsi="Arial"/>
          <w:sz w:val="11"/>
          <w:szCs w:val="11"/>
          <w:color w:val="050505"/>
        </w:rPr>
        <w:t>common stock will hold 99.1% of the voting power of our</w:t>
      </w:r>
    </w:p>
    <w:p>
      <w:pPr>
        <w:ind w:left="6220"/>
        <w:spacing w:after="0"/>
        <w:rPr>
          <w:sz w:val="20"/>
          <w:szCs w:val="20"/>
          <w:color w:val="auto"/>
        </w:rPr>
      </w:pPr>
      <w:r>
        <w:rPr>
          <w:rFonts w:ascii="Arial" w:cs="Arial" w:eastAsia="Arial" w:hAnsi="Arial"/>
          <w:sz w:val="11"/>
          <w:szCs w:val="11"/>
          <w:color w:val="050505"/>
        </w:rPr>
        <w:t>outstanding capital stock following this offering and the</w:t>
      </w:r>
    </w:p>
    <w:p>
      <w:pPr>
        <w:ind w:left="6220"/>
        <w:spacing w:after="0"/>
        <w:rPr>
          <w:sz w:val="20"/>
          <w:szCs w:val="20"/>
          <w:color w:val="auto"/>
        </w:rPr>
      </w:pPr>
      <w:r>
        <w:rPr>
          <w:rFonts w:ascii="Arial" w:cs="Arial" w:eastAsia="Arial" w:hAnsi="Arial"/>
          <w:sz w:val="11"/>
          <w:szCs w:val="11"/>
          <w:color w:val="050505"/>
        </w:rPr>
        <w:t>private placement, with our directors, executive officers, and</w:t>
      </w:r>
    </w:p>
    <w:p>
      <w:pPr>
        <w:ind w:left="6220"/>
        <w:spacing w:after="0"/>
        <w:rPr>
          <w:sz w:val="20"/>
          <w:szCs w:val="20"/>
          <w:color w:val="auto"/>
        </w:rPr>
      </w:pPr>
      <w:r>
        <w:rPr>
          <w:rFonts w:ascii="Arial" w:cs="Arial" w:eastAsia="Arial" w:hAnsi="Arial"/>
          <w:sz w:val="11"/>
          <w:szCs w:val="11"/>
          <w:color w:val="050505"/>
        </w:rPr>
        <w:t>5% stockholders and their respective affiliates holding 59.9%</w:t>
      </w:r>
    </w:p>
    <w:p>
      <w:pPr>
        <w:ind w:left="6220"/>
        <w:spacing w:after="0"/>
        <w:rPr>
          <w:sz w:val="20"/>
          <w:szCs w:val="20"/>
          <w:color w:val="auto"/>
        </w:rPr>
      </w:pPr>
      <w:r>
        <w:rPr>
          <w:rFonts w:ascii="Arial" w:cs="Arial" w:eastAsia="Arial" w:hAnsi="Arial"/>
          <w:sz w:val="11"/>
          <w:szCs w:val="11"/>
          <w:color w:val="050505"/>
        </w:rPr>
        <w:t>of the voting power in the aggregate. These stockholders will</w:t>
      </w:r>
    </w:p>
    <w:p>
      <w:pPr>
        <w:ind w:left="6220"/>
        <w:spacing w:after="0"/>
        <w:rPr>
          <w:sz w:val="20"/>
          <w:szCs w:val="20"/>
          <w:color w:val="auto"/>
        </w:rPr>
      </w:pPr>
      <w:r>
        <w:rPr>
          <w:rFonts w:ascii="Arial" w:cs="Arial" w:eastAsia="Arial" w:hAnsi="Arial"/>
          <w:sz w:val="10"/>
          <w:szCs w:val="10"/>
          <w:color w:val="050505"/>
        </w:rPr>
        <w:t>have the ability to control the outcome of matters submitted to</w:t>
      </w:r>
    </w:p>
    <w:p>
      <w:pPr>
        <w:spacing w:after="0" w:line="11" w:lineRule="exact"/>
        <w:rPr>
          <w:sz w:val="20"/>
          <w:szCs w:val="20"/>
          <w:color w:val="auto"/>
        </w:rPr>
      </w:pPr>
    </w:p>
    <w:p>
      <w:pPr>
        <w:ind w:left="6220"/>
        <w:spacing w:after="0"/>
        <w:rPr>
          <w:sz w:val="20"/>
          <w:szCs w:val="20"/>
          <w:color w:val="auto"/>
        </w:rPr>
      </w:pPr>
      <w:r>
        <w:rPr>
          <w:rFonts w:ascii="Arial" w:cs="Arial" w:eastAsia="Arial" w:hAnsi="Arial"/>
          <w:sz w:val="11"/>
          <w:szCs w:val="11"/>
          <w:color w:val="050505"/>
        </w:rPr>
        <w:t>our stockholders for approval, including the election of our</w:t>
      </w:r>
    </w:p>
    <w:p>
      <w:pPr>
        <w:ind w:left="6220"/>
        <w:spacing w:after="0"/>
        <w:rPr>
          <w:sz w:val="20"/>
          <w:szCs w:val="20"/>
          <w:color w:val="auto"/>
        </w:rPr>
      </w:pPr>
      <w:r>
        <w:rPr>
          <w:rFonts w:ascii="Arial" w:cs="Arial" w:eastAsia="Arial" w:hAnsi="Arial"/>
          <w:sz w:val="11"/>
          <w:szCs w:val="11"/>
          <w:color w:val="050505"/>
        </w:rPr>
        <w:t>directors  and  the  approval  of  any  change  of  control</w:t>
      </w:r>
    </w:p>
    <w:p>
      <w:pPr>
        <w:ind w:left="6220"/>
        <w:spacing w:after="0"/>
        <w:rPr>
          <w:sz w:val="20"/>
          <w:szCs w:val="20"/>
          <w:color w:val="auto"/>
        </w:rPr>
      </w:pPr>
      <w:r>
        <w:rPr>
          <w:rFonts w:ascii="Arial" w:cs="Arial" w:eastAsia="Arial" w:hAnsi="Arial"/>
          <w:sz w:val="11"/>
          <w:szCs w:val="11"/>
          <w:color w:val="050505"/>
        </w:rPr>
        <w:t>transaction. See the sections titled “Principal Stockholders”</w:t>
      </w:r>
    </w:p>
    <w:p>
      <w:pPr>
        <w:ind w:left="6220"/>
        <w:spacing w:after="0"/>
        <w:rPr>
          <w:sz w:val="20"/>
          <w:szCs w:val="20"/>
          <w:color w:val="auto"/>
        </w:rPr>
      </w:pPr>
      <w:r>
        <w:rPr>
          <w:rFonts w:ascii="Arial" w:cs="Arial" w:eastAsia="Arial" w:hAnsi="Arial"/>
          <w:sz w:val="11"/>
          <w:szCs w:val="11"/>
          <w:color w:val="050505"/>
        </w:rPr>
        <w:t>and “Description of Capital Stock” for additional information.</w:t>
      </w:r>
    </w:p>
    <w:p>
      <w:pPr>
        <w:sectPr>
          <w:pgSz w:w="11900" w:h="16838" w:orient="portrait"/>
          <w:cols w:equalWidth="0" w:num="1">
            <w:col w:w="10239"/>
          </w:cols>
          <w:pgMar w:left="220" w:top="354" w:right="1440" w:bottom="1440" w:gutter="0" w:footer="0" w:header="0"/>
          <w:type w:val="continuous"/>
        </w:sectPr>
      </w:pPr>
    </w:p>
    <w:p>
      <w:pPr>
        <w:spacing w:after="0" w:line="45" w:lineRule="exact"/>
        <w:rPr>
          <w:sz w:val="20"/>
          <w:szCs w:val="20"/>
          <w:color w:val="auto"/>
        </w:rPr>
      </w:pPr>
    </w:p>
    <w:p>
      <w:pPr>
        <w:ind w:left="2320"/>
        <w:spacing w:after="0"/>
        <w:rPr>
          <w:sz w:val="20"/>
          <w:szCs w:val="20"/>
          <w:color w:val="auto"/>
        </w:rPr>
      </w:pPr>
      <w:r>
        <w:rPr>
          <w:rFonts w:ascii="Arial" w:cs="Arial" w:eastAsia="Arial" w:hAnsi="Arial"/>
          <w:sz w:val="10"/>
          <w:szCs w:val="10"/>
          <w:color w:val="050505"/>
        </w:rPr>
        <w:t>Risk Factors</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spacing w:after="0"/>
        <w:rPr>
          <w:sz w:val="20"/>
          <w:szCs w:val="20"/>
          <w:color w:val="auto"/>
        </w:rPr>
      </w:pPr>
      <w:r>
        <w:rPr>
          <w:rFonts w:ascii="Arial" w:cs="Arial" w:eastAsia="Arial" w:hAnsi="Arial"/>
          <w:sz w:val="11"/>
          <w:szCs w:val="11"/>
          <w:color w:val="050505"/>
        </w:rPr>
        <w:t>See the section titled “Risk Factors” and other information</w:t>
      </w:r>
    </w:p>
    <w:p>
      <w:pPr>
        <w:spacing w:after="0"/>
        <w:rPr>
          <w:sz w:val="20"/>
          <w:szCs w:val="20"/>
          <w:color w:val="auto"/>
        </w:rPr>
      </w:pPr>
      <w:r>
        <w:rPr>
          <w:rFonts w:ascii="Arial" w:cs="Arial" w:eastAsia="Arial" w:hAnsi="Arial"/>
          <w:sz w:val="11"/>
          <w:szCs w:val="11"/>
          <w:color w:val="050505"/>
        </w:rPr>
        <w:t>included in this prospectus for a discussion of some of the</w:t>
      </w:r>
    </w:p>
    <w:p>
      <w:pPr>
        <w:spacing w:after="0"/>
        <w:rPr>
          <w:sz w:val="20"/>
          <w:szCs w:val="20"/>
          <w:color w:val="auto"/>
        </w:rPr>
      </w:pPr>
      <w:r>
        <w:rPr>
          <w:rFonts w:ascii="Arial" w:cs="Arial" w:eastAsia="Arial" w:hAnsi="Arial"/>
          <w:sz w:val="11"/>
          <w:szCs w:val="11"/>
          <w:color w:val="050505"/>
        </w:rPr>
        <w:t>factors you should consider before deciding to purchase</w:t>
      </w:r>
    </w:p>
    <w:p>
      <w:pPr>
        <w:spacing w:after="0"/>
        <w:rPr>
          <w:sz w:val="20"/>
          <w:szCs w:val="20"/>
          <w:color w:val="auto"/>
        </w:rPr>
      </w:pPr>
      <w:r>
        <w:rPr>
          <w:rFonts w:ascii="Arial" w:cs="Arial" w:eastAsia="Arial" w:hAnsi="Arial"/>
          <w:sz w:val="11"/>
          <w:szCs w:val="11"/>
          <w:color w:val="050505"/>
        </w:rPr>
        <w:t>shares of our Class A common stock.</w:t>
      </w:r>
    </w:p>
    <w:p>
      <w:pPr>
        <w:spacing w:after="0" w:line="45" w:lineRule="exact"/>
        <w:rPr>
          <w:sz w:val="20"/>
          <w:szCs w:val="20"/>
          <w:color w:val="auto"/>
        </w:rPr>
      </w:pPr>
    </w:p>
    <w:p>
      <w:pPr>
        <w:sectPr>
          <w:pgSz w:w="11900" w:h="16838" w:orient="portrait"/>
          <w:cols w:equalWidth="0" w:num="2">
            <w:col w:w="5500" w:space="720"/>
            <w:col w:w="4019"/>
          </w:cols>
          <w:pgMar w:left="220" w:top="354" w:right="1440" w:bottom="1440" w:gutter="0" w:footer="0" w:header="0"/>
          <w:type w:val="continuous"/>
        </w:sectPr>
      </w:pPr>
    </w:p>
    <w:p>
      <w:pPr>
        <w:jc w:val="center"/>
        <w:ind w:left="920"/>
        <w:spacing w:after="0"/>
        <w:rPr>
          <w:sz w:val="20"/>
          <w:szCs w:val="20"/>
          <w:color w:val="auto"/>
        </w:rPr>
      </w:pPr>
      <w:r>
        <w:rPr>
          <w:rFonts w:ascii="Arial" w:cs="Arial" w:eastAsia="Arial" w:hAnsi="Arial"/>
          <w:sz w:val="10"/>
          <w:szCs w:val="10"/>
          <w:color w:val="050505"/>
        </w:rPr>
        <w:t>Nasdaq Global Select Market symbol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0"/>
          <w:szCs w:val="10"/>
          <w:color w:val="050505"/>
        </w:rPr>
        <w:t>“PTON”</w:t>
      </w:r>
    </w:p>
    <w:p>
      <w:pPr>
        <w:spacing w:after="0" w:line="164" w:lineRule="exact"/>
        <w:rPr>
          <w:sz w:val="20"/>
          <w:szCs w:val="20"/>
          <w:color w:val="auto"/>
        </w:rPr>
      </w:pPr>
    </w:p>
    <w:p>
      <w:pPr>
        <w:sectPr>
          <w:pgSz w:w="11900" w:h="16838" w:orient="portrait"/>
          <w:cols w:equalWidth="0" w:num="2">
            <w:col w:w="5500" w:space="720"/>
            <w:col w:w="4019"/>
          </w:cols>
          <w:pgMar w:left="220" w:top="354" w:right="1440" w:bottom="1440" w:gutter="0" w:footer="0" w:header="0"/>
          <w:type w:val="continuous"/>
        </w:sectPr>
      </w:pPr>
    </w:p>
    <w:p>
      <w:pPr>
        <w:jc w:val="both"/>
        <w:ind w:left="2280" w:right="1059"/>
        <w:spacing w:after="0" w:line="242" w:lineRule="auto"/>
        <w:rPr>
          <w:sz w:val="20"/>
          <w:szCs w:val="20"/>
          <w:color w:val="auto"/>
        </w:rPr>
      </w:pPr>
      <w:r>
        <w:rPr>
          <w:rFonts w:ascii="Arial" w:cs="Arial" w:eastAsia="Arial" w:hAnsi="Arial"/>
          <w:sz w:val="11"/>
          <w:szCs w:val="11"/>
          <w:color w:val="050505"/>
        </w:rPr>
        <w:t>The number of shares of our Class A common stock and Class B common stock to be outstanding after this offering and the private placement is based upon zero shares of our Class A common stock outstanding and 235,942,233 shares of our Class B common stock outstanding, in each case, as of June 30, 2019 and does not include:</w:t>
      </w:r>
    </w:p>
    <w:p>
      <w:pPr>
        <w:spacing w:after="0" w:line="158" w:lineRule="exact"/>
        <w:rPr>
          <w:sz w:val="20"/>
          <w:szCs w:val="20"/>
          <w:color w:val="auto"/>
        </w:rPr>
      </w:pPr>
    </w:p>
    <w:p>
      <w:pPr>
        <w:ind w:left="2620" w:right="1079" w:hanging="200"/>
        <w:spacing w:after="0" w:line="245" w:lineRule="auto"/>
        <w:tabs>
          <w:tab w:leader="none" w:pos="2620" w:val="left"/>
        </w:tabs>
        <w:numPr>
          <w:ilvl w:val="0"/>
          <w:numId w:val="7"/>
        </w:numPr>
        <w:rPr>
          <w:rFonts w:ascii="Arial" w:cs="Arial" w:eastAsia="Arial" w:hAnsi="Arial"/>
          <w:sz w:val="11"/>
          <w:szCs w:val="11"/>
          <w:color w:val="F7323F"/>
        </w:rPr>
      </w:pPr>
      <w:r>
        <w:rPr>
          <w:rFonts w:ascii="Arial" w:cs="Arial" w:eastAsia="Arial" w:hAnsi="Arial"/>
          <w:sz w:val="11"/>
          <w:szCs w:val="11"/>
          <w:color w:val="050505"/>
        </w:rPr>
        <w:t>64,602,124 shares of our Class B common stock issuable upon the exercise of options to purchase shares of our Class B common stock outstanding as of June 30, 2019, with a weighted-average exercise price of $6.71 per share;</w:t>
      </w:r>
    </w:p>
    <w:p>
      <w:pPr>
        <w:spacing w:after="0" w:line="38" w:lineRule="exact"/>
        <w:rPr>
          <w:rFonts w:ascii="Arial" w:cs="Arial" w:eastAsia="Arial" w:hAnsi="Arial"/>
          <w:sz w:val="11"/>
          <w:szCs w:val="11"/>
          <w:color w:val="F7323F"/>
        </w:rPr>
      </w:pPr>
    </w:p>
    <w:p>
      <w:pPr>
        <w:ind w:left="2620" w:right="1059" w:hanging="200"/>
        <w:spacing w:after="0" w:line="245" w:lineRule="auto"/>
        <w:tabs>
          <w:tab w:leader="none" w:pos="2620" w:val="left"/>
        </w:tabs>
        <w:numPr>
          <w:ilvl w:val="0"/>
          <w:numId w:val="7"/>
        </w:numPr>
        <w:rPr>
          <w:rFonts w:ascii="Arial" w:cs="Arial" w:eastAsia="Arial" w:hAnsi="Arial"/>
          <w:sz w:val="11"/>
          <w:szCs w:val="11"/>
          <w:color w:val="F7323F"/>
        </w:rPr>
      </w:pPr>
      <w:r>
        <w:rPr>
          <w:rFonts w:ascii="Arial" w:cs="Arial" w:eastAsia="Arial" w:hAnsi="Arial"/>
          <w:sz w:val="11"/>
          <w:szCs w:val="11"/>
          <w:color w:val="050505"/>
        </w:rPr>
        <w:t>883,550 shares of our Class B common stock issuable upon the exercise of options to purchase shares of our Class B common stock granted between June 30, 2019 and September 25, 2019 with a weighted-average exercise price of $23.40 per share;</w:t>
      </w:r>
    </w:p>
    <w:p>
      <w:pPr>
        <w:spacing w:after="0" w:line="38" w:lineRule="exact"/>
        <w:rPr>
          <w:rFonts w:ascii="Arial" w:cs="Arial" w:eastAsia="Arial" w:hAnsi="Arial"/>
          <w:sz w:val="11"/>
          <w:szCs w:val="11"/>
          <w:color w:val="F7323F"/>
        </w:rPr>
      </w:pPr>
    </w:p>
    <w:p>
      <w:pPr>
        <w:jc w:val="both"/>
        <w:ind w:left="2620" w:right="1079" w:hanging="200"/>
        <w:spacing w:after="0" w:line="242" w:lineRule="auto"/>
        <w:tabs>
          <w:tab w:leader="none" w:pos="2620" w:val="left"/>
        </w:tabs>
        <w:numPr>
          <w:ilvl w:val="0"/>
          <w:numId w:val="7"/>
        </w:numPr>
        <w:rPr>
          <w:rFonts w:ascii="Arial" w:cs="Arial" w:eastAsia="Arial" w:hAnsi="Arial"/>
          <w:sz w:val="11"/>
          <w:szCs w:val="11"/>
          <w:color w:val="F7323F"/>
        </w:rPr>
      </w:pPr>
      <w:r>
        <w:rPr>
          <w:rFonts w:ascii="Arial" w:cs="Arial" w:eastAsia="Arial" w:hAnsi="Arial"/>
          <w:sz w:val="11"/>
          <w:szCs w:val="11"/>
          <w:color w:val="050505"/>
        </w:rPr>
        <w:t>232,550 shares of our Class A common stock issuable upon the exercise of options to purchase shares of our Class A common stock under our 2019 Equity Incentive Plan, or the 2019 Plan, which will be granted effective as of the filing of our registration statement on Form S-8, with an exercise price equal to the initial public offering price;</w:t>
      </w:r>
    </w:p>
    <w:p>
      <w:pPr>
        <w:spacing w:after="0" w:line="40" w:lineRule="exact"/>
        <w:rPr>
          <w:rFonts w:ascii="Arial" w:cs="Arial" w:eastAsia="Arial" w:hAnsi="Arial"/>
          <w:sz w:val="11"/>
          <w:szCs w:val="11"/>
          <w:color w:val="F7323F"/>
        </w:rPr>
      </w:pPr>
    </w:p>
    <w:p>
      <w:pPr>
        <w:ind w:left="2620" w:right="1079" w:hanging="200"/>
        <w:spacing w:after="0" w:line="245" w:lineRule="auto"/>
        <w:tabs>
          <w:tab w:leader="none" w:pos="2620" w:val="left"/>
        </w:tabs>
        <w:numPr>
          <w:ilvl w:val="0"/>
          <w:numId w:val="7"/>
        </w:numPr>
        <w:rPr>
          <w:rFonts w:ascii="Arial" w:cs="Arial" w:eastAsia="Arial" w:hAnsi="Arial"/>
          <w:sz w:val="11"/>
          <w:szCs w:val="11"/>
          <w:color w:val="F7323F"/>
        </w:rPr>
      </w:pPr>
      <w:r>
        <w:rPr>
          <w:rFonts w:ascii="Arial" w:cs="Arial" w:eastAsia="Arial" w:hAnsi="Arial"/>
          <w:sz w:val="11"/>
          <w:szCs w:val="11"/>
          <w:color w:val="050505"/>
        </w:rPr>
        <w:t>240,000 shares of our Class B common stock issuable upon the exercise of a warrant to purchase Class B common stock outstanding as of June 30, 2019, with an exercise price of $0.19 per share; and</w:t>
      </w:r>
    </w:p>
    <w:p>
      <w:pPr>
        <w:spacing w:after="0" w:line="354" w:lineRule="exact"/>
        <w:rPr>
          <w:sz w:val="20"/>
          <w:szCs w:val="20"/>
          <w:color w:val="auto"/>
        </w:rPr>
      </w:pPr>
    </w:p>
    <w:p>
      <w:pPr>
        <w:ind w:left="5680"/>
        <w:spacing w:after="0"/>
        <w:rPr>
          <w:sz w:val="20"/>
          <w:szCs w:val="20"/>
          <w:color w:val="auto"/>
        </w:rPr>
      </w:pPr>
      <w:r>
        <w:rPr>
          <w:rFonts w:ascii="Arial" w:cs="Arial" w:eastAsia="Arial" w:hAnsi="Arial"/>
          <w:sz w:val="11"/>
          <w:szCs w:val="11"/>
          <w:color w:val="050505"/>
        </w:rPr>
        <w:t>10</w:t>
      </w:r>
    </w:p>
    <w:p>
      <w:pPr>
        <w:sectPr>
          <w:pgSz w:w="11900" w:h="16838" w:orient="portrait"/>
          <w:cols w:equalWidth="0" w:num="1">
            <w:col w:w="10239"/>
          </w:cols>
          <w:pgMar w:left="220" w:top="354" w:right="1440" w:bottom="1440" w:gutter="0" w:footer="0" w:header="0"/>
          <w:type w:val="continuous"/>
        </w:sectPr>
      </w:pPr>
    </w:p>
    <w:bookmarkStart w:id="15" w:name="page16"/>
    <w:bookmarkEnd w:id="15"/>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hyperlink w:anchor="page5">
        <w:r>
          <w:rPr>
            <w:rFonts w:ascii="Arial" w:cs="Arial" w:eastAsia="Arial" w:hAnsi="Arial"/>
            <w:sz w:val="12"/>
            <w:szCs w:val="12"/>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1306830</wp:posOffset>
            </wp:positionH>
            <wp:positionV relativeFrom="paragraph">
              <wp:posOffset>132715</wp:posOffset>
            </wp:positionV>
            <wp:extent cx="4674235" cy="28956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4674235" cy="2895600"/>
                    </a:xfrm>
                    <a:prstGeom prst="rect">
                      <a:avLst/>
                    </a:prstGeom>
                    <a:noFill/>
                  </pic:spPr>
                </pic:pic>
              </a:graphicData>
            </a:graphic>
          </wp:anchor>
        </w:drawing>
      </w:r>
    </w:p>
    <w:p>
      <w:pPr>
        <w:spacing w:after="0" w:line="322" w:lineRule="exact"/>
        <w:rPr>
          <w:sz w:val="20"/>
          <w:szCs w:val="20"/>
          <w:color w:val="auto"/>
        </w:rPr>
      </w:pPr>
    </w:p>
    <w:p>
      <w:pPr>
        <w:jc w:val="both"/>
        <w:ind w:left="2620" w:right="1059" w:hanging="200"/>
        <w:spacing w:after="0" w:line="239" w:lineRule="auto"/>
        <w:tabs>
          <w:tab w:leader="none" w:pos="2620" w:val="left"/>
        </w:tabs>
        <w:numPr>
          <w:ilvl w:val="0"/>
          <w:numId w:val="8"/>
        </w:numPr>
        <w:rPr>
          <w:rFonts w:ascii="Arial" w:cs="Arial" w:eastAsia="Arial" w:hAnsi="Arial"/>
          <w:sz w:val="11"/>
          <w:szCs w:val="11"/>
          <w:color w:val="F7323F"/>
        </w:rPr>
      </w:pPr>
      <w:r>
        <w:rPr>
          <w:rFonts w:ascii="Arial" w:cs="Arial" w:eastAsia="Arial" w:hAnsi="Arial"/>
          <w:sz w:val="11"/>
          <w:szCs w:val="11"/>
          <w:color w:val="050505"/>
        </w:rPr>
        <w:t>55,672,360 shares of our common stock reserved for future issuance under our equity compensation plans, consisting of (1) 9,085,593 shares of our Class B common stock reserved for future issuance under our 2015 Stock Plan, or the 2015 Plan, as of June 30, 2019 (which reserve does not reflect the options to purchase shares of our Class B common stock granted after June 30, 2019),</w:t>
      </w:r>
    </w:p>
    <w:p>
      <w:pPr>
        <w:jc w:val="both"/>
        <w:ind w:left="2620" w:right="1059"/>
        <w:spacing w:after="0"/>
        <w:rPr>
          <w:rFonts w:ascii="Arial" w:cs="Arial" w:eastAsia="Arial" w:hAnsi="Arial"/>
          <w:sz w:val="11"/>
          <w:szCs w:val="11"/>
          <w:color w:val="F7323F"/>
        </w:rPr>
      </w:pPr>
      <w:r>
        <w:rPr>
          <w:rFonts w:ascii="Arial" w:cs="Arial" w:eastAsia="Arial" w:hAnsi="Arial"/>
          <w:sz w:val="11"/>
          <w:szCs w:val="11"/>
          <w:color w:val="050505"/>
        </w:rPr>
        <w:t>(2) 40,986,767 shares of our Class A common stock reserved for future issuance under our 2019 Plan which became effective on the date immediately prior to the date of this prospectus (which reserve does not reflect the options to purchase shares of our Class A common stock which will be granted effective as of the filing of our registration statement on Form S-8), and (3) 5,600,000 shares of our Class A common stock reserved for issuance under our 2019 Equity Stock Purchase Plan, or the 2019 ESPP, which became effective on the date of this prospectus.</w:t>
      </w:r>
    </w:p>
    <w:p>
      <w:pPr>
        <w:spacing w:after="0" w:line="142" w:lineRule="exact"/>
        <w:rPr>
          <w:sz w:val="20"/>
          <w:szCs w:val="20"/>
          <w:color w:val="auto"/>
        </w:rPr>
      </w:pPr>
    </w:p>
    <w:p>
      <w:pPr>
        <w:jc w:val="both"/>
        <w:ind w:left="2280" w:right="1059"/>
        <w:spacing w:after="0" w:line="241" w:lineRule="auto"/>
        <w:rPr>
          <w:sz w:val="20"/>
          <w:szCs w:val="20"/>
          <w:color w:val="auto"/>
        </w:rPr>
      </w:pPr>
      <w:r>
        <w:rPr>
          <w:rFonts w:ascii="Arial" w:cs="Arial" w:eastAsia="Arial" w:hAnsi="Arial"/>
          <w:sz w:val="11"/>
          <w:szCs w:val="11"/>
          <w:color w:val="050505"/>
        </w:rPr>
        <w:t>On the date immediately prior to the date of this prospectus, the remaining shares available for issuance under our 2015 Plan were added to the shares of our Class A common stock reserved for issuance under our 2019 Plan, and we ceased granting awards under the 2015 Plan. Our 2019 Plan and 2019 ESPP also provide for automatic annual increases in the number of shares reserved thereunder. See the section titled “Executive Compensation—Employee Benefit Plans” for additional information.</w:t>
      </w:r>
    </w:p>
    <w:p>
      <w:pPr>
        <w:spacing w:after="0" w:line="140" w:lineRule="exact"/>
        <w:rPr>
          <w:sz w:val="20"/>
          <w:szCs w:val="20"/>
          <w:color w:val="auto"/>
        </w:rPr>
      </w:pPr>
    </w:p>
    <w:p>
      <w:pPr>
        <w:ind w:left="2280"/>
        <w:spacing w:after="0"/>
        <w:rPr>
          <w:sz w:val="20"/>
          <w:szCs w:val="20"/>
          <w:color w:val="auto"/>
        </w:rPr>
      </w:pPr>
      <w:r>
        <w:rPr>
          <w:rFonts w:ascii="Arial" w:cs="Arial" w:eastAsia="Arial" w:hAnsi="Arial"/>
          <w:sz w:val="11"/>
          <w:szCs w:val="11"/>
          <w:color w:val="050505"/>
        </w:rPr>
        <w:t>Except as otherwise indicated, all information in this prospectus assumes:</w:t>
      </w:r>
    </w:p>
    <w:p>
      <w:pPr>
        <w:spacing w:after="0" w:line="162" w:lineRule="exact"/>
        <w:rPr>
          <w:sz w:val="20"/>
          <w:szCs w:val="20"/>
          <w:color w:val="auto"/>
        </w:rPr>
      </w:pPr>
    </w:p>
    <w:p>
      <w:pPr>
        <w:ind w:left="2620" w:right="1059" w:hanging="200"/>
        <w:spacing w:after="0" w:line="245" w:lineRule="auto"/>
        <w:tabs>
          <w:tab w:leader="none" w:pos="2620" w:val="left"/>
        </w:tabs>
        <w:numPr>
          <w:ilvl w:val="0"/>
          <w:numId w:val="9"/>
        </w:numPr>
        <w:rPr>
          <w:rFonts w:ascii="Arial" w:cs="Arial" w:eastAsia="Arial" w:hAnsi="Arial"/>
          <w:sz w:val="11"/>
          <w:szCs w:val="11"/>
          <w:color w:val="F7323F"/>
        </w:rPr>
      </w:pPr>
      <w:r>
        <w:rPr>
          <w:rFonts w:ascii="Arial" w:cs="Arial" w:eastAsia="Arial" w:hAnsi="Arial"/>
          <w:sz w:val="11"/>
          <w:szCs w:val="11"/>
          <w:color w:val="050505"/>
        </w:rPr>
        <w:t>the amendment to our restated certificate of incorporation to redesignate our outstanding common stock as Class B common stock and create a new class of Class A common stock to be offered and sold in this offering;</w:t>
      </w:r>
    </w:p>
    <w:p>
      <w:pPr>
        <w:spacing w:after="0" w:line="38" w:lineRule="exact"/>
        <w:rPr>
          <w:rFonts w:ascii="Arial" w:cs="Arial" w:eastAsia="Arial" w:hAnsi="Arial"/>
          <w:sz w:val="11"/>
          <w:szCs w:val="11"/>
          <w:color w:val="F7323F"/>
        </w:rPr>
      </w:pPr>
    </w:p>
    <w:p>
      <w:pPr>
        <w:ind w:left="2620" w:right="1079" w:hanging="200"/>
        <w:spacing w:after="0" w:line="245" w:lineRule="auto"/>
        <w:tabs>
          <w:tab w:leader="none" w:pos="2620" w:val="left"/>
        </w:tabs>
        <w:numPr>
          <w:ilvl w:val="0"/>
          <w:numId w:val="9"/>
        </w:numPr>
        <w:rPr>
          <w:rFonts w:ascii="Arial" w:cs="Arial" w:eastAsia="Arial" w:hAnsi="Arial"/>
          <w:sz w:val="11"/>
          <w:szCs w:val="11"/>
          <w:color w:val="F7323F"/>
        </w:rPr>
      </w:pPr>
      <w:r>
        <w:rPr>
          <w:rFonts w:ascii="Arial" w:cs="Arial" w:eastAsia="Arial" w:hAnsi="Arial"/>
          <w:sz w:val="11"/>
          <w:szCs w:val="11"/>
          <w:color w:val="050505"/>
        </w:rPr>
        <w:t>the automatic conversion and reclassification of all outstanding shares of our redeemable convertible preferred stock as of June 30, 2019 into 210,640,629 shares of our Class B common stock which will occur upon the completion of this offering;</w:t>
      </w:r>
    </w:p>
    <w:p>
      <w:pPr>
        <w:spacing w:after="0" w:line="38" w:lineRule="exact"/>
        <w:rPr>
          <w:rFonts w:ascii="Arial" w:cs="Arial" w:eastAsia="Arial" w:hAnsi="Arial"/>
          <w:sz w:val="11"/>
          <w:szCs w:val="11"/>
          <w:color w:val="F7323F"/>
        </w:rPr>
      </w:pPr>
    </w:p>
    <w:p>
      <w:pPr>
        <w:ind w:left="2620" w:hanging="200"/>
        <w:spacing w:after="0"/>
        <w:tabs>
          <w:tab w:leader="none" w:pos="2620" w:val="left"/>
        </w:tabs>
        <w:numPr>
          <w:ilvl w:val="0"/>
          <w:numId w:val="9"/>
        </w:numPr>
        <w:rPr>
          <w:rFonts w:ascii="Arial" w:cs="Arial" w:eastAsia="Arial" w:hAnsi="Arial"/>
          <w:sz w:val="11"/>
          <w:szCs w:val="11"/>
          <w:color w:val="F7323F"/>
        </w:rPr>
      </w:pPr>
      <w:r>
        <w:rPr>
          <w:rFonts w:ascii="Arial" w:cs="Arial" w:eastAsia="Arial" w:hAnsi="Arial"/>
          <w:sz w:val="11"/>
          <w:szCs w:val="11"/>
          <w:color w:val="050505"/>
        </w:rPr>
        <w:t>no exercise of outstanding stock options or the outstanding warrant after June 30, 2019;</w:t>
      </w:r>
    </w:p>
    <w:p>
      <w:pPr>
        <w:spacing w:after="0" w:line="44" w:lineRule="exact"/>
        <w:rPr>
          <w:rFonts w:ascii="Arial" w:cs="Arial" w:eastAsia="Arial" w:hAnsi="Arial"/>
          <w:sz w:val="11"/>
          <w:szCs w:val="11"/>
          <w:color w:val="F7323F"/>
        </w:rPr>
      </w:pPr>
    </w:p>
    <w:p>
      <w:pPr>
        <w:ind w:left="2620" w:right="1059" w:hanging="200"/>
        <w:spacing w:after="0" w:line="245" w:lineRule="auto"/>
        <w:tabs>
          <w:tab w:leader="none" w:pos="2620" w:val="left"/>
        </w:tabs>
        <w:numPr>
          <w:ilvl w:val="0"/>
          <w:numId w:val="9"/>
        </w:numPr>
        <w:rPr>
          <w:rFonts w:ascii="Arial" w:cs="Arial" w:eastAsia="Arial" w:hAnsi="Arial"/>
          <w:sz w:val="11"/>
          <w:szCs w:val="11"/>
          <w:color w:val="F7323F"/>
        </w:rPr>
      </w:pPr>
      <w:r>
        <w:rPr>
          <w:rFonts w:ascii="Arial" w:cs="Arial" w:eastAsia="Arial" w:hAnsi="Arial"/>
          <w:sz w:val="11"/>
          <w:szCs w:val="11"/>
          <w:color w:val="050505"/>
        </w:rPr>
        <w:t>the filing and effectiveness of our restated certificate of incorporation and the effectiveness of our restated bylaws, each of which will occur upon the completion of this offering;</w:t>
      </w:r>
    </w:p>
    <w:p>
      <w:pPr>
        <w:spacing w:after="0" w:line="38" w:lineRule="exact"/>
        <w:rPr>
          <w:rFonts w:ascii="Arial" w:cs="Arial" w:eastAsia="Arial" w:hAnsi="Arial"/>
          <w:sz w:val="11"/>
          <w:szCs w:val="11"/>
          <w:color w:val="F7323F"/>
        </w:rPr>
      </w:pPr>
    </w:p>
    <w:p>
      <w:pPr>
        <w:jc w:val="both"/>
        <w:ind w:left="2620" w:right="1059" w:hanging="200"/>
        <w:spacing w:after="0" w:line="242" w:lineRule="auto"/>
        <w:tabs>
          <w:tab w:leader="none" w:pos="2620" w:val="left"/>
        </w:tabs>
        <w:numPr>
          <w:ilvl w:val="0"/>
          <w:numId w:val="9"/>
        </w:numPr>
        <w:rPr>
          <w:rFonts w:ascii="Arial" w:cs="Arial" w:eastAsia="Arial" w:hAnsi="Arial"/>
          <w:sz w:val="11"/>
          <w:szCs w:val="11"/>
          <w:color w:val="F7323F"/>
        </w:rPr>
      </w:pPr>
      <w:r>
        <w:rPr>
          <w:rFonts w:ascii="Arial" w:cs="Arial" w:eastAsia="Arial" w:hAnsi="Arial"/>
          <w:sz w:val="11"/>
          <w:szCs w:val="11"/>
          <w:color w:val="050505"/>
        </w:rPr>
        <w:t>the issuance and sale by us in the private placement of a number of shares of Class A common stock with an aggregate purchase price of approximately $100.0 million at a price per share equal to the initial public offering price to entities affiliated with TCV. Based upon the initial public offering price of $29.00 per share this will be 3,448,275 shares of Class A common stock; and</w:t>
      </w:r>
    </w:p>
    <w:p>
      <w:pPr>
        <w:spacing w:after="0" w:line="40" w:lineRule="exact"/>
        <w:rPr>
          <w:rFonts w:ascii="Arial" w:cs="Arial" w:eastAsia="Arial" w:hAnsi="Arial"/>
          <w:sz w:val="11"/>
          <w:szCs w:val="11"/>
          <w:color w:val="F7323F"/>
        </w:rPr>
      </w:pPr>
    </w:p>
    <w:p>
      <w:pPr>
        <w:ind w:left="2620" w:right="1059" w:hanging="200"/>
        <w:spacing w:after="0" w:line="245" w:lineRule="auto"/>
        <w:tabs>
          <w:tab w:leader="none" w:pos="2620" w:val="left"/>
        </w:tabs>
        <w:numPr>
          <w:ilvl w:val="0"/>
          <w:numId w:val="9"/>
        </w:numPr>
        <w:rPr>
          <w:rFonts w:ascii="Arial" w:cs="Arial" w:eastAsia="Arial" w:hAnsi="Arial"/>
          <w:sz w:val="11"/>
          <w:szCs w:val="11"/>
          <w:color w:val="F7323F"/>
        </w:rPr>
      </w:pPr>
      <w:r>
        <w:rPr>
          <w:rFonts w:ascii="Arial" w:cs="Arial" w:eastAsia="Arial" w:hAnsi="Arial"/>
          <w:sz w:val="11"/>
          <w:szCs w:val="11"/>
          <w:color w:val="050505"/>
        </w:rPr>
        <w:t>no exercise by the underwriters of their option to purchase up to an additional 6,000,000 shares of our Class A common stock in this offering.</w:t>
      </w:r>
    </w:p>
    <w:p>
      <w:pPr>
        <w:spacing w:after="0" w:line="354" w:lineRule="exact"/>
        <w:rPr>
          <w:sz w:val="20"/>
          <w:szCs w:val="20"/>
          <w:color w:val="auto"/>
        </w:rPr>
      </w:pPr>
    </w:p>
    <w:p>
      <w:pPr>
        <w:ind w:left="5680"/>
        <w:spacing w:after="0"/>
        <w:rPr>
          <w:sz w:val="20"/>
          <w:szCs w:val="20"/>
          <w:color w:val="auto"/>
        </w:rPr>
      </w:pPr>
      <w:r>
        <w:rPr>
          <w:rFonts w:ascii="Arial" w:cs="Arial" w:eastAsia="Arial" w:hAnsi="Arial"/>
          <w:sz w:val="11"/>
          <w:szCs w:val="11"/>
          <w:color w:val="050505"/>
        </w:rPr>
        <w:t>11</w:t>
      </w:r>
    </w:p>
    <w:p>
      <w:pPr>
        <w:sectPr>
          <w:pgSz w:w="11900" w:h="16838" w:orient="portrait"/>
          <w:cols w:equalWidth="0" w:num="1">
            <w:col w:w="10239"/>
          </w:cols>
          <w:pgMar w:left="220" w:top="354" w:right="1440" w:bottom="1440" w:gutter="0" w:footer="0" w:header="0"/>
        </w:sectPr>
      </w:pPr>
    </w:p>
    <w:bookmarkStart w:id="16" w:name="page17"/>
    <w:bookmarkEnd w:id="16"/>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hyperlink w:anchor="page5">
        <w:r>
          <w:rPr>
            <w:rFonts w:ascii="Arial" w:cs="Arial" w:eastAsia="Arial" w:hAnsi="Arial"/>
            <w:sz w:val="12"/>
            <w:szCs w:val="12"/>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1306830</wp:posOffset>
            </wp:positionH>
            <wp:positionV relativeFrom="paragraph">
              <wp:posOffset>132715</wp:posOffset>
            </wp:positionV>
            <wp:extent cx="4674235" cy="383349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4674235" cy="3833495"/>
                    </a:xfrm>
                    <a:prstGeom prst="rect">
                      <a:avLst/>
                    </a:prstGeom>
                    <a:noFill/>
                  </pic:spPr>
                </pic:pic>
              </a:graphicData>
            </a:graphic>
          </wp:anchor>
        </w:drawing>
      </w:r>
    </w:p>
    <w:p>
      <w:pPr>
        <w:spacing w:after="0" w:line="306" w:lineRule="exact"/>
        <w:rPr>
          <w:sz w:val="20"/>
          <w:szCs w:val="20"/>
          <w:color w:val="auto"/>
        </w:rPr>
      </w:pPr>
    </w:p>
    <w:p>
      <w:pPr>
        <w:jc w:val="center"/>
        <w:ind w:right="-1220"/>
        <w:spacing w:after="0"/>
        <w:rPr>
          <w:sz w:val="20"/>
          <w:szCs w:val="20"/>
          <w:color w:val="auto"/>
        </w:rPr>
      </w:pPr>
      <w:r>
        <w:rPr>
          <w:rFonts w:ascii="Arial" w:cs="Arial" w:eastAsia="Arial" w:hAnsi="Arial"/>
          <w:sz w:val="12"/>
          <w:szCs w:val="12"/>
          <w:b w:val="1"/>
          <w:bCs w:val="1"/>
          <w:color w:val="auto"/>
        </w:rPr>
        <w:t>SUMMARY CONSOLIDATED FINANCIAL DATA</w:t>
      </w:r>
    </w:p>
    <w:p>
      <w:pPr>
        <w:spacing w:after="0" w:line="157" w:lineRule="exact"/>
        <w:rPr>
          <w:sz w:val="20"/>
          <w:szCs w:val="20"/>
          <w:color w:val="auto"/>
        </w:rPr>
      </w:pPr>
    </w:p>
    <w:p>
      <w:pPr>
        <w:jc w:val="both"/>
        <w:ind w:left="2280" w:right="1059"/>
        <w:spacing w:after="0"/>
        <w:rPr>
          <w:sz w:val="20"/>
          <w:szCs w:val="20"/>
          <w:color w:val="auto"/>
        </w:rPr>
      </w:pPr>
      <w:r>
        <w:rPr>
          <w:rFonts w:ascii="Arial" w:cs="Arial" w:eastAsia="Arial" w:hAnsi="Arial"/>
          <w:sz w:val="11"/>
          <w:szCs w:val="11"/>
          <w:color w:val="050505"/>
        </w:rPr>
        <w:t>The following tables summarize our consolidated financial data. We derived our summary consolidated statements of operations for fiscal 2017, fiscal 2018, and fiscal 2019 (except the pro forma share and pro forma net loss per share information) and the summary consolidated balance data as of June 30, 2019 from our audited consolidated financial statements included elsewhere in this prospectus. Our historical results are not necessarily indicative of the results to be expected in the future. You should read the following summary consolidated financial data in conjunction with the sections titled “Selected Consolidated Financial and Other Data” and “Management’s Discussion and Analysis of Financial Condition and Results of Operations” and our consolidated financial statements, the accompanying notes, and other financial information included elsewhere in this prospectus.</w:t>
      </w:r>
    </w:p>
    <w:p>
      <w:pPr>
        <w:spacing w:after="0" w:line="147" w:lineRule="exact"/>
        <w:rPr>
          <w:sz w:val="20"/>
          <w:szCs w:val="20"/>
          <w:color w:val="auto"/>
        </w:rPr>
      </w:pPr>
    </w:p>
    <w:tbl>
      <w:tblPr>
        <w:tblLayout w:type="fixed"/>
        <w:tblInd w:w="2280" w:type="dxa"/>
        <w:tblCellMar>
          <w:top w:w="0" w:type="dxa"/>
          <w:left w:w="0" w:type="dxa"/>
          <w:bottom w:w="0" w:type="dxa"/>
          <w:right w:w="0" w:type="dxa"/>
        </w:tblCellMar>
      </w:tblPr>
      <w:tr>
        <w:trPr>
          <w:trHeight w:val="137"/>
        </w:trPr>
        <w:tc>
          <w:tcPr>
            <w:tcW w:w="3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46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1"/>
                <w:szCs w:val="11"/>
                <w:b w:val="1"/>
                <w:bCs w:val="1"/>
                <w:color w:val="050505"/>
                <w:w w:val="98"/>
              </w:rPr>
              <w:t>Fiscal Year Ended June 30,</w:t>
            </w:r>
          </w:p>
        </w:tc>
        <w:tc>
          <w:tcPr>
            <w:tcW w:w="6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r>
      <w:tr>
        <w:trPr>
          <w:trHeight w:val="115"/>
        </w:trPr>
        <w:tc>
          <w:tcPr>
            <w:tcW w:w="33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jc w:val="right"/>
              <w:ind w:right="186"/>
              <w:spacing w:after="0" w:line="115" w:lineRule="exact"/>
              <w:rPr>
                <w:sz w:val="20"/>
                <w:szCs w:val="20"/>
                <w:color w:val="auto"/>
              </w:rPr>
            </w:pPr>
            <w:r>
              <w:rPr>
                <w:rFonts w:ascii="Arial" w:cs="Arial" w:eastAsia="Arial" w:hAnsi="Arial"/>
                <w:sz w:val="11"/>
                <w:szCs w:val="11"/>
                <w:b w:val="1"/>
                <w:bCs w:val="1"/>
                <w:color w:val="050505"/>
              </w:rPr>
              <w:t>2017</w:t>
            </w:r>
          </w:p>
        </w:tc>
        <w:tc>
          <w:tcPr>
            <w:tcW w:w="8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jc w:val="center"/>
              <w:ind w:right="66"/>
              <w:spacing w:after="0" w:line="115" w:lineRule="exact"/>
              <w:rPr>
                <w:sz w:val="20"/>
                <w:szCs w:val="20"/>
                <w:color w:val="auto"/>
              </w:rPr>
            </w:pPr>
            <w:r>
              <w:rPr>
                <w:rFonts w:ascii="Arial" w:cs="Arial" w:eastAsia="Arial" w:hAnsi="Arial"/>
                <w:sz w:val="11"/>
                <w:szCs w:val="11"/>
                <w:b w:val="1"/>
                <w:bCs w:val="1"/>
                <w:color w:val="050505"/>
                <w:w w:val="97"/>
              </w:rPr>
              <w:t>2018</w:t>
            </w:r>
          </w:p>
        </w:tc>
        <w:tc>
          <w:tcPr>
            <w:tcW w:w="38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jc w:val="right"/>
              <w:ind w:right="186"/>
              <w:spacing w:after="0" w:line="115" w:lineRule="exact"/>
              <w:rPr>
                <w:sz w:val="20"/>
                <w:szCs w:val="20"/>
                <w:color w:val="auto"/>
              </w:rPr>
            </w:pPr>
            <w:r>
              <w:rPr>
                <w:rFonts w:ascii="Arial" w:cs="Arial" w:eastAsia="Arial" w:hAnsi="Arial"/>
                <w:sz w:val="11"/>
                <w:szCs w:val="11"/>
                <w:b w:val="1"/>
                <w:bCs w:val="1"/>
                <w:color w:val="050505"/>
              </w:rPr>
              <w:t>2019</w:t>
            </w:r>
          </w:p>
        </w:tc>
        <w:tc>
          <w:tcPr>
            <w:tcW w:w="80" w:type="dxa"/>
            <w:vAlign w:val="bottom"/>
          </w:tcPr>
          <w:p>
            <w:pPr>
              <w:spacing w:after="0"/>
              <w:rPr>
                <w:sz w:val="10"/>
                <w:szCs w:val="10"/>
                <w:color w:val="auto"/>
              </w:rPr>
            </w:pPr>
          </w:p>
        </w:tc>
      </w:tr>
      <w:tr>
        <w:trPr>
          <w:trHeight w:val="115"/>
        </w:trPr>
        <w:tc>
          <w:tcPr>
            <w:tcW w:w="33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920" w:type="dxa"/>
            <w:vAlign w:val="bottom"/>
            <w:gridSpan w:val="9"/>
          </w:tcPr>
          <w:p>
            <w:pPr>
              <w:jc w:val="center"/>
              <w:ind w:right="66"/>
              <w:spacing w:after="0" w:line="115" w:lineRule="exact"/>
              <w:rPr>
                <w:sz w:val="20"/>
                <w:szCs w:val="20"/>
                <w:color w:val="auto"/>
              </w:rPr>
            </w:pPr>
            <w:r>
              <w:rPr>
                <w:rFonts w:ascii="Arial" w:cs="Arial" w:eastAsia="Arial" w:hAnsi="Arial"/>
                <w:sz w:val="11"/>
                <w:szCs w:val="11"/>
                <w:b w:val="1"/>
                <w:bCs w:val="1"/>
                <w:color w:val="050505"/>
                <w:w w:val="98"/>
              </w:rPr>
              <w:t>(in millions, except share and per share data)</w:t>
            </w:r>
          </w:p>
        </w:tc>
        <w:tc>
          <w:tcPr>
            <w:tcW w:w="80" w:type="dxa"/>
            <w:vAlign w:val="bottom"/>
          </w:tcPr>
          <w:p>
            <w:pPr>
              <w:spacing w:after="0"/>
              <w:rPr>
                <w:sz w:val="10"/>
                <w:szCs w:val="10"/>
                <w:color w:val="auto"/>
              </w:rPr>
            </w:pPr>
          </w:p>
        </w:tc>
      </w:tr>
      <w:tr>
        <w:trPr>
          <w:trHeight w:val="126"/>
        </w:trPr>
        <w:tc>
          <w:tcPr>
            <w:tcW w:w="3360" w:type="dxa"/>
            <w:vAlign w:val="bottom"/>
            <w:shd w:val="clear" w:color="auto" w:fill="CCEEFF"/>
          </w:tcPr>
          <w:p>
            <w:pPr>
              <w:ind w:left="60"/>
              <w:spacing w:after="0"/>
              <w:rPr>
                <w:sz w:val="20"/>
                <w:szCs w:val="20"/>
                <w:color w:val="auto"/>
              </w:rPr>
            </w:pPr>
            <w:r>
              <w:rPr>
                <w:rFonts w:ascii="Arial" w:cs="Arial" w:eastAsia="Arial" w:hAnsi="Arial"/>
                <w:sz w:val="11"/>
                <w:szCs w:val="11"/>
                <w:b w:val="1"/>
                <w:bCs w:val="1"/>
                <w:color w:val="050505"/>
              </w:rPr>
              <w:t>Consolidated Statement of Operations Data:</w:t>
            </w:r>
          </w:p>
        </w:tc>
        <w:tc>
          <w:tcPr>
            <w:tcW w:w="4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r>
      <w:tr>
        <w:trPr>
          <w:trHeight w:val="126"/>
        </w:trPr>
        <w:tc>
          <w:tcPr>
            <w:tcW w:w="3360" w:type="dxa"/>
            <w:vAlign w:val="bottom"/>
          </w:tcPr>
          <w:p>
            <w:pPr>
              <w:ind w:left="60"/>
              <w:spacing w:after="0"/>
              <w:rPr>
                <w:sz w:val="20"/>
                <w:szCs w:val="20"/>
                <w:color w:val="auto"/>
              </w:rPr>
            </w:pPr>
            <w:r>
              <w:rPr>
                <w:rFonts w:ascii="Arial" w:cs="Arial" w:eastAsia="Arial" w:hAnsi="Arial"/>
                <w:sz w:val="11"/>
                <w:szCs w:val="11"/>
                <w:color w:val="050505"/>
              </w:rPr>
              <w:t>Revenue:</w:t>
            </w:r>
          </w:p>
        </w:tc>
        <w:tc>
          <w:tcPr>
            <w:tcW w:w="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r>
      <w:tr>
        <w:trPr>
          <w:trHeight w:val="126"/>
        </w:trPr>
        <w:tc>
          <w:tcPr>
            <w:tcW w:w="3360" w:type="dxa"/>
            <w:vAlign w:val="bottom"/>
            <w:shd w:val="clear" w:color="auto" w:fill="CCEEFF"/>
          </w:tcPr>
          <w:p>
            <w:pPr>
              <w:ind w:left="160"/>
              <w:spacing w:after="0"/>
              <w:rPr>
                <w:sz w:val="20"/>
                <w:szCs w:val="20"/>
                <w:color w:val="auto"/>
              </w:rPr>
            </w:pPr>
            <w:r>
              <w:rPr>
                <w:rFonts w:ascii="Arial" w:cs="Arial" w:eastAsia="Arial" w:hAnsi="Arial"/>
                <w:sz w:val="11"/>
                <w:szCs w:val="11"/>
                <w:color w:val="050505"/>
              </w:rPr>
              <w:t>Connected Fitness Products</w:t>
            </w: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050505"/>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1"/>
                <w:szCs w:val="11"/>
                <w:color w:val="050505"/>
              </w:rPr>
              <w:t>183.5</w:t>
            </w:r>
          </w:p>
        </w:tc>
        <w:tc>
          <w:tcPr>
            <w:tcW w:w="80" w:type="dxa"/>
            <w:vAlign w:val="bottom"/>
            <w:shd w:val="clear" w:color="auto" w:fill="CCEEFF"/>
          </w:tcPr>
          <w:p>
            <w:pPr>
              <w:spacing w:after="0"/>
              <w:rPr>
                <w:sz w:val="10"/>
                <w:szCs w:val="10"/>
                <w:color w:val="auto"/>
              </w:rPr>
            </w:pP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050505"/>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1"/>
                <w:szCs w:val="11"/>
                <w:color w:val="050505"/>
              </w:rPr>
              <w:t>348.6</w:t>
            </w:r>
          </w:p>
        </w:tc>
        <w:tc>
          <w:tcPr>
            <w:tcW w:w="380" w:type="dxa"/>
            <w:vAlign w:val="bottom"/>
            <w:shd w:val="clear" w:color="auto" w:fill="CCEEFF"/>
          </w:tcPr>
          <w:p>
            <w:pPr>
              <w:spacing w:after="0"/>
              <w:rPr>
                <w:sz w:val="10"/>
                <w:szCs w:val="10"/>
                <w:color w:val="auto"/>
              </w:rPr>
            </w:pPr>
          </w:p>
        </w:tc>
        <w:tc>
          <w:tcPr>
            <w:tcW w:w="18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050505"/>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1"/>
                <w:szCs w:val="11"/>
                <w:color w:val="050505"/>
              </w:rPr>
              <w:t>719.2</w:t>
            </w:r>
          </w:p>
        </w:tc>
        <w:tc>
          <w:tcPr>
            <w:tcW w:w="80" w:type="dxa"/>
            <w:vAlign w:val="bottom"/>
            <w:shd w:val="clear" w:color="auto" w:fill="CCEEFF"/>
          </w:tcPr>
          <w:p>
            <w:pPr>
              <w:spacing w:after="0"/>
              <w:rPr>
                <w:sz w:val="10"/>
                <w:szCs w:val="10"/>
                <w:color w:val="auto"/>
              </w:rPr>
            </w:pPr>
          </w:p>
        </w:tc>
      </w:tr>
      <w:tr>
        <w:trPr>
          <w:trHeight w:val="126"/>
        </w:trPr>
        <w:tc>
          <w:tcPr>
            <w:tcW w:w="3360" w:type="dxa"/>
            <w:vAlign w:val="bottom"/>
          </w:tcPr>
          <w:p>
            <w:pPr>
              <w:ind w:left="160"/>
              <w:spacing w:after="0"/>
              <w:rPr>
                <w:sz w:val="20"/>
                <w:szCs w:val="20"/>
                <w:color w:val="auto"/>
              </w:rPr>
            </w:pPr>
            <w:r>
              <w:rPr>
                <w:rFonts w:ascii="Arial" w:cs="Arial" w:eastAsia="Arial" w:hAnsi="Arial"/>
                <w:sz w:val="11"/>
                <w:szCs w:val="11"/>
                <w:color w:val="050505"/>
              </w:rPr>
              <w:t>Subscription</w:t>
            </w:r>
          </w:p>
        </w:tc>
        <w:tc>
          <w:tcPr>
            <w:tcW w:w="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050505"/>
              </w:rPr>
              <w:t>32.5</w:t>
            </w: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050505"/>
              </w:rPr>
              <w:t>80.3</w:t>
            </w:r>
          </w:p>
        </w:tc>
        <w:tc>
          <w:tcPr>
            <w:tcW w:w="3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050505"/>
              </w:rPr>
              <w:t>181.1</w:t>
            </w:r>
          </w:p>
        </w:tc>
        <w:tc>
          <w:tcPr>
            <w:tcW w:w="80" w:type="dxa"/>
            <w:vAlign w:val="bottom"/>
          </w:tcPr>
          <w:p>
            <w:pPr>
              <w:spacing w:after="0"/>
              <w:rPr>
                <w:sz w:val="10"/>
                <w:szCs w:val="10"/>
                <w:color w:val="auto"/>
              </w:rPr>
            </w:pPr>
          </w:p>
        </w:tc>
      </w:tr>
      <w:tr>
        <w:trPr>
          <w:trHeight w:val="126"/>
        </w:trPr>
        <w:tc>
          <w:tcPr>
            <w:tcW w:w="3360" w:type="dxa"/>
            <w:vAlign w:val="bottom"/>
            <w:shd w:val="clear" w:color="auto" w:fill="CCEEFF"/>
          </w:tcPr>
          <w:p>
            <w:pPr>
              <w:ind w:left="160"/>
              <w:spacing w:after="0"/>
              <w:rPr>
                <w:sz w:val="20"/>
                <w:szCs w:val="20"/>
                <w:color w:val="auto"/>
              </w:rPr>
            </w:pPr>
            <w:r>
              <w:rPr>
                <w:rFonts w:ascii="Arial" w:cs="Arial" w:eastAsia="Arial" w:hAnsi="Arial"/>
                <w:sz w:val="11"/>
                <w:szCs w:val="11"/>
                <w:color w:val="050505"/>
              </w:rPr>
              <w:t>Other</w:t>
            </w:r>
          </w:p>
        </w:tc>
        <w:tc>
          <w:tcPr>
            <w:tcW w:w="420" w:type="dxa"/>
            <w:vAlign w:val="bottom"/>
            <w:shd w:val="clear" w:color="auto" w:fill="CCEEFF"/>
          </w:tcPr>
          <w:p>
            <w:pPr>
              <w:spacing w:after="0"/>
              <w:rPr>
                <w:sz w:val="10"/>
                <w:szCs w:val="10"/>
                <w:color w:val="auto"/>
              </w:rPr>
            </w:pPr>
          </w:p>
        </w:tc>
        <w:tc>
          <w:tcPr>
            <w:tcW w:w="120" w:type="dxa"/>
            <w:vAlign w:val="bottom"/>
            <w:tcBorders>
              <w:bottom w:val="single" w:sz="8" w:color="auto"/>
            </w:tcBorders>
            <w:shd w:val="clear" w:color="auto" w:fill="CCEEFF"/>
          </w:tcPr>
          <w:p>
            <w:pPr>
              <w:spacing w:after="0"/>
              <w:rPr>
                <w:sz w:val="10"/>
                <w:szCs w:val="10"/>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050505"/>
              </w:rPr>
              <w:t>2.6</w:t>
            </w:r>
          </w:p>
        </w:tc>
        <w:tc>
          <w:tcPr>
            <w:tcW w:w="8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20" w:type="dxa"/>
            <w:vAlign w:val="bottom"/>
            <w:tcBorders>
              <w:bottom w:val="single" w:sz="8" w:color="auto"/>
            </w:tcBorders>
            <w:shd w:val="clear" w:color="auto" w:fill="CCEEFF"/>
          </w:tcPr>
          <w:p>
            <w:pPr>
              <w:spacing w:after="0"/>
              <w:rPr>
                <w:sz w:val="10"/>
                <w:szCs w:val="10"/>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050505"/>
              </w:rPr>
              <w:t>6.2</w:t>
            </w:r>
          </w:p>
        </w:tc>
        <w:tc>
          <w:tcPr>
            <w:tcW w:w="3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20" w:type="dxa"/>
            <w:vAlign w:val="bottom"/>
            <w:tcBorders>
              <w:bottom w:val="single" w:sz="8" w:color="auto"/>
            </w:tcBorders>
            <w:shd w:val="clear" w:color="auto" w:fill="CCEEFF"/>
          </w:tcPr>
          <w:p>
            <w:pPr>
              <w:spacing w:after="0"/>
              <w:rPr>
                <w:sz w:val="10"/>
                <w:szCs w:val="10"/>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050505"/>
              </w:rPr>
              <w:t>14.7</w:t>
            </w:r>
          </w:p>
        </w:tc>
        <w:tc>
          <w:tcPr>
            <w:tcW w:w="80" w:type="dxa"/>
            <w:vAlign w:val="bottom"/>
            <w:shd w:val="clear" w:color="auto" w:fill="CCEEFF"/>
          </w:tcPr>
          <w:p>
            <w:pPr>
              <w:spacing w:after="0"/>
              <w:rPr>
                <w:sz w:val="10"/>
                <w:szCs w:val="10"/>
                <w:color w:val="auto"/>
              </w:rPr>
            </w:pPr>
          </w:p>
        </w:tc>
      </w:tr>
      <w:tr>
        <w:trPr>
          <w:trHeight w:val="124"/>
        </w:trPr>
        <w:tc>
          <w:tcPr>
            <w:tcW w:w="3360" w:type="dxa"/>
            <w:vAlign w:val="bottom"/>
          </w:tcPr>
          <w:p>
            <w:pPr>
              <w:ind w:left="280"/>
              <w:spacing w:after="0" w:line="124" w:lineRule="exact"/>
              <w:rPr>
                <w:sz w:val="20"/>
                <w:szCs w:val="20"/>
                <w:color w:val="auto"/>
              </w:rPr>
            </w:pPr>
            <w:r>
              <w:rPr>
                <w:rFonts w:ascii="Arial" w:cs="Arial" w:eastAsia="Arial" w:hAnsi="Arial"/>
                <w:sz w:val="11"/>
                <w:szCs w:val="11"/>
                <w:color w:val="050505"/>
              </w:rPr>
              <w:t>Total revenue</w:t>
            </w:r>
          </w:p>
        </w:tc>
        <w:tc>
          <w:tcPr>
            <w:tcW w:w="42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jc w:val="right"/>
              <w:spacing w:after="0" w:line="124" w:lineRule="exact"/>
              <w:rPr>
                <w:sz w:val="20"/>
                <w:szCs w:val="20"/>
                <w:color w:val="auto"/>
              </w:rPr>
            </w:pPr>
            <w:r>
              <w:rPr>
                <w:rFonts w:ascii="Arial" w:cs="Arial" w:eastAsia="Arial" w:hAnsi="Arial"/>
                <w:sz w:val="11"/>
                <w:szCs w:val="11"/>
                <w:color w:val="050505"/>
              </w:rPr>
              <w:t>218.6</w:t>
            </w: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jc w:val="right"/>
              <w:spacing w:after="0" w:line="124" w:lineRule="exact"/>
              <w:rPr>
                <w:sz w:val="20"/>
                <w:szCs w:val="20"/>
                <w:color w:val="auto"/>
              </w:rPr>
            </w:pPr>
            <w:r>
              <w:rPr>
                <w:rFonts w:ascii="Arial" w:cs="Arial" w:eastAsia="Arial" w:hAnsi="Arial"/>
                <w:sz w:val="11"/>
                <w:szCs w:val="11"/>
                <w:color w:val="050505"/>
              </w:rPr>
              <w:t>435.0</w:t>
            </w:r>
          </w:p>
        </w:tc>
        <w:tc>
          <w:tcPr>
            <w:tcW w:w="3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jc w:val="right"/>
              <w:spacing w:after="0" w:line="124" w:lineRule="exact"/>
              <w:rPr>
                <w:sz w:val="20"/>
                <w:szCs w:val="20"/>
                <w:color w:val="auto"/>
              </w:rPr>
            </w:pPr>
            <w:r>
              <w:rPr>
                <w:rFonts w:ascii="Arial" w:cs="Arial" w:eastAsia="Arial" w:hAnsi="Arial"/>
                <w:sz w:val="11"/>
                <w:szCs w:val="11"/>
                <w:color w:val="050505"/>
              </w:rPr>
              <w:t>915.0</w:t>
            </w:r>
          </w:p>
        </w:tc>
        <w:tc>
          <w:tcPr>
            <w:tcW w:w="80" w:type="dxa"/>
            <w:vAlign w:val="bottom"/>
          </w:tcPr>
          <w:p>
            <w:pPr>
              <w:spacing w:after="0"/>
              <w:rPr>
                <w:sz w:val="10"/>
                <w:szCs w:val="10"/>
                <w:color w:val="auto"/>
              </w:rPr>
            </w:pPr>
          </w:p>
        </w:tc>
      </w:tr>
      <w:tr>
        <w:trPr>
          <w:trHeight w:val="124"/>
        </w:trPr>
        <w:tc>
          <w:tcPr>
            <w:tcW w:w="3360" w:type="dxa"/>
            <w:vAlign w:val="bottom"/>
            <w:shd w:val="clear" w:color="auto" w:fill="CCEEFF"/>
          </w:tcPr>
          <w:p>
            <w:pPr>
              <w:ind w:left="60"/>
              <w:spacing w:after="0" w:line="125" w:lineRule="exact"/>
              <w:rPr>
                <w:sz w:val="20"/>
                <w:szCs w:val="20"/>
                <w:color w:val="auto"/>
              </w:rPr>
            </w:pPr>
            <w:r>
              <w:rPr>
                <w:rFonts w:ascii="Arial" w:cs="Arial" w:eastAsia="Arial" w:hAnsi="Arial"/>
                <w:sz w:val="9"/>
                <w:szCs w:val="9"/>
                <w:color w:val="050505"/>
              </w:rPr>
              <w:t>Cost of revenue</w:t>
            </w:r>
            <w:r>
              <w:rPr>
                <w:rFonts w:ascii="Arial" w:cs="Arial" w:eastAsia="Arial" w:hAnsi="Arial"/>
                <w:sz w:val="14"/>
                <w:szCs w:val="14"/>
                <w:color w:val="050505"/>
                <w:vertAlign w:val="superscript"/>
              </w:rPr>
              <w:t>(1)(2)</w:t>
            </w:r>
            <w:r>
              <w:rPr>
                <w:rFonts w:ascii="Arial" w:cs="Arial" w:eastAsia="Arial" w:hAnsi="Arial"/>
                <w:sz w:val="9"/>
                <w:szCs w:val="9"/>
                <w:color w:val="050505"/>
              </w:rPr>
              <w:t>:</w:t>
            </w:r>
          </w:p>
        </w:tc>
        <w:tc>
          <w:tcPr>
            <w:tcW w:w="4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r>
      <w:tr>
        <w:trPr>
          <w:trHeight w:val="126"/>
        </w:trPr>
        <w:tc>
          <w:tcPr>
            <w:tcW w:w="3360" w:type="dxa"/>
            <w:vAlign w:val="bottom"/>
          </w:tcPr>
          <w:p>
            <w:pPr>
              <w:ind w:left="160"/>
              <w:spacing w:after="0"/>
              <w:rPr>
                <w:sz w:val="20"/>
                <w:szCs w:val="20"/>
                <w:color w:val="auto"/>
              </w:rPr>
            </w:pPr>
            <w:r>
              <w:rPr>
                <w:rFonts w:ascii="Arial" w:cs="Arial" w:eastAsia="Arial" w:hAnsi="Arial"/>
                <w:sz w:val="11"/>
                <w:szCs w:val="11"/>
                <w:color w:val="050505"/>
              </w:rPr>
              <w:t>Connected Fitness Products</w:t>
            </w:r>
          </w:p>
        </w:tc>
        <w:tc>
          <w:tcPr>
            <w:tcW w:w="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050505"/>
              </w:rPr>
              <w:t>113.5</w:t>
            </w: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050505"/>
              </w:rPr>
              <w:t>195.0</w:t>
            </w:r>
          </w:p>
        </w:tc>
        <w:tc>
          <w:tcPr>
            <w:tcW w:w="3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050505"/>
              </w:rPr>
              <w:t>410.8</w:t>
            </w:r>
          </w:p>
        </w:tc>
        <w:tc>
          <w:tcPr>
            <w:tcW w:w="80" w:type="dxa"/>
            <w:vAlign w:val="bottom"/>
          </w:tcPr>
          <w:p>
            <w:pPr>
              <w:spacing w:after="0"/>
              <w:rPr>
                <w:sz w:val="10"/>
                <w:szCs w:val="10"/>
                <w:color w:val="auto"/>
              </w:rPr>
            </w:pPr>
          </w:p>
        </w:tc>
      </w:tr>
      <w:tr>
        <w:trPr>
          <w:trHeight w:val="126"/>
        </w:trPr>
        <w:tc>
          <w:tcPr>
            <w:tcW w:w="3360" w:type="dxa"/>
            <w:vAlign w:val="bottom"/>
            <w:shd w:val="clear" w:color="auto" w:fill="CCEEFF"/>
          </w:tcPr>
          <w:p>
            <w:pPr>
              <w:ind w:left="160"/>
              <w:spacing w:after="0" w:line="126" w:lineRule="exact"/>
              <w:rPr>
                <w:sz w:val="20"/>
                <w:szCs w:val="20"/>
                <w:color w:val="auto"/>
              </w:rPr>
            </w:pPr>
            <w:r>
              <w:rPr>
                <w:rFonts w:ascii="Arial" w:cs="Arial" w:eastAsia="Arial" w:hAnsi="Arial"/>
                <w:sz w:val="9"/>
                <w:szCs w:val="9"/>
                <w:color w:val="050505"/>
              </w:rPr>
              <w:t>Subscription</w:t>
            </w:r>
            <w:r>
              <w:rPr>
                <w:rFonts w:ascii="Arial" w:cs="Arial" w:eastAsia="Arial" w:hAnsi="Arial"/>
                <w:sz w:val="14"/>
                <w:szCs w:val="14"/>
                <w:color w:val="050505"/>
                <w:vertAlign w:val="superscript"/>
              </w:rPr>
              <w:t>(3)</w:t>
            </w:r>
          </w:p>
        </w:tc>
        <w:tc>
          <w:tcPr>
            <w:tcW w:w="4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1"/>
                <w:szCs w:val="11"/>
                <w:color w:val="050505"/>
              </w:rPr>
              <w:t>29.3</w:t>
            </w:r>
          </w:p>
        </w:tc>
        <w:tc>
          <w:tcPr>
            <w:tcW w:w="8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1"/>
                <w:szCs w:val="11"/>
                <w:color w:val="050505"/>
              </w:rPr>
              <w:t>45.5</w:t>
            </w:r>
          </w:p>
        </w:tc>
        <w:tc>
          <w:tcPr>
            <w:tcW w:w="3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1"/>
                <w:szCs w:val="11"/>
                <w:color w:val="050505"/>
              </w:rPr>
              <w:t>103.7</w:t>
            </w:r>
          </w:p>
        </w:tc>
        <w:tc>
          <w:tcPr>
            <w:tcW w:w="80" w:type="dxa"/>
            <w:vAlign w:val="bottom"/>
            <w:shd w:val="clear" w:color="auto" w:fill="CCEEFF"/>
          </w:tcPr>
          <w:p>
            <w:pPr>
              <w:spacing w:after="0"/>
              <w:rPr>
                <w:sz w:val="10"/>
                <w:szCs w:val="10"/>
                <w:color w:val="auto"/>
              </w:rPr>
            </w:pPr>
          </w:p>
        </w:tc>
      </w:tr>
      <w:tr>
        <w:trPr>
          <w:trHeight w:val="126"/>
        </w:trPr>
        <w:tc>
          <w:tcPr>
            <w:tcW w:w="3360" w:type="dxa"/>
            <w:vAlign w:val="bottom"/>
          </w:tcPr>
          <w:p>
            <w:pPr>
              <w:ind w:left="160"/>
              <w:spacing w:after="0"/>
              <w:rPr>
                <w:sz w:val="20"/>
                <w:szCs w:val="20"/>
                <w:color w:val="auto"/>
              </w:rPr>
            </w:pPr>
            <w:r>
              <w:rPr>
                <w:rFonts w:ascii="Arial" w:cs="Arial" w:eastAsia="Arial" w:hAnsi="Arial"/>
                <w:sz w:val="11"/>
                <w:szCs w:val="11"/>
                <w:color w:val="050505"/>
              </w:rPr>
              <w:t>Other</w:t>
            </w:r>
          </w:p>
        </w:tc>
        <w:tc>
          <w:tcPr>
            <w:tcW w:w="42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050505"/>
              </w:rPr>
              <w:t>1.9</w:t>
            </w: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050505"/>
              </w:rPr>
              <w:t>4.9</w:t>
            </w:r>
          </w:p>
        </w:tc>
        <w:tc>
          <w:tcPr>
            <w:tcW w:w="3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050505"/>
              </w:rPr>
              <w:t>17.0</w:t>
            </w:r>
          </w:p>
        </w:tc>
        <w:tc>
          <w:tcPr>
            <w:tcW w:w="80" w:type="dxa"/>
            <w:vAlign w:val="bottom"/>
          </w:tcPr>
          <w:p>
            <w:pPr>
              <w:spacing w:after="0"/>
              <w:rPr>
                <w:sz w:val="10"/>
                <w:szCs w:val="10"/>
                <w:color w:val="auto"/>
              </w:rPr>
            </w:pPr>
          </w:p>
        </w:tc>
      </w:tr>
      <w:tr>
        <w:trPr>
          <w:trHeight w:val="124"/>
        </w:trPr>
        <w:tc>
          <w:tcPr>
            <w:tcW w:w="3360" w:type="dxa"/>
            <w:vAlign w:val="bottom"/>
            <w:shd w:val="clear" w:color="auto" w:fill="CCEEFF"/>
          </w:tcPr>
          <w:p>
            <w:pPr>
              <w:ind w:left="280"/>
              <w:spacing w:after="0" w:line="124" w:lineRule="exact"/>
              <w:rPr>
                <w:sz w:val="20"/>
                <w:szCs w:val="20"/>
                <w:color w:val="auto"/>
              </w:rPr>
            </w:pPr>
            <w:r>
              <w:rPr>
                <w:rFonts w:ascii="Arial" w:cs="Arial" w:eastAsia="Arial" w:hAnsi="Arial"/>
                <w:sz w:val="11"/>
                <w:szCs w:val="11"/>
                <w:color w:val="050505"/>
              </w:rPr>
              <w:t>Total cost of revenue</w:t>
            </w:r>
          </w:p>
        </w:tc>
        <w:tc>
          <w:tcPr>
            <w:tcW w:w="420" w:type="dxa"/>
            <w:vAlign w:val="bottom"/>
            <w:shd w:val="clear" w:color="auto" w:fill="CCEEFF"/>
          </w:tcPr>
          <w:p>
            <w:pPr>
              <w:spacing w:after="0"/>
              <w:rPr>
                <w:sz w:val="10"/>
                <w:szCs w:val="10"/>
                <w:color w:val="auto"/>
              </w:rPr>
            </w:pPr>
          </w:p>
        </w:tc>
        <w:tc>
          <w:tcPr>
            <w:tcW w:w="120" w:type="dxa"/>
            <w:vAlign w:val="bottom"/>
            <w:tcBorders>
              <w:bottom w:val="single" w:sz="8" w:color="auto"/>
            </w:tcBorders>
            <w:shd w:val="clear" w:color="auto" w:fill="CCEEFF"/>
          </w:tcPr>
          <w:p>
            <w:pPr>
              <w:spacing w:after="0"/>
              <w:rPr>
                <w:sz w:val="10"/>
                <w:szCs w:val="10"/>
                <w:color w:val="auto"/>
              </w:rPr>
            </w:pPr>
          </w:p>
        </w:tc>
        <w:tc>
          <w:tcPr>
            <w:tcW w:w="600" w:type="dxa"/>
            <w:vAlign w:val="bottom"/>
            <w:tcBorders>
              <w:bottom w:val="single" w:sz="8" w:color="auto"/>
            </w:tcBorders>
            <w:shd w:val="clear" w:color="auto" w:fill="CCEEFF"/>
          </w:tcPr>
          <w:p>
            <w:pPr>
              <w:jc w:val="right"/>
              <w:spacing w:after="0" w:line="124" w:lineRule="exact"/>
              <w:rPr>
                <w:sz w:val="20"/>
                <w:szCs w:val="20"/>
                <w:color w:val="auto"/>
              </w:rPr>
            </w:pPr>
            <w:r>
              <w:rPr>
                <w:rFonts w:ascii="Arial" w:cs="Arial" w:eastAsia="Arial" w:hAnsi="Arial"/>
                <w:sz w:val="11"/>
                <w:szCs w:val="11"/>
                <w:color w:val="050505"/>
              </w:rPr>
              <w:t>144.7</w:t>
            </w:r>
          </w:p>
        </w:tc>
        <w:tc>
          <w:tcPr>
            <w:tcW w:w="8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20" w:type="dxa"/>
            <w:vAlign w:val="bottom"/>
            <w:tcBorders>
              <w:bottom w:val="single" w:sz="8" w:color="auto"/>
            </w:tcBorders>
            <w:shd w:val="clear" w:color="auto" w:fill="CCEEFF"/>
          </w:tcPr>
          <w:p>
            <w:pPr>
              <w:spacing w:after="0"/>
              <w:rPr>
                <w:sz w:val="10"/>
                <w:szCs w:val="10"/>
                <w:color w:val="auto"/>
              </w:rPr>
            </w:pPr>
          </w:p>
        </w:tc>
        <w:tc>
          <w:tcPr>
            <w:tcW w:w="600" w:type="dxa"/>
            <w:vAlign w:val="bottom"/>
            <w:tcBorders>
              <w:bottom w:val="single" w:sz="8" w:color="auto"/>
            </w:tcBorders>
            <w:shd w:val="clear" w:color="auto" w:fill="CCEEFF"/>
          </w:tcPr>
          <w:p>
            <w:pPr>
              <w:jc w:val="right"/>
              <w:spacing w:after="0" w:line="124" w:lineRule="exact"/>
              <w:rPr>
                <w:sz w:val="20"/>
                <w:szCs w:val="20"/>
                <w:color w:val="auto"/>
              </w:rPr>
            </w:pPr>
            <w:r>
              <w:rPr>
                <w:rFonts w:ascii="Arial" w:cs="Arial" w:eastAsia="Arial" w:hAnsi="Arial"/>
                <w:sz w:val="11"/>
                <w:szCs w:val="11"/>
                <w:color w:val="050505"/>
              </w:rPr>
              <w:t>245.4</w:t>
            </w:r>
          </w:p>
        </w:tc>
        <w:tc>
          <w:tcPr>
            <w:tcW w:w="3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20" w:type="dxa"/>
            <w:vAlign w:val="bottom"/>
            <w:tcBorders>
              <w:bottom w:val="single" w:sz="8" w:color="auto"/>
            </w:tcBorders>
            <w:shd w:val="clear" w:color="auto" w:fill="CCEEFF"/>
          </w:tcPr>
          <w:p>
            <w:pPr>
              <w:spacing w:after="0"/>
              <w:rPr>
                <w:sz w:val="10"/>
                <w:szCs w:val="10"/>
                <w:color w:val="auto"/>
              </w:rPr>
            </w:pPr>
          </w:p>
        </w:tc>
        <w:tc>
          <w:tcPr>
            <w:tcW w:w="600" w:type="dxa"/>
            <w:vAlign w:val="bottom"/>
            <w:tcBorders>
              <w:bottom w:val="single" w:sz="8" w:color="auto"/>
            </w:tcBorders>
            <w:shd w:val="clear" w:color="auto" w:fill="CCEEFF"/>
          </w:tcPr>
          <w:p>
            <w:pPr>
              <w:jc w:val="right"/>
              <w:spacing w:after="0" w:line="124" w:lineRule="exact"/>
              <w:rPr>
                <w:sz w:val="20"/>
                <w:szCs w:val="20"/>
                <w:color w:val="auto"/>
              </w:rPr>
            </w:pPr>
            <w:r>
              <w:rPr>
                <w:rFonts w:ascii="Arial" w:cs="Arial" w:eastAsia="Arial" w:hAnsi="Arial"/>
                <w:sz w:val="11"/>
                <w:szCs w:val="11"/>
                <w:color w:val="050505"/>
              </w:rPr>
              <w:t>531.4</w:t>
            </w:r>
          </w:p>
        </w:tc>
        <w:tc>
          <w:tcPr>
            <w:tcW w:w="80" w:type="dxa"/>
            <w:vAlign w:val="bottom"/>
            <w:shd w:val="clear" w:color="auto" w:fill="CCEEFF"/>
          </w:tcPr>
          <w:p>
            <w:pPr>
              <w:spacing w:after="0"/>
              <w:rPr>
                <w:sz w:val="10"/>
                <w:szCs w:val="10"/>
                <w:color w:val="auto"/>
              </w:rPr>
            </w:pPr>
          </w:p>
        </w:tc>
      </w:tr>
      <w:tr>
        <w:trPr>
          <w:trHeight w:val="124"/>
        </w:trPr>
        <w:tc>
          <w:tcPr>
            <w:tcW w:w="3360" w:type="dxa"/>
            <w:vAlign w:val="bottom"/>
          </w:tcPr>
          <w:p>
            <w:pPr>
              <w:ind w:left="60"/>
              <w:spacing w:after="0" w:line="124" w:lineRule="exact"/>
              <w:rPr>
                <w:sz w:val="20"/>
                <w:szCs w:val="20"/>
                <w:color w:val="auto"/>
              </w:rPr>
            </w:pPr>
            <w:r>
              <w:rPr>
                <w:rFonts w:ascii="Arial" w:cs="Arial" w:eastAsia="Arial" w:hAnsi="Arial"/>
                <w:sz w:val="11"/>
                <w:szCs w:val="11"/>
                <w:color w:val="050505"/>
              </w:rPr>
              <w:t>Gross profit</w:t>
            </w:r>
          </w:p>
        </w:tc>
        <w:tc>
          <w:tcPr>
            <w:tcW w:w="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jc w:val="right"/>
              <w:spacing w:after="0" w:line="124" w:lineRule="exact"/>
              <w:rPr>
                <w:sz w:val="20"/>
                <w:szCs w:val="20"/>
                <w:color w:val="auto"/>
              </w:rPr>
            </w:pPr>
            <w:r>
              <w:rPr>
                <w:rFonts w:ascii="Arial" w:cs="Arial" w:eastAsia="Arial" w:hAnsi="Arial"/>
                <w:sz w:val="11"/>
                <w:szCs w:val="11"/>
                <w:color w:val="050505"/>
              </w:rPr>
              <w:t>73.9</w:t>
            </w: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jc w:val="right"/>
              <w:spacing w:after="0" w:line="124" w:lineRule="exact"/>
              <w:rPr>
                <w:sz w:val="20"/>
                <w:szCs w:val="20"/>
                <w:color w:val="auto"/>
              </w:rPr>
            </w:pPr>
            <w:r>
              <w:rPr>
                <w:rFonts w:ascii="Arial" w:cs="Arial" w:eastAsia="Arial" w:hAnsi="Arial"/>
                <w:sz w:val="11"/>
                <w:szCs w:val="11"/>
                <w:color w:val="050505"/>
              </w:rPr>
              <w:t>189.6</w:t>
            </w:r>
          </w:p>
        </w:tc>
        <w:tc>
          <w:tcPr>
            <w:tcW w:w="3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jc w:val="right"/>
              <w:spacing w:after="0" w:line="124" w:lineRule="exact"/>
              <w:rPr>
                <w:sz w:val="20"/>
                <w:szCs w:val="20"/>
                <w:color w:val="auto"/>
              </w:rPr>
            </w:pPr>
            <w:r>
              <w:rPr>
                <w:rFonts w:ascii="Arial" w:cs="Arial" w:eastAsia="Arial" w:hAnsi="Arial"/>
                <w:sz w:val="11"/>
                <w:szCs w:val="11"/>
                <w:color w:val="050505"/>
              </w:rPr>
              <w:t>383.6</w:t>
            </w:r>
          </w:p>
        </w:tc>
        <w:tc>
          <w:tcPr>
            <w:tcW w:w="80" w:type="dxa"/>
            <w:vAlign w:val="bottom"/>
          </w:tcPr>
          <w:p>
            <w:pPr>
              <w:spacing w:after="0"/>
              <w:rPr>
                <w:sz w:val="10"/>
                <w:szCs w:val="10"/>
                <w:color w:val="auto"/>
              </w:rPr>
            </w:pPr>
          </w:p>
        </w:tc>
      </w:tr>
      <w:tr>
        <w:trPr>
          <w:trHeight w:val="126"/>
        </w:trPr>
        <w:tc>
          <w:tcPr>
            <w:tcW w:w="3360" w:type="dxa"/>
            <w:vAlign w:val="bottom"/>
            <w:shd w:val="clear" w:color="auto" w:fill="CCEEFF"/>
          </w:tcPr>
          <w:p>
            <w:pPr>
              <w:ind w:left="60"/>
              <w:spacing w:after="0"/>
              <w:rPr>
                <w:sz w:val="20"/>
                <w:szCs w:val="20"/>
                <w:color w:val="auto"/>
              </w:rPr>
            </w:pPr>
            <w:r>
              <w:rPr>
                <w:rFonts w:ascii="Arial" w:cs="Arial" w:eastAsia="Arial" w:hAnsi="Arial"/>
                <w:sz w:val="11"/>
                <w:szCs w:val="11"/>
                <w:color w:val="050505"/>
              </w:rPr>
              <w:t>Operating expenses:</w:t>
            </w:r>
          </w:p>
        </w:tc>
        <w:tc>
          <w:tcPr>
            <w:tcW w:w="4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r>
      <w:tr>
        <w:trPr>
          <w:trHeight w:val="126"/>
        </w:trPr>
        <w:tc>
          <w:tcPr>
            <w:tcW w:w="3360" w:type="dxa"/>
            <w:vAlign w:val="bottom"/>
          </w:tcPr>
          <w:p>
            <w:pPr>
              <w:ind w:left="160"/>
              <w:spacing w:after="0" w:line="126" w:lineRule="exact"/>
              <w:rPr>
                <w:sz w:val="20"/>
                <w:szCs w:val="20"/>
                <w:color w:val="auto"/>
              </w:rPr>
            </w:pPr>
            <w:r>
              <w:rPr>
                <w:rFonts w:ascii="Arial" w:cs="Arial" w:eastAsia="Arial" w:hAnsi="Arial"/>
                <w:sz w:val="9"/>
                <w:szCs w:val="9"/>
                <w:color w:val="050505"/>
              </w:rPr>
              <w:t>Research and development</w:t>
            </w:r>
            <w:r>
              <w:rPr>
                <w:rFonts w:ascii="Arial" w:cs="Arial" w:eastAsia="Arial" w:hAnsi="Arial"/>
                <w:sz w:val="14"/>
                <w:szCs w:val="14"/>
                <w:color w:val="050505"/>
                <w:vertAlign w:val="superscript"/>
              </w:rPr>
              <w:t>(1)(2)</w:t>
            </w:r>
          </w:p>
        </w:tc>
        <w:tc>
          <w:tcPr>
            <w:tcW w:w="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050505"/>
              </w:rPr>
              <w:t>13.0</w:t>
            </w: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050505"/>
              </w:rPr>
              <w:t>23.4</w:t>
            </w:r>
          </w:p>
        </w:tc>
        <w:tc>
          <w:tcPr>
            <w:tcW w:w="3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050505"/>
              </w:rPr>
              <w:t>54.8</w:t>
            </w:r>
          </w:p>
        </w:tc>
        <w:tc>
          <w:tcPr>
            <w:tcW w:w="80" w:type="dxa"/>
            <w:vAlign w:val="bottom"/>
          </w:tcPr>
          <w:p>
            <w:pPr>
              <w:spacing w:after="0"/>
              <w:rPr>
                <w:sz w:val="10"/>
                <w:szCs w:val="10"/>
                <w:color w:val="auto"/>
              </w:rPr>
            </w:pPr>
          </w:p>
        </w:tc>
      </w:tr>
      <w:tr>
        <w:trPr>
          <w:trHeight w:val="126"/>
        </w:trPr>
        <w:tc>
          <w:tcPr>
            <w:tcW w:w="3360" w:type="dxa"/>
            <w:vAlign w:val="bottom"/>
            <w:shd w:val="clear" w:color="auto" w:fill="CCEEFF"/>
          </w:tcPr>
          <w:p>
            <w:pPr>
              <w:ind w:left="160"/>
              <w:spacing w:after="0" w:line="126" w:lineRule="exact"/>
              <w:rPr>
                <w:sz w:val="20"/>
                <w:szCs w:val="20"/>
                <w:color w:val="auto"/>
              </w:rPr>
            </w:pPr>
            <w:r>
              <w:rPr>
                <w:rFonts w:ascii="Arial" w:cs="Arial" w:eastAsia="Arial" w:hAnsi="Arial"/>
                <w:sz w:val="9"/>
                <w:szCs w:val="9"/>
                <w:color w:val="050505"/>
              </w:rPr>
              <w:t>Sales and marketing</w:t>
            </w:r>
            <w:r>
              <w:rPr>
                <w:rFonts w:ascii="Arial" w:cs="Arial" w:eastAsia="Arial" w:hAnsi="Arial"/>
                <w:sz w:val="14"/>
                <w:szCs w:val="14"/>
                <w:color w:val="050505"/>
                <w:vertAlign w:val="superscript"/>
              </w:rPr>
              <w:t>(1)(2)</w:t>
            </w:r>
          </w:p>
        </w:tc>
        <w:tc>
          <w:tcPr>
            <w:tcW w:w="4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1"/>
                <w:szCs w:val="11"/>
                <w:color w:val="050505"/>
              </w:rPr>
              <w:t>86.0</w:t>
            </w:r>
          </w:p>
        </w:tc>
        <w:tc>
          <w:tcPr>
            <w:tcW w:w="8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1"/>
                <w:szCs w:val="11"/>
                <w:color w:val="050505"/>
              </w:rPr>
              <w:t>151.4</w:t>
            </w:r>
          </w:p>
        </w:tc>
        <w:tc>
          <w:tcPr>
            <w:tcW w:w="3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1"/>
                <w:szCs w:val="11"/>
                <w:color w:val="050505"/>
              </w:rPr>
              <w:t>324.0</w:t>
            </w:r>
          </w:p>
        </w:tc>
        <w:tc>
          <w:tcPr>
            <w:tcW w:w="80" w:type="dxa"/>
            <w:vAlign w:val="bottom"/>
            <w:shd w:val="clear" w:color="auto" w:fill="CCEEFF"/>
          </w:tcPr>
          <w:p>
            <w:pPr>
              <w:spacing w:after="0"/>
              <w:rPr>
                <w:sz w:val="10"/>
                <w:szCs w:val="10"/>
                <w:color w:val="auto"/>
              </w:rPr>
            </w:pPr>
          </w:p>
        </w:tc>
      </w:tr>
      <w:tr>
        <w:trPr>
          <w:trHeight w:val="126"/>
        </w:trPr>
        <w:tc>
          <w:tcPr>
            <w:tcW w:w="3360" w:type="dxa"/>
            <w:vAlign w:val="bottom"/>
          </w:tcPr>
          <w:p>
            <w:pPr>
              <w:ind w:left="160"/>
              <w:spacing w:after="0" w:line="126" w:lineRule="exact"/>
              <w:rPr>
                <w:sz w:val="20"/>
                <w:szCs w:val="20"/>
                <w:color w:val="auto"/>
              </w:rPr>
            </w:pPr>
            <w:r>
              <w:rPr>
                <w:rFonts w:ascii="Arial" w:cs="Arial" w:eastAsia="Arial" w:hAnsi="Arial"/>
                <w:sz w:val="9"/>
                <w:szCs w:val="9"/>
                <w:color w:val="050505"/>
              </w:rPr>
              <w:t>General and administrative</w:t>
            </w:r>
            <w:r>
              <w:rPr>
                <w:rFonts w:ascii="Arial" w:cs="Arial" w:eastAsia="Arial" w:hAnsi="Arial"/>
                <w:sz w:val="14"/>
                <w:szCs w:val="14"/>
                <w:color w:val="050505"/>
                <w:vertAlign w:val="superscript"/>
              </w:rPr>
              <w:t>(1)(2)</w:t>
            </w:r>
          </w:p>
        </w:tc>
        <w:tc>
          <w:tcPr>
            <w:tcW w:w="42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050505"/>
              </w:rPr>
              <w:t>45.6</w:t>
            </w: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050505"/>
              </w:rPr>
              <w:t>62.4</w:t>
            </w:r>
          </w:p>
        </w:tc>
        <w:tc>
          <w:tcPr>
            <w:tcW w:w="3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050505"/>
              </w:rPr>
              <w:t>207.0</w:t>
            </w:r>
          </w:p>
        </w:tc>
        <w:tc>
          <w:tcPr>
            <w:tcW w:w="80" w:type="dxa"/>
            <w:vAlign w:val="bottom"/>
          </w:tcPr>
          <w:p>
            <w:pPr>
              <w:spacing w:after="0"/>
              <w:rPr>
                <w:sz w:val="10"/>
                <w:szCs w:val="10"/>
                <w:color w:val="auto"/>
              </w:rPr>
            </w:pPr>
          </w:p>
        </w:tc>
      </w:tr>
      <w:tr>
        <w:trPr>
          <w:trHeight w:val="124"/>
        </w:trPr>
        <w:tc>
          <w:tcPr>
            <w:tcW w:w="3360" w:type="dxa"/>
            <w:vAlign w:val="bottom"/>
            <w:shd w:val="clear" w:color="auto" w:fill="CCEEFF"/>
          </w:tcPr>
          <w:p>
            <w:pPr>
              <w:ind w:left="380"/>
              <w:spacing w:after="0" w:line="124" w:lineRule="exact"/>
              <w:rPr>
                <w:sz w:val="20"/>
                <w:szCs w:val="20"/>
                <w:color w:val="auto"/>
              </w:rPr>
            </w:pPr>
            <w:r>
              <w:rPr>
                <w:rFonts w:ascii="Arial" w:cs="Arial" w:eastAsia="Arial" w:hAnsi="Arial"/>
                <w:sz w:val="11"/>
                <w:szCs w:val="11"/>
                <w:color w:val="050505"/>
              </w:rPr>
              <w:t>Total operating expenses</w:t>
            </w:r>
          </w:p>
        </w:tc>
        <w:tc>
          <w:tcPr>
            <w:tcW w:w="420" w:type="dxa"/>
            <w:vAlign w:val="bottom"/>
            <w:shd w:val="clear" w:color="auto" w:fill="CCEEFF"/>
          </w:tcPr>
          <w:p>
            <w:pPr>
              <w:spacing w:after="0"/>
              <w:rPr>
                <w:sz w:val="10"/>
                <w:szCs w:val="10"/>
                <w:color w:val="auto"/>
              </w:rPr>
            </w:pPr>
          </w:p>
        </w:tc>
        <w:tc>
          <w:tcPr>
            <w:tcW w:w="120" w:type="dxa"/>
            <w:vAlign w:val="bottom"/>
            <w:tcBorders>
              <w:bottom w:val="single" w:sz="8" w:color="auto"/>
            </w:tcBorders>
            <w:shd w:val="clear" w:color="auto" w:fill="CCEEFF"/>
          </w:tcPr>
          <w:p>
            <w:pPr>
              <w:spacing w:after="0"/>
              <w:rPr>
                <w:sz w:val="10"/>
                <w:szCs w:val="10"/>
                <w:color w:val="auto"/>
              </w:rPr>
            </w:pPr>
          </w:p>
        </w:tc>
        <w:tc>
          <w:tcPr>
            <w:tcW w:w="600" w:type="dxa"/>
            <w:vAlign w:val="bottom"/>
            <w:tcBorders>
              <w:bottom w:val="single" w:sz="8" w:color="auto"/>
            </w:tcBorders>
            <w:shd w:val="clear" w:color="auto" w:fill="CCEEFF"/>
          </w:tcPr>
          <w:p>
            <w:pPr>
              <w:jc w:val="right"/>
              <w:spacing w:after="0" w:line="124" w:lineRule="exact"/>
              <w:rPr>
                <w:sz w:val="20"/>
                <w:szCs w:val="20"/>
                <w:color w:val="auto"/>
              </w:rPr>
            </w:pPr>
            <w:r>
              <w:rPr>
                <w:rFonts w:ascii="Arial" w:cs="Arial" w:eastAsia="Arial" w:hAnsi="Arial"/>
                <w:sz w:val="11"/>
                <w:szCs w:val="11"/>
                <w:color w:val="050505"/>
              </w:rPr>
              <w:t>144.7</w:t>
            </w:r>
          </w:p>
        </w:tc>
        <w:tc>
          <w:tcPr>
            <w:tcW w:w="8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20" w:type="dxa"/>
            <w:vAlign w:val="bottom"/>
            <w:tcBorders>
              <w:bottom w:val="single" w:sz="8" w:color="auto"/>
            </w:tcBorders>
            <w:shd w:val="clear" w:color="auto" w:fill="CCEEFF"/>
          </w:tcPr>
          <w:p>
            <w:pPr>
              <w:spacing w:after="0"/>
              <w:rPr>
                <w:sz w:val="10"/>
                <w:szCs w:val="10"/>
                <w:color w:val="auto"/>
              </w:rPr>
            </w:pPr>
          </w:p>
        </w:tc>
        <w:tc>
          <w:tcPr>
            <w:tcW w:w="600" w:type="dxa"/>
            <w:vAlign w:val="bottom"/>
            <w:tcBorders>
              <w:bottom w:val="single" w:sz="8" w:color="auto"/>
            </w:tcBorders>
            <w:shd w:val="clear" w:color="auto" w:fill="CCEEFF"/>
          </w:tcPr>
          <w:p>
            <w:pPr>
              <w:jc w:val="right"/>
              <w:spacing w:after="0" w:line="124" w:lineRule="exact"/>
              <w:rPr>
                <w:sz w:val="20"/>
                <w:szCs w:val="20"/>
                <w:color w:val="auto"/>
              </w:rPr>
            </w:pPr>
            <w:r>
              <w:rPr>
                <w:rFonts w:ascii="Arial" w:cs="Arial" w:eastAsia="Arial" w:hAnsi="Arial"/>
                <w:sz w:val="11"/>
                <w:szCs w:val="11"/>
                <w:color w:val="050505"/>
              </w:rPr>
              <w:t>237.1</w:t>
            </w:r>
          </w:p>
        </w:tc>
        <w:tc>
          <w:tcPr>
            <w:tcW w:w="3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20" w:type="dxa"/>
            <w:vAlign w:val="bottom"/>
            <w:tcBorders>
              <w:bottom w:val="single" w:sz="8" w:color="auto"/>
            </w:tcBorders>
            <w:shd w:val="clear" w:color="auto" w:fill="CCEEFF"/>
          </w:tcPr>
          <w:p>
            <w:pPr>
              <w:spacing w:after="0"/>
              <w:rPr>
                <w:sz w:val="10"/>
                <w:szCs w:val="10"/>
                <w:color w:val="auto"/>
              </w:rPr>
            </w:pPr>
          </w:p>
        </w:tc>
        <w:tc>
          <w:tcPr>
            <w:tcW w:w="600" w:type="dxa"/>
            <w:vAlign w:val="bottom"/>
            <w:tcBorders>
              <w:bottom w:val="single" w:sz="8" w:color="auto"/>
            </w:tcBorders>
            <w:shd w:val="clear" w:color="auto" w:fill="CCEEFF"/>
          </w:tcPr>
          <w:p>
            <w:pPr>
              <w:jc w:val="right"/>
              <w:spacing w:after="0" w:line="124" w:lineRule="exact"/>
              <w:rPr>
                <w:sz w:val="20"/>
                <w:szCs w:val="20"/>
                <w:color w:val="auto"/>
              </w:rPr>
            </w:pPr>
            <w:r>
              <w:rPr>
                <w:rFonts w:ascii="Arial" w:cs="Arial" w:eastAsia="Arial" w:hAnsi="Arial"/>
                <w:sz w:val="11"/>
                <w:szCs w:val="11"/>
                <w:color w:val="050505"/>
              </w:rPr>
              <w:t>585.8</w:t>
            </w:r>
          </w:p>
        </w:tc>
        <w:tc>
          <w:tcPr>
            <w:tcW w:w="80" w:type="dxa"/>
            <w:vAlign w:val="bottom"/>
            <w:shd w:val="clear" w:color="auto" w:fill="CCEEFF"/>
          </w:tcPr>
          <w:p>
            <w:pPr>
              <w:spacing w:after="0"/>
              <w:rPr>
                <w:sz w:val="10"/>
                <w:szCs w:val="10"/>
                <w:color w:val="auto"/>
              </w:rPr>
            </w:pPr>
          </w:p>
        </w:tc>
      </w:tr>
      <w:tr>
        <w:trPr>
          <w:trHeight w:val="124"/>
        </w:trPr>
        <w:tc>
          <w:tcPr>
            <w:tcW w:w="3360" w:type="dxa"/>
            <w:vAlign w:val="bottom"/>
          </w:tcPr>
          <w:p>
            <w:pPr>
              <w:ind w:left="60"/>
              <w:spacing w:after="0" w:line="124" w:lineRule="exact"/>
              <w:rPr>
                <w:sz w:val="20"/>
                <w:szCs w:val="20"/>
                <w:color w:val="auto"/>
              </w:rPr>
            </w:pPr>
            <w:r>
              <w:rPr>
                <w:rFonts w:ascii="Arial" w:cs="Arial" w:eastAsia="Arial" w:hAnsi="Arial"/>
                <w:sz w:val="11"/>
                <w:szCs w:val="11"/>
                <w:color w:val="050505"/>
              </w:rPr>
              <w:t>Loss from operations</w:t>
            </w:r>
          </w:p>
        </w:tc>
        <w:tc>
          <w:tcPr>
            <w:tcW w:w="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gridSpan w:val="2"/>
          </w:tcPr>
          <w:p>
            <w:pPr>
              <w:jc w:val="right"/>
              <w:ind w:right="40"/>
              <w:spacing w:after="0" w:line="124" w:lineRule="exact"/>
              <w:rPr>
                <w:sz w:val="20"/>
                <w:szCs w:val="20"/>
                <w:color w:val="auto"/>
              </w:rPr>
            </w:pPr>
            <w:r>
              <w:rPr>
                <w:rFonts w:ascii="Arial" w:cs="Arial" w:eastAsia="Arial" w:hAnsi="Arial"/>
                <w:sz w:val="11"/>
                <w:szCs w:val="11"/>
                <w:color w:val="050505"/>
              </w:rPr>
              <w:t>(70.7)</w:t>
            </w:r>
          </w:p>
        </w:tc>
        <w:tc>
          <w:tcPr>
            <w:tcW w:w="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80" w:type="dxa"/>
            <w:vAlign w:val="bottom"/>
            <w:gridSpan w:val="2"/>
          </w:tcPr>
          <w:p>
            <w:pPr>
              <w:jc w:val="right"/>
              <w:ind w:right="340"/>
              <w:spacing w:after="0" w:line="124" w:lineRule="exact"/>
              <w:rPr>
                <w:sz w:val="20"/>
                <w:szCs w:val="20"/>
                <w:color w:val="auto"/>
              </w:rPr>
            </w:pPr>
            <w:r>
              <w:rPr>
                <w:rFonts w:ascii="Arial" w:cs="Arial" w:eastAsia="Arial" w:hAnsi="Arial"/>
                <w:sz w:val="11"/>
                <w:szCs w:val="11"/>
                <w:color w:val="050505"/>
              </w:rPr>
              <w:t>(47.5)</w:t>
            </w: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gridSpan w:val="2"/>
          </w:tcPr>
          <w:p>
            <w:pPr>
              <w:jc w:val="right"/>
              <w:ind w:right="40"/>
              <w:spacing w:after="0" w:line="124" w:lineRule="exact"/>
              <w:rPr>
                <w:sz w:val="20"/>
                <w:szCs w:val="20"/>
                <w:color w:val="auto"/>
              </w:rPr>
            </w:pPr>
            <w:r>
              <w:rPr>
                <w:rFonts w:ascii="Arial" w:cs="Arial" w:eastAsia="Arial" w:hAnsi="Arial"/>
                <w:sz w:val="11"/>
                <w:szCs w:val="11"/>
                <w:color w:val="050505"/>
              </w:rPr>
              <w:t>(202.3)</w:t>
            </w:r>
          </w:p>
        </w:tc>
      </w:tr>
      <w:tr>
        <w:trPr>
          <w:trHeight w:val="126"/>
        </w:trPr>
        <w:tc>
          <w:tcPr>
            <w:tcW w:w="3360" w:type="dxa"/>
            <w:vAlign w:val="bottom"/>
            <w:shd w:val="clear" w:color="auto" w:fill="CCEEFF"/>
          </w:tcPr>
          <w:p>
            <w:pPr>
              <w:ind w:left="60"/>
              <w:spacing w:after="0"/>
              <w:rPr>
                <w:sz w:val="20"/>
                <w:szCs w:val="20"/>
                <w:color w:val="auto"/>
              </w:rPr>
            </w:pPr>
            <w:r>
              <w:rPr>
                <w:rFonts w:ascii="Arial" w:cs="Arial" w:eastAsia="Arial" w:hAnsi="Arial"/>
                <w:sz w:val="11"/>
                <w:szCs w:val="11"/>
                <w:color w:val="050505"/>
              </w:rPr>
              <w:t>Other (expense) income, net</w:t>
            </w:r>
          </w:p>
        </w:tc>
        <w:tc>
          <w:tcPr>
            <w:tcW w:w="4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050505"/>
              </w:rPr>
              <w:t>(0.3)</w:t>
            </w:r>
          </w:p>
        </w:tc>
        <w:tc>
          <w:tcPr>
            <w:tcW w:w="3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1"/>
                <w:szCs w:val="11"/>
                <w:color w:val="050505"/>
              </w:rPr>
              <w:t>(0.3)</w:t>
            </w:r>
          </w:p>
        </w:tc>
        <w:tc>
          <w:tcPr>
            <w:tcW w:w="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1"/>
                <w:szCs w:val="11"/>
                <w:color w:val="050505"/>
              </w:rPr>
              <w:t>6.7</w:t>
            </w:r>
          </w:p>
        </w:tc>
        <w:tc>
          <w:tcPr>
            <w:tcW w:w="80" w:type="dxa"/>
            <w:vAlign w:val="bottom"/>
            <w:shd w:val="clear" w:color="auto" w:fill="CCEEFF"/>
          </w:tcPr>
          <w:p>
            <w:pPr>
              <w:spacing w:after="0"/>
              <w:rPr>
                <w:sz w:val="10"/>
                <w:szCs w:val="10"/>
                <w:color w:val="auto"/>
              </w:rPr>
            </w:pPr>
          </w:p>
        </w:tc>
      </w:tr>
      <w:tr>
        <w:trPr>
          <w:trHeight w:val="20"/>
        </w:trPr>
        <w:tc>
          <w:tcPr>
            <w:tcW w:w="33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24"/>
        </w:trPr>
        <w:tc>
          <w:tcPr>
            <w:tcW w:w="3360" w:type="dxa"/>
            <w:vAlign w:val="bottom"/>
          </w:tcPr>
          <w:p>
            <w:pPr>
              <w:ind w:left="60"/>
              <w:spacing w:after="0" w:line="124" w:lineRule="exact"/>
              <w:rPr>
                <w:sz w:val="20"/>
                <w:szCs w:val="20"/>
                <w:color w:val="auto"/>
              </w:rPr>
            </w:pPr>
            <w:r>
              <w:rPr>
                <w:rFonts w:ascii="Arial" w:cs="Arial" w:eastAsia="Arial" w:hAnsi="Arial"/>
                <w:sz w:val="11"/>
                <w:szCs w:val="11"/>
                <w:color w:val="050505"/>
              </w:rPr>
              <w:t>Loss before provision for income taxes</w:t>
            </w:r>
          </w:p>
        </w:tc>
        <w:tc>
          <w:tcPr>
            <w:tcW w:w="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gridSpan w:val="2"/>
          </w:tcPr>
          <w:p>
            <w:pPr>
              <w:jc w:val="right"/>
              <w:ind w:right="40"/>
              <w:spacing w:after="0" w:line="124" w:lineRule="exact"/>
              <w:rPr>
                <w:sz w:val="20"/>
                <w:szCs w:val="20"/>
                <w:color w:val="auto"/>
              </w:rPr>
            </w:pPr>
            <w:r>
              <w:rPr>
                <w:rFonts w:ascii="Arial" w:cs="Arial" w:eastAsia="Arial" w:hAnsi="Arial"/>
                <w:sz w:val="11"/>
                <w:szCs w:val="11"/>
                <w:color w:val="050505"/>
              </w:rPr>
              <w:t>(71.1)</w:t>
            </w:r>
          </w:p>
        </w:tc>
        <w:tc>
          <w:tcPr>
            <w:tcW w:w="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80" w:type="dxa"/>
            <w:vAlign w:val="bottom"/>
            <w:gridSpan w:val="2"/>
          </w:tcPr>
          <w:p>
            <w:pPr>
              <w:jc w:val="right"/>
              <w:ind w:right="340"/>
              <w:spacing w:after="0" w:line="124" w:lineRule="exact"/>
              <w:rPr>
                <w:sz w:val="20"/>
                <w:szCs w:val="20"/>
                <w:color w:val="auto"/>
              </w:rPr>
            </w:pPr>
            <w:r>
              <w:rPr>
                <w:rFonts w:ascii="Arial" w:cs="Arial" w:eastAsia="Arial" w:hAnsi="Arial"/>
                <w:sz w:val="11"/>
                <w:szCs w:val="11"/>
                <w:color w:val="050505"/>
              </w:rPr>
              <w:t>(47.8)</w:t>
            </w: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gridSpan w:val="2"/>
          </w:tcPr>
          <w:p>
            <w:pPr>
              <w:jc w:val="right"/>
              <w:ind w:right="40"/>
              <w:spacing w:after="0" w:line="124" w:lineRule="exact"/>
              <w:rPr>
                <w:sz w:val="20"/>
                <w:szCs w:val="20"/>
                <w:color w:val="auto"/>
              </w:rPr>
            </w:pPr>
            <w:r>
              <w:rPr>
                <w:rFonts w:ascii="Arial" w:cs="Arial" w:eastAsia="Arial" w:hAnsi="Arial"/>
                <w:sz w:val="11"/>
                <w:szCs w:val="11"/>
                <w:color w:val="050505"/>
              </w:rPr>
              <w:t>(195.6)</w:t>
            </w:r>
          </w:p>
        </w:tc>
      </w:tr>
      <w:tr>
        <w:trPr>
          <w:trHeight w:val="20"/>
        </w:trPr>
        <w:tc>
          <w:tcPr>
            <w:tcW w:w="33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24"/>
        </w:trPr>
        <w:tc>
          <w:tcPr>
            <w:tcW w:w="3360" w:type="dxa"/>
            <w:vAlign w:val="bottom"/>
            <w:shd w:val="clear" w:color="auto" w:fill="CCEEFF"/>
          </w:tcPr>
          <w:p>
            <w:pPr>
              <w:ind w:left="60"/>
              <w:spacing w:after="0" w:line="124" w:lineRule="exact"/>
              <w:rPr>
                <w:sz w:val="20"/>
                <w:szCs w:val="20"/>
                <w:color w:val="auto"/>
              </w:rPr>
            </w:pPr>
            <w:r>
              <w:rPr>
                <w:rFonts w:ascii="Arial" w:cs="Arial" w:eastAsia="Arial" w:hAnsi="Arial"/>
                <w:sz w:val="11"/>
                <w:szCs w:val="11"/>
                <w:color w:val="050505"/>
              </w:rPr>
              <w:t>Provision for income taxes</w:t>
            </w:r>
          </w:p>
        </w:tc>
        <w:tc>
          <w:tcPr>
            <w:tcW w:w="4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80" w:type="dxa"/>
            <w:vAlign w:val="bottom"/>
            <w:gridSpan w:val="2"/>
            <w:shd w:val="clear" w:color="auto" w:fill="CCEEFF"/>
          </w:tcPr>
          <w:p>
            <w:pPr>
              <w:jc w:val="right"/>
              <w:ind w:right="80"/>
              <w:spacing w:after="0" w:line="124" w:lineRule="exact"/>
              <w:rPr>
                <w:sz w:val="20"/>
                <w:szCs w:val="20"/>
                <w:color w:val="auto"/>
              </w:rPr>
            </w:pPr>
            <w:r>
              <w:rPr>
                <w:rFonts w:ascii="Arial" w:cs="Arial" w:eastAsia="Arial" w:hAnsi="Arial"/>
                <w:sz w:val="11"/>
                <w:szCs w:val="11"/>
                <w:color w:val="050505"/>
              </w:rPr>
              <w:t>—</w:t>
            </w:r>
          </w:p>
        </w:tc>
        <w:tc>
          <w:tcPr>
            <w:tcW w:w="3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0" w:type="dxa"/>
            <w:vAlign w:val="bottom"/>
            <w:shd w:val="clear" w:color="auto" w:fill="CCEEFF"/>
          </w:tcPr>
          <w:p>
            <w:pPr>
              <w:jc w:val="right"/>
              <w:spacing w:after="0" w:line="124" w:lineRule="exact"/>
              <w:rPr>
                <w:sz w:val="20"/>
                <w:szCs w:val="20"/>
                <w:color w:val="auto"/>
              </w:rPr>
            </w:pPr>
            <w:r>
              <w:rPr>
                <w:rFonts w:ascii="Arial" w:cs="Arial" w:eastAsia="Arial" w:hAnsi="Arial"/>
                <w:sz w:val="11"/>
                <w:szCs w:val="11"/>
                <w:color w:val="050505"/>
              </w:rPr>
              <w:t>0.1</w:t>
            </w:r>
          </w:p>
        </w:tc>
        <w:tc>
          <w:tcPr>
            <w:tcW w:w="3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0" w:type="dxa"/>
            <w:vAlign w:val="bottom"/>
            <w:shd w:val="clear" w:color="auto" w:fill="CCEEFF"/>
          </w:tcPr>
          <w:p>
            <w:pPr>
              <w:jc w:val="right"/>
              <w:spacing w:after="0" w:line="124" w:lineRule="exact"/>
              <w:rPr>
                <w:sz w:val="20"/>
                <w:szCs w:val="20"/>
                <w:color w:val="auto"/>
              </w:rPr>
            </w:pPr>
            <w:r>
              <w:rPr>
                <w:rFonts w:ascii="Arial" w:cs="Arial" w:eastAsia="Arial" w:hAnsi="Arial"/>
                <w:sz w:val="11"/>
                <w:szCs w:val="11"/>
                <w:color w:val="050505"/>
              </w:rPr>
              <w:t>0.1</w:t>
            </w:r>
          </w:p>
        </w:tc>
        <w:tc>
          <w:tcPr>
            <w:tcW w:w="80" w:type="dxa"/>
            <w:vAlign w:val="bottom"/>
            <w:shd w:val="clear" w:color="auto" w:fill="CCEEFF"/>
          </w:tcPr>
          <w:p>
            <w:pPr>
              <w:spacing w:after="0"/>
              <w:rPr>
                <w:sz w:val="10"/>
                <w:szCs w:val="10"/>
                <w:color w:val="auto"/>
              </w:rPr>
            </w:pPr>
          </w:p>
        </w:tc>
      </w:tr>
      <w:tr>
        <w:trPr>
          <w:trHeight w:val="20"/>
        </w:trPr>
        <w:tc>
          <w:tcPr>
            <w:tcW w:w="33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24"/>
        </w:trPr>
        <w:tc>
          <w:tcPr>
            <w:tcW w:w="3360" w:type="dxa"/>
            <w:vAlign w:val="bottom"/>
          </w:tcPr>
          <w:p>
            <w:pPr>
              <w:ind w:left="60"/>
              <w:spacing w:after="0" w:line="124" w:lineRule="exact"/>
              <w:rPr>
                <w:sz w:val="20"/>
                <w:szCs w:val="20"/>
                <w:color w:val="auto"/>
              </w:rPr>
            </w:pPr>
            <w:r>
              <w:rPr>
                <w:rFonts w:ascii="Arial" w:cs="Arial" w:eastAsia="Arial" w:hAnsi="Arial"/>
                <w:sz w:val="11"/>
                <w:szCs w:val="11"/>
                <w:color w:val="050505"/>
              </w:rPr>
              <w:t>Net loss</w:t>
            </w:r>
          </w:p>
        </w:tc>
        <w:tc>
          <w:tcPr>
            <w:tcW w:w="540" w:type="dxa"/>
            <w:vAlign w:val="bottom"/>
            <w:gridSpan w:val="2"/>
          </w:tcPr>
          <w:p>
            <w:pPr>
              <w:jc w:val="right"/>
              <w:ind w:right="60"/>
              <w:spacing w:after="0" w:line="124" w:lineRule="exact"/>
              <w:rPr>
                <w:sz w:val="20"/>
                <w:szCs w:val="20"/>
                <w:color w:val="auto"/>
              </w:rPr>
            </w:pPr>
            <w:r>
              <w:rPr>
                <w:rFonts w:ascii="Arial" w:cs="Arial" w:eastAsia="Arial" w:hAnsi="Arial"/>
                <w:sz w:val="11"/>
                <w:szCs w:val="11"/>
                <w:color w:val="050505"/>
              </w:rPr>
              <w:t>$</w:t>
            </w:r>
          </w:p>
        </w:tc>
        <w:tc>
          <w:tcPr>
            <w:tcW w:w="680" w:type="dxa"/>
            <w:vAlign w:val="bottom"/>
            <w:gridSpan w:val="2"/>
          </w:tcPr>
          <w:p>
            <w:pPr>
              <w:jc w:val="right"/>
              <w:ind w:right="40"/>
              <w:spacing w:after="0" w:line="124" w:lineRule="exact"/>
              <w:rPr>
                <w:sz w:val="20"/>
                <w:szCs w:val="20"/>
                <w:color w:val="auto"/>
              </w:rPr>
            </w:pPr>
            <w:r>
              <w:rPr>
                <w:rFonts w:ascii="Arial" w:cs="Arial" w:eastAsia="Arial" w:hAnsi="Arial"/>
                <w:sz w:val="11"/>
                <w:szCs w:val="11"/>
                <w:color w:val="050505"/>
              </w:rPr>
              <w:t>(71.1)</w:t>
            </w:r>
          </w:p>
        </w:tc>
        <w:tc>
          <w:tcPr>
            <w:tcW w:w="480" w:type="dxa"/>
            <w:vAlign w:val="bottom"/>
            <w:gridSpan w:val="2"/>
          </w:tcPr>
          <w:p>
            <w:pPr>
              <w:jc w:val="right"/>
              <w:ind w:right="60"/>
              <w:spacing w:after="0" w:line="124" w:lineRule="exact"/>
              <w:rPr>
                <w:sz w:val="20"/>
                <w:szCs w:val="20"/>
                <w:color w:val="auto"/>
              </w:rPr>
            </w:pPr>
            <w:r>
              <w:rPr>
                <w:rFonts w:ascii="Arial" w:cs="Arial" w:eastAsia="Arial" w:hAnsi="Arial"/>
                <w:sz w:val="11"/>
                <w:szCs w:val="11"/>
                <w:color w:val="050505"/>
              </w:rPr>
              <w:t>$</w:t>
            </w:r>
          </w:p>
        </w:tc>
        <w:tc>
          <w:tcPr>
            <w:tcW w:w="980" w:type="dxa"/>
            <w:vAlign w:val="bottom"/>
            <w:gridSpan w:val="2"/>
          </w:tcPr>
          <w:p>
            <w:pPr>
              <w:jc w:val="right"/>
              <w:ind w:right="340"/>
              <w:spacing w:after="0" w:line="124" w:lineRule="exact"/>
              <w:rPr>
                <w:sz w:val="20"/>
                <w:szCs w:val="20"/>
                <w:color w:val="auto"/>
              </w:rPr>
            </w:pPr>
            <w:r>
              <w:rPr>
                <w:rFonts w:ascii="Arial" w:cs="Arial" w:eastAsia="Arial" w:hAnsi="Arial"/>
                <w:sz w:val="11"/>
                <w:szCs w:val="11"/>
                <w:color w:val="050505"/>
              </w:rPr>
              <w:t>(47.9)</w:t>
            </w:r>
          </w:p>
        </w:tc>
        <w:tc>
          <w:tcPr>
            <w:tcW w:w="180" w:type="dxa"/>
            <w:vAlign w:val="bottom"/>
            <w:gridSpan w:val="2"/>
          </w:tcPr>
          <w:p>
            <w:pPr>
              <w:jc w:val="right"/>
              <w:ind w:right="60"/>
              <w:spacing w:after="0" w:line="124" w:lineRule="exact"/>
              <w:rPr>
                <w:sz w:val="20"/>
                <w:szCs w:val="20"/>
                <w:color w:val="auto"/>
              </w:rPr>
            </w:pPr>
            <w:r>
              <w:rPr>
                <w:rFonts w:ascii="Arial" w:cs="Arial" w:eastAsia="Arial" w:hAnsi="Arial"/>
                <w:sz w:val="11"/>
                <w:szCs w:val="11"/>
                <w:color w:val="050505"/>
              </w:rPr>
              <w:t>$</w:t>
            </w:r>
          </w:p>
        </w:tc>
        <w:tc>
          <w:tcPr>
            <w:tcW w:w="680" w:type="dxa"/>
            <w:vAlign w:val="bottom"/>
            <w:gridSpan w:val="2"/>
          </w:tcPr>
          <w:p>
            <w:pPr>
              <w:jc w:val="right"/>
              <w:ind w:right="40"/>
              <w:spacing w:after="0" w:line="124" w:lineRule="exact"/>
              <w:rPr>
                <w:sz w:val="20"/>
                <w:szCs w:val="20"/>
                <w:color w:val="auto"/>
              </w:rPr>
            </w:pPr>
            <w:r>
              <w:rPr>
                <w:rFonts w:ascii="Arial" w:cs="Arial" w:eastAsia="Arial" w:hAnsi="Arial"/>
                <w:sz w:val="11"/>
                <w:szCs w:val="11"/>
                <w:color w:val="050505"/>
              </w:rPr>
              <w:t>(195.6)</w:t>
            </w:r>
          </w:p>
        </w:tc>
      </w:tr>
      <w:tr>
        <w:trPr>
          <w:trHeight w:val="32"/>
        </w:trPr>
        <w:tc>
          <w:tcPr>
            <w:tcW w:w="33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138"/>
        </w:trPr>
        <w:tc>
          <w:tcPr>
            <w:tcW w:w="3360" w:type="dxa"/>
            <w:vAlign w:val="bottom"/>
            <w:shd w:val="clear" w:color="auto" w:fill="CCEEFF"/>
          </w:tcPr>
          <w:p>
            <w:pPr>
              <w:ind w:left="60"/>
              <w:spacing w:after="0"/>
              <w:rPr>
                <w:sz w:val="20"/>
                <w:szCs w:val="20"/>
                <w:color w:val="auto"/>
              </w:rPr>
            </w:pPr>
            <w:r>
              <w:rPr>
                <w:rFonts w:ascii="Arial" w:cs="Arial" w:eastAsia="Arial" w:hAnsi="Arial"/>
                <w:sz w:val="11"/>
                <w:szCs w:val="11"/>
                <w:color w:val="050505"/>
              </w:rPr>
              <w:t>Net loss attributable to common stockholders</w:t>
            </w: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050505"/>
              </w:rPr>
              <w:t>$</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050505"/>
              </w:rPr>
              <w:t>(163.4)</w:t>
            </w: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050505"/>
              </w:rPr>
              <w:t>$</w:t>
            </w: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1"/>
                <w:szCs w:val="11"/>
                <w:color w:val="050505"/>
              </w:rPr>
              <w:t>(47.9)</w:t>
            </w:r>
          </w:p>
        </w:tc>
        <w:tc>
          <w:tcPr>
            <w:tcW w:w="18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050505"/>
              </w:rPr>
              <w:t>$</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050505"/>
              </w:rPr>
              <w:t>(245.7)</w:t>
            </w:r>
          </w:p>
        </w:tc>
      </w:tr>
      <w:tr>
        <w:trPr>
          <w:trHeight w:val="133"/>
        </w:trPr>
        <w:tc>
          <w:tcPr>
            <w:tcW w:w="3360" w:type="dxa"/>
            <w:vAlign w:val="bottom"/>
          </w:tcPr>
          <w:p>
            <w:pPr>
              <w:ind w:left="60"/>
              <w:spacing w:after="0"/>
              <w:rPr>
                <w:sz w:val="20"/>
                <w:szCs w:val="20"/>
                <w:color w:val="auto"/>
              </w:rPr>
            </w:pPr>
            <w:r>
              <w:rPr>
                <w:rFonts w:ascii="Arial" w:cs="Arial" w:eastAsia="Arial" w:hAnsi="Arial"/>
                <w:sz w:val="11"/>
                <w:szCs w:val="11"/>
                <w:color w:val="050505"/>
              </w:rPr>
              <w:t>Net loss per share attributable to common stockholders, basic and</w:t>
            </w:r>
          </w:p>
        </w:tc>
        <w:tc>
          <w:tcPr>
            <w:tcW w:w="42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r>
      <w:tr>
        <w:trPr>
          <w:trHeight w:val="140"/>
        </w:trPr>
        <w:tc>
          <w:tcPr>
            <w:tcW w:w="3360" w:type="dxa"/>
            <w:vAlign w:val="bottom"/>
          </w:tcPr>
          <w:p>
            <w:pPr>
              <w:ind w:left="160"/>
              <w:spacing w:after="0" w:line="129" w:lineRule="exact"/>
              <w:rPr>
                <w:sz w:val="20"/>
                <w:szCs w:val="20"/>
                <w:color w:val="auto"/>
              </w:rPr>
            </w:pPr>
            <w:r>
              <w:rPr>
                <w:rFonts w:ascii="Arial" w:cs="Arial" w:eastAsia="Arial" w:hAnsi="Arial"/>
                <w:sz w:val="9"/>
                <w:szCs w:val="9"/>
                <w:color w:val="050505"/>
              </w:rPr>
              <w:t>diluted</w:t>
            </w:r>
            <w:r>
              <w:rPr>
                <w:rFonts w:ascii="Arial" w:cs="Arial" w:eastAsia="Arial" w:hAnsi="Arial"/>
                <w:sz w:val="14"/>
                <w:szCs w:val="14"/>
                <w:color w:val="050505"/>
                <w:vertAlign w:val="superscript"/>
              </w:rPr>
              <w:t>(4)</w:t>
            </w:r>
          </w:p>
        </w:tc>
        <w:tc>
          <w:tcPr>
            <w:tcW w:w="540" w:type="dxa"/>
            <w:vAlign w:val="bottom"/>
            <w:gridSpan w:val="2"/>
          </w:tcPr>
          <w:p>
            <w:pPr>
              <w:jc w:val="right"/>
              <w:ind w:right="60"/>
              <w:spacing w:after="0"/>
              <w:rPr>
                <w:sz w:val="20"/>
                <w:szCs w:val="20"/>
                <w:color w:val="auto"/>
              </w:rPr>
            </w:pPr>
            <w:r>
              <w:rPr>
                <w:rFonts w:ascii="Arial" w:cs="Arial" w:eastAsia="Arial" w:hAnsi="Arial"/>
                <w:sz w:val="11"/>
                <w:szCs w:val="11"/>
                <w:color w:val="050505"/>
              </w:rPr>
              <w:t>$</w:t>
            </w:r>
          </w:p>
        </w:tc>
        <w:tc>
          <w:tcPr>
            <w:tcW w:w="680" w:type="dxa"/>
            <w:vAlign w:val="bottom"/>
            <w:gridSpan w:val="2"/>
          </w:tcPr>
          <w:p>
            <w:pPr>
              <w:jc w:val="right"/>
              <w:ind w:right="40"/>
              <w:spacing w:after="0"/>
              <w:rPr>
                <w:sz w:val="20"/>
                <w:szCs w:val="20"/>
                <w:color w:val="auto"/>
              </w:rPr>
            </w:pPr>
            <w:r>
              <w:rPr>
                <w:rFonts w:ascii="Arial" w:cs="Arial" w:eastAsia="Arial" w:hAnsi="Arial"/>
                <w:sz w:val="11"/>
                <w:szCs w:val="11"/>
                <w:color w:val="050505"/>
              </w:rPr>
              <w:t>(5.97)</w:t>
            </w:r>
          </w:p>
        </w:tc>
        <w:tc>
          <w:tcPr>
            <w:tcW w:w="480" w:type="dxa"/>
            <w:vAlign w:val="bottom"/>
            <w:gridSpan w:val="2"/>
          </w:tcPr>
          <w:p>
            <w:pPr>
              <w:jc w:val="right"/>
              <w:ind w:right="60"/>
              <w:spacing w:after="0"/>
              <w:rPr>
                <w:sz w:val="20"/>
                <w:szCs w:val="20"/>
                <w:color w:val="auto"/>
              </w:rPr>
            </w:pPr>
            <w:r>
              <w:rPr>
                <w:rFonts w:ascii="Arial" w:cs="Arial" w:eastAsia="Arial" w:hAnsi="Arial"/>
                <w:sz w:val="11"/>
                <w:szCs w:val="11"/>
                <w:color w:val="050505"/>
              </w:rPr>
              <w:t>$</w:t>
            </w:r>
          </w:p>
        </w:tc>
        <w:tc>
          <w:tcPr>
            <w:tcW w:w="980" w:type="dxa"/>
            <w:vAlign w:val="bottom"/>
            <w:gridSpan w:val="2"/>
          </w:tcPr>
          <w:p>
            <w:pPr>
              <w:jc w:val="right"/>
              <w:ind w:right="340"/>
              <w:spacing w:after="0"/>
              <w:rPr>
                <w:sz w:val="20"/>
                <w:szCs w:val="20"/>
                <w:color w:val="auto"/>
              </w:rPr>
            </w:pPr>
            <w:r>
              <w:rPr>
                <w:rFonts w:ascii="Arial" w:cs="Arial" w:eastAsia="Arial" w:hAnsi="Arial"/>
                <w:sz w:val="11"/>
                <w:szCs w:val="11"/>
                <w:color w:val="050505"/>
              </w:rPr>
              <w:t>(2.18)</w:t>
            </w:r>
          </w:p>
        </w:tc>
        <w:tc>
          <w:tcPr>
            <w:tcW w:w="180" w:type="dxa"/>
            <w:vAlign w:val="bottom"/>
            <w:gridSpan w:val="2"/>
          </w:tcPr>
          <w:p>
            <w:pPr>
              <w:jc w:val="right"/>
              <w:ind w:right="60"/>
              <w:spacing w:after="0"/>
              <w:rPr>
                <w:sz w:val="20"/>
                <w:szCs w:val="20"/>
                <w:color w:val="auto"/>
              </w:rPr>
            </w:pPr>
            <w:r>
              <w:rPr>
                <w:rFonts w:ascii="Arial" w:cs="Arial" w:eastAsia="Arial" w:hAnsi="Arial"/>
                <w:sz w:val="11"/>
                <w:szCs w:val="11"/>
                <w:color w:val="050505"/>
              </w:rPr>
              <w:t>$</w:t>
            </w:r>
          </w:p>
        </w:tc>
        <w:tc>
          <w:tcPr>
            <w:tcW w:w="680" w:type="dxa"/>
            <w:vAlign w:val="bottom"/>
            <w:gridSpan w:val="2"/>
          </w:tcPr>
          <w:p>
            <w:pPr>
              <w:jc w:val="right"/>
              <w:ind w:right="40"/>
              <w:spacing w:after="0"/>
              <w:rPr>
                <w:sz w:val="20"/>
                <w:szCs w:val="20"/>
                <w:color w:val="auto"/>
              </w:rPr>
            </w:pPr>
            <w:r>
              <w:rPr>
                <w:rFonts w:ascii="Arial" w:cs="Arial" w:eastAsia="Arial" w:hAnsi="Arial"/>
                <w:sz w:val="11"/>
                <w:szCs w:val="11"/>
                <w:color w:val="050505"/>
              </w:rPr>
              <w:t>(10.72)</w:t>
            </w:r>
          </w:p>
        </w:tc>
      </w:tr>
      <w:tr>
        <w:trPr>
          <w:trHeight w:val="138"/>
        </w:trPr>
        <w:tc>
          <w:tcPr>
            <w:tcW w:w="3360" w:type="dxa"/>
            <w:vAlign w:val="bottom"/>
            <w:shd w:val="clear" w:color="auto" w:fill="CCEEFF"/>
          </w:tcPr>
          <w:p>
            <w:pPr>
              <w:ind w:left="60"/>
              <w:spacing w:after="0" w:line="131" w:lineRule="exact"/>
              <w:rPr>
                <w:sz w:val="20"/>
                <w:szCs w:val="20"/>
                <w:color w:val="auto"/>
              </w:rPr>
            </w:pPr>
            <w:r>
              <w:rPr>
                <w:rFonts w:ascii="Arial" w:cs="Arial" w:eastAsia="Arial" w:hAnsi="Arial"/>
                <w:sz w:val="9"/>
                <w:szCs w:val="9"/>
                <w:color w:val="050505"/>
              </w:rPr>
              <w:t>Weighted-average common shares outstanding, basic and diluted</w:t>
            </w:r>
            <w:r>
              <w:rPr>
                <w:rFonts w:ascii="Arial" w:cs="Arial" w:eastAsia="Arial" w:hAnsi="Arial"/>
                <w:sz w:val="15"/>
                <w:szCs w:val="15"/>
                <w:color w:val="050505"/>
                <w:vertAlign w:val="superscript"/>
              </w:rPr>
              <w:t>(4)</w:t>
            </w:r>
          </w:p>
        </w:tc>
        <w:tc>
          <w:tcPr>
            <w:tcW w:w="420" w:type="dxa"/>
            <w:vAlign w:val="bottom"/>
            <w:shd w:val="clear" w:color="auto" w:fill="CCEEFF"/>
          </w:tcPr>
          <w:p>
            <w:pPr>
              <w:spacing w:after="0"/>
              <w:rPr>
                <w:sz w:val="11"/>
                <w:szCs w:val="11"/>
                <w:color w:val="auto"/>
              </w:rPr>
            </w:pPr>
          </w:p>
        </w:tc>
        <w:tc>
          <w:tcPr>
            <w:tcW w:w="120" w:type="dxa"/>
            <w:vAlign w:val="bottom"/>
            <w:tcBorders>
              <w:top w:val="single" w:sz="8" w:color="auto"/>
              <w:bottom w:val="single" w:sz="8" w:color="auto"/>
            </w:tcBorders>
            <w:shd w:val="clear" w:color="auto" w:fill="CCEEFF"/>
          </w:tcPr>
          <w:p>
            <w:pPr>
              <w:spacing w:after="0"/>
              <w:rPr>
                <w:sz w:val="11"/>
                <w:szCs w:val="11"/>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050505"/>
              </w:rPr>
              <w:t>27,379,789</w:t>
            </w:r>
          </w:p>
        </w:tc>
        <w:tc>
          <w:tcPr>
            <w:tcW w:w="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20" w:type="dxa"/>
            <w:vAlign w:val="bottom"/>
            <w:tcBorders>
              <w:top w:val="single" w:sz="8" w:color="auto"/>
              <w:bottom w:val="single" w:sz="8" w:color="auto"/>
            </w:tcBorders>
            <w:shd w:val="clear" w:color="auto" w:fill="CCEEFF"/>
          </w:tcPr>
          <w:p>
            <w:pPr>
              <w:spacing w:after="0"/>
              <w:rPr>
                <w:sz w:val="11"/>
                <w:szCs w:val="11"/>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050505"/>
              </w:rPr>
              <w:t>21,934,228</w:t>
            </w:r>
          </w:p>
        </w:tc>
        <w:tc>
          <w:tcPr>
            <w:tcW w:w="3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tcBorders>
              <w:top w:val="single" w:sz="8" w:color="auto"/>
              <w:bottom w:val="single" w:sz="8" w:color="auto"/>
            </w:tcBorders>
            <w:shd w:val="clear" w:color="auto" w:fill="CCEEFF"/>
          </w:tcPr>
          <w:p>
            <w:pPr>
              <w:spacing w:after="0"/>
              <w:rPr>
                <w:sz w:val="11"/>
                <w:szCs w:val="11"/>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050505"/>
              </w:rPr>
              <w:t>22,911,764</w:t>
            </w:r>
          </w:p>
        </w:tc>
        <w:tc>
          <w:tcPr>
            <w:tcW w:w="80" w:type="dxa"/>
            <w:vAlign w:val="bottom"/>
            <w:shd w:val="clear" w:color="auto" w:fill="CCEEFF"/>
          </w:tcPr>
          <w:p>
            <w:pPr>
              <w:spacing w:after="0"/>
              <w:rPr>
                <w:sz w:val="11"/>
                <w:szCs w:val="11"/>
                <w:color w:val="auto"/>
              </w:rPr>
            </w:pPr>
          </w:p>
        </w:tc>
      </w:tr>
      <w:tr>
        <w:trPr>
          <w:trHeight w:val="500"/>
        </w:trPr>
        <w:tc>
          <w:tcPr>
            <w:tcW w:w="3360" w:type="dxa"/>
            <w:vAlign w:val="bottom"/>
          </w:tcPr>
          <w:p>
            <w:pPr>
              <w:spacing w:after="0"/>
              <w:rPr>
                <w:sz w:val="24"/>
                <w:szCs w:val="24"/>
                <w:color w:val="auto"/>
              </w:rPr>
            </w:pPr>
          </w:p>
        </w:tc>
        <w:tc>
          <w:tcPr>
            <w:tcW w:w="420" w:type="dxa"/>
            <w:vAlign w:val="bottom"/>
          </w:tcPr>
          <w:p>
            <w:pPr>
              <w:jc w:val="right"/>
              <w:ind w:right="206"/>
              <w:spacing w:after="0"/>
              <w:rPr>
                <w:sz w:val="20"/>
                <w:szCs w:val="20"/>
                <w:color w:val="auto"/>
              </w:rPr>
            </w:pPr>
            <w:r>
              <w:rPr>
                <w:rFonts w:ascii="Arial" w:cs="Arial" w:eastAsia="Arial" w:hAnsi="Arial"/>
                <w:sz w:val="11"/>
                <w:szCs w:val="11"/>
                <w:color w:val="050505"/>
              </w:rPr>
              <w:t>12</w:t>
            </w: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r>
    </w:tbl>
    <w:p>
      <w:pPr>
        <w:sectPr>
          <w:pgSz w:w="11900" w:h="16838" w:orient="portrait"/>
          <w:cols w:equalWidth="0" w:num="1">
            <w:col w:w="10239"/>
          </w:cols>
          <w:pgMar w:left="220" w:top="354" w:right="1440" w:bottom="1440" w:gutter="0" w:footer="0" w:header="0"/>
        </w:sectPr>
      </w:pPr>
    </w:p>
    <w:bookmarkStart w:id="17" w:name="page18"/>
    <w:bookmarkEnd w:id="17"/>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hyperlink w:anchor="page5">
        <w:r>
          <w:rPr>
            <w:rFonts w:ascii="Arial" w:cs="Arial" w:eastAsia="Arial" w:hAnsi="Arial"/>
            <w:sz w:val="12"/>
            <w:szCs w:val="12"/>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1306830</wp:posOffset>
            </wp:positionH>
            <wp:positionV relativeFrom="paragraph">
              <wp:posOffset>132715</wp:posOffset>
            </wp:positionV>
            <wp:extent cx="4674235" cy="42164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4674235" cy="4216400"/>
                    </a:xfrm>
                    <a:prstGeom prst="rect">
                      <a:avLst/>
                    </a:prstGeom>
                    <a:noFill/>
                  </pic:spPr>
                </pic:pic>
              </a:graphicData>
            </a:graphic>
          </wp:anchor>
        </w:drawing>
      </w:r>
    </w:p>
    <w:p>
      <w:pPr>
        <w:spacing w:after="0" w:line="310" w:lineRule="exact"/>
        <w:rPr>
          <w:sz w:val="20"/>
          <w:szCs w:val="20"/>
          <w:color w:val="auto"/>
        </w:rPr>
      </w:pPr>
    </w:p>
    <w:tbl>
      <w:tblPr>
        <w:tblLayout w:type="fixed"/>
        <w:tblInd w:w="2280" w:type="dxa"/>
        <w:tblCellMar>
          <w:top w:w="0" w:type="dxa"/>
          <w:left w:w="0" w:type="dxa"/>
          <w:bottom w:w="0" w:type="dxa"/>
          <w:right w:w="0" w:type="dxa"/>
        </w:tblCellMar>
      </w:tblPr>
      <w:tr>
        <w:trPr>
          <w:trHeight w:val="137"/>
        </w:trPr>
        <w:tc>
          <w:tcPr>
            <w:tcW w:w="22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19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500" w:type="dxa"/>
            <w:vAlign w:val="bottom"/>
            <w:tcBorders>
              <w:bottom w:val="single" w:sz="8" w:color="auto"/>
            </w:tcBorders>
            <w:gridSpan w:val="3"/>
          </w:tcPr>
          <w:p>
            <w:pPr>
              <w:jc w:val="center"/>
              <w:spacing w:after="0"/>
              <w:rPr>
                <w:sz w:val="20"/>
                <w:szCs w:val="20"/>
                <w:color w:val="auto"/>
              </w:rPr>
            </w:pPr>
            <w:r>
              <w:rPr>
                <w:rFonts w:ascii="Arial" w:cs="Arial" w:eastAsia="Arial" w:hAnsi="Arial"/>
                <w:sz w:val="11"/>
                <w:szCs w:val="11"/>
                <w:b w:val="1"/>
                <w:bCs w:val="1"/>
                <w:color w:val="050505"/>
                <w:w w:val="97"/>
              </w:rPr>
              <w:t>Fiscal Year Ended June 30,</w:t>
            </w:r>
          </w:p>
        </w:tc>
        <w:tc>
          <w:tcPr>
            <w:tcW w:w="4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40" w:type="dxa"/>
            <w:vAlign w:val="bottom"/>
          </w:tcPr>
          <w:p>
            <w:pPr>
              <w:spacing w:after="0"/>
              <w:rPr>
                <w:sz w:val="11"/>
                <w:szCs w:val="11"/>
                <w:color w:val="auto"/>
              </w:rPr>
            </w:pPr>
          </w:p>
        </w:tc>
      </w:tr>
      <w:tr>
        <w:trPr>
          <w:trHeight w:val="115"/>
        </w:trPr>
        <w:tc>
          <w:tcPr>
            <w:tcW w:w="22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19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jc w:val="right"/>
              <w:ind w:right="106"/>
              <w:spacing w:after="0" w:line="115" w:lineRule="exact"/>
              <w:rPr>
                <w:sz w:val="20"/>
                <w:szCs w:val="20"/>
                <w:color w:val="auto"/>
              </w:rPr>
            </w:pPr>
            <w:r>
              <w:rPr>
                <w:rFonts w:ascii="Arial" w:cs="Arial" w:eastAsia="Arial" w:hAnsi="Arial"/>
                <w:sz w:val="11"/>
                <w:szCs w:val="11"/>
                <w:b w:val="1"/>
                <w:bCs w:val="1"/>
                <w:color w:val="050505"/>
              </w:rPr>
              <w:t>2017</w:t>
            </w:r>
          </w:p>
        </w:tc>
        <w:tc>
          <w:tcPr>
            <w:tcW w:w="8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jc w:val="center"/>
              <w:ind w:right="6"/>
              <w:spacing w:after="0" w:line="115" w:lineRule="exact"/>
              <w:rPr>
                <w:sz w:val="20"/>
                <w:szCs w:val="20"/>
                <w:color w:val="auto"/>
              </w:rPr>
            </w:pPr>
            <w:r>
              <w:rPr>
                <w:rFonts w:ascii="Arial" w:cs="Arial" w:eastAsia="Arial" w:hAnsi="Arial"/>
                <w:sz w:val="11"/>
                <w:szCs w:val="11"/>
                <w:b w:val="1"/>
                <w:bCs w:val="1"/>
                <w:color w:val="050505"/>
                <w:w w:val="97"/>
              </w:rPr>
              <w:t>2018</w:t>
            </w:r>
          </w:p>
        </w:tc>
        <w:tc>
          <w:tcPr>
            <w:tcW w:w="38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jc w:val="right"/>
              <w:ind w:right="226"/>
              <w:spacing w:after="0" w:line="115" w:lineRule="exact"/>
              <w:rPr>
                <w:sz w:val="20"/>
                <w:szCs w:val="20"/>
                <w:color w:val="auto"/>
              </w:rPr>
            </w:pPr>
            <w:r>
              <w:rPr>
                <w:rFonts w:ascii="Arial" w:cs="Arial" w:eastAsia="Arial" w:hAnsi="Arial"/>
                <w:sz w:val="11"/>
                <w:szCs w:val="11"/>
                <w:b w:val="1"/>
                <w:bCs w:val="1"/>
                <w:color w:val="050505"/>
              </w:rPr>
              <w:t>2019</w:t>
            </w:r>
          </w:p>
        </w:tc>
        <w:tc>
          <w:tcPr>
            <w:tcW w:w="40" w:type="dxa"/>
            <w:vAlign w:val="bottom"/>
          </w:tcPr>
          <w:p>
            <w:pPr>
              <w:spacing w:after="0"/>
              <w:rPr>
                <w:sz w:val="10"/>
                <w:szCs w:val="10"/>
                <w:color w:val="auto"/>
              </w:rPr>
            </w:pPr>
          </w:p>
        </w:tc>
      </w:tr>
      <w:tr>
        <w:trPr>
          <w:trHeight w:val="115"/>
        </w:trPr>
        <w:tc>
          <w:tcPr>
            <w:tcW w:w="22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19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940" w:type="dxa"/>
            <w:vAlign w:val="bottom"/>
            <w:gridSpan w:val="9"/>
          </w:tcPr>
          <w:p>
            <w:pPr>
              <w:jc w:val="center"/>
              <w:ind w:right="86"/>
              <w:spacing w:after="0" w:line="115" w:lineRule="exact"/>
              <w:rPr>
                <w:sz w:val="20"/>
                <w:szCs w:val="20"/>
                <w:color w:val="auto"/>
              </w:rPr>
            </w:pPr>
            <w:r>
              <w:rPr>
                <w:rFonts w:ascii="Arial" w:cs="Arial" w:eastAsia="Arial" w:hAnsi="Arial"/>
                <w:sz w:val="11"/>
                <w:szCs w:val="11"/>
                <w:b w:val="1"/>
                <w:bCs w:val="1"/>
                <w:color w:val="050505"/>
                <w:w w:val="98"/>
              </w:rPr>
              <w:t>(in millions, except share and per share data)</w:t>
            </w:r>
          </w:p>
        </w:tc>
        <w:tc>
          <w:tcPr>
            <w:tcW w:w="40" w:type="dxa"/>
            <w:vAlign w:val="bottom"/>
          </w:tcPr>
          <w:p>
            <w:pPr>
              <w:spacing w:after="0"/>
              <w:rPr>
                <w:sz w:val="10"/>
                <w:szCs w:val="10"/>
                <w:color w:val="auto"/>
              </w:rPr>
            </w:pPr>
          </w:p>
        </w:tc>
      </w:tr>
      <w:tr>
        <w:trPr>
          <w:trHeight w:val="124"/>
        </w:trPr>
        <w:tc>
          <w:tcPr>
            <w:tcW w:w="3780" w:type="dxa"/>
            <w:vAlign w:val="bottom"/>
            <w:tcBorders>
              <w:right w:val="single" w:sz="8" w:color="CCEEFF"/>
            </w:tcBorders>
            <w:gridSpan w:val="3"/>
            <w:shd w:val="clear" w:color="auto" w:fill="CCEEFF"/>
          </w:tcPr>
          <w:p>
            <w:pPr>
              <w:spacing w:after="0" w:line="124" w:lineRule="exact"/>
              <w:rPr>
                <w:sz w:val="20"/>
                <w:szCs w:val="20"/>
                <w:color w:val="auto"/>
              </w:rPr>
            </w:pPr>
            <w:r>
              <w:rPr>
                <w:rFonts w:ascii="Arial" w:cs="Arial" w:eastAsia="Arial" w:hAnsi="Arial"/>
                <w:sz w:val="11"/>
                <w:szCs w:val="11"/>
                <w:color w:val="050505"/>
              </w:rPr>
              <w:t>Pro forma net loss per share attributable to common stockholders, basic</w:t>
            </w: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80" w:type="dxa"/>
            <w:vAlign w:val="bottom"/>
            <w:tcBorders>
              <w:left w:val="single" w:sz="8" w:color="CCEEFF"/>
            </w:tcBorders>
            <w:shd w:val="clear" w:color="auto" w:fill="CCEEFF"/>
          </w:tcPr>
          <w:p>
            <w:pPr>
              <w:spacing w:after="0"/>
              <w:rPr>
                <w:sz w:val="10"/>
                <w:szCs w:val="10"/>
                <w:color w:val="auto"/>
              </w:rPr>
            </w:pPr>
          </w:p>
        </w:tc>
        <w:tc>
          <w:tcPr>
            <w:tcW w:w="460" w:type="dxa"/>
            <w:vAlign w:val="bottom"/>
            <w:tcBorders>
              <w:right w:val="single" w:sz="8" w:color="CCEEFF"/>
            </w:tcBorders>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tcBorders>
              <w:right w:val="single" w:sz="8" w:color="CCEEFF"/>
            </w:tcBorders>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r>
      <w:tr>
        <w:trPr>
          <w:trHeight w:val="135"/>
        </w:trPr>
        <w:tc>
          <w:tcPr>
            <w:tcW w:w="3780" w:type="dxa"/>
            <w:vAlign w:val="bottom"/>
            <w:tcBorders>
              <w:right w:val="single" w:sz="8" w:color="CCEEFF"/>
            </w:tcBorders>
            <w:gridSpan w:val="3"/>
            <w:shd w:val="clear" w:color="auto" w:fill="CCEEFF"/>
          </w:tcPr>
          <w:p>
            <w:pPr>
              <w:ind w:left="120"/>
              <w:spacing w:after="0" w:line="129" w:lineRule="exact"/>
              <w:rPr>
                <w:sz w:val="20"/>
                <w:szCs w:val="20"/>
                <w:color w:val="auto"/>
              </w:rPr>
            </w:pPr>
            <w:r>
              <w:rPr>
                <w:rFonts w:ascii="Arial" w:cs="Arial" w:eastAsia="Arial" w:hAnsi="Arial"/>
                <w:sz w:val="9"/>
                <w:szCs w:val="9"/>
                <w:color w:val="050505"/>
              </w:rPr>
              <w:t>and diluted (unaudited)</w:t>
            </w:r>
            <w:r>
              <w:rPr>
                <w:rFonts w:ascii="Arial" w:cs="Arial" w:eastAsia="Arial" w:hAnsi="Arial"/>
                <w:sz w:val="14"/>
                <w:szCs w:val="14"/>
                <w:color w:val="050505"/>
                <w:vertAlign w:val="superscript"/>
              </w:rPr>
              <w:t>(4)</w:t>
            </w: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tcBorders>
              <w:left w:val="single" w:sz="8" w:color="CCEEFF"/>
            </w:tcBorders>
            <w:shd w:val="clear" w:color="auto" w:fill="CCEEFF"/>
          </w:tcPr>
          <w:p>
            <w:pPr>
              <w:spacing w:after="0"/>
              <w:rPr>
                <w:sz w:val="11"/>
                <w:szCs w:val="11"/>
                <w:color w:val="auto"/>
              </w:rPr>
            </w:pPr>
          </w:p>
        </w:tc>
        <w:tc>
          <w:tcPr>
            <w:tcW w:w="460" w:type="dxa"/>
            <w:vAlign w:val="bottom"/>
            <w:tcBorders>
              <w:right w:val="single" w:sz="8" w:color="CCEEFF"/>
            </w:tcBorders>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60" w:type="dxa"/>
            <w:vAlign w:val="bottom"/>
            <w:gridSpan w:val="3"/>
            <w:shd w:val="clear" w:color="auto" w:fill="CCEEFF"/>
          </w:tcPr>
          <w:p>
            <w:pPr>
              <w:jc w:val="right"/>
              <w:ind w:right="60"/>
              <w:spacing w:after="0"/>
              <w:rPr>
                <w:sz w:val="20"/>
                <w:szCs w:val="20"/>
                <w:color w:val="auto"/>
              </w:rPr>
            </w:pPr>
            <w:r>
              <w:rPr>
                <w:rFonts w:ascii="Arial" w:cs="Arial" w:eastAsia="Arial" w:hAnsi="Arial"/>
                <w:sz w:val="11"/>
                <w:szCs w:val="11"/>
                <w:color w:val="050505"/>
              </w:rPr>
              <w:t>$</w:t>
            </w:r>
          </w:p>
        </w:tc>
        <w:tc>
          <w:tcPr>
            <w:tcW w:w="6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1"/>
                <w:szCs w:val="11"/>
                <w:color w:val="050505"/>
              </w:rPr>
              <w:t>(0.84)</w:t>
            </w:r>
          </w:p>
        </w:tc>
        <w:tc>
          <w:tcPr>
            <w:tcW w:w="40" w:type="dxa"/>
            <w:vAlign w:val="bottom"/>
            <w:shd w:val="clear" w:color="auto" w:fill="CCEEFF"/>
          </w:tcPr>
          <w:p>
            <w:pPr>
              <w:spacing w:after="0"/>
              <w:rPr>
                <w:sz w:val="11"/>
                <w:szCs w:val="11"/>
                <w:color w:val="auto"/>
              </w:rPr>
            </w:pPr>
          </w:p>
        </w:tc>
      </w:tr>
      <w:tr>
        <w:trPr>
          <w:trHeight w:val="133"/>
        </w:trPr>
        <w:tc>
          <w:tcPr>
            <w:tcW w:w="3780" w:type="dxa"/>
            <w:vAlign w:val="bottom"/>
            <w:gridSpan w:val="3"/>
          </w:tcPr>
          <w:p>
            <w:pPr>
              <w:spacing w:after="0"/>
              <w:rPr>
                <w:sz w:val="20"/>
                <w:szCs w:val="20"/>
                <w:color w:val="auto"/>
              </w:rPr>
            </w:pPr>
            <w:r>
              <w:rPr>
                <w:rFonts w:ascii="Arial" w:cs="Arial" w:eastAsia="Arial" w:hAnsi="Arial"/>
                <w:sz w:val="11"/>
                <w:szCs w:val="11"/>
                <w:color w:val="050505"/>
              </w:rPr>
              <w:t>Pro forma weighted-average common shares outstanding, basic and</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40" w:type="dxa"/>
            <w:vAlign w:val="bottom"/>
          </w:tcPr>
          <w:p>
            <w:pPr>
              <w:spacing w:after="0"/>
              <w:rPr>
                <w:sz w:val="11"/>
                <w:szCs w:val="11"/>
                <w:color w:val="auto"/>
              </w:rPr>
            </w:pPr>
          </w:p>
        </w:tc>
      </w:tr>
      <w:tr>
        <w:trPr>
          <w:trHeight w:val="135"/>
        </w:trPr>
        <w:tc>
          <w:tcPr>
            <w:tcW w:w="3780" w:type="dxa"/>
            <w:vAlign w:val="bottom"/>
            <w:gridSpan w:val="3"/>
          </w:tcPr>
          <w:p>
            <w:pPr>
              <w:ind w:left="120"/>
              <w:spacing w:after="0" w:line="129" w:lineRule="exact"/>
              <w:rPr>
                <w:sz w:val="20"/>
                <w:szCs w:val="20"/>
                <w:color w:val="auto"/>
              </w:rPr>
            </w:pPr>
            <w:r>
              <w:rPr>
                <w:rFonts w:ascii="Arial" w:cs="Arial" w:eastAsia="Arial" w:hAnsi="Arial"/>
                <w:sz w:val="9"/>
                <w:szCs w:val="9"/>
                <w:color w:val="050505"/>
              </w:rPr>
              <w:t>diluted (unaudited)</w:t>
            </w:r>
            <w:r>
              <w:rPr>
                <w:rFonts w:ascii="Arial" w:cs="Arial" w:eastAsia="Arial" w:hAnsi="Arial"/>
                <w:sz w:val="14"/>
                <w:szCs w:val="14"/>
                <w:color w:val="050505"/>
                <w:vertAlign w:val="superscript"/>
              </w:rPr>
              <w:t>(4)</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050505"/>
                <w:w w:val="94"/>
              </w:rPr>
              <w:t>233,552,393</w:t>
            </w:r>
          </w:p>
        </w:tc>
        <w:tc>
          <w:tcPr>
            <w:tcW w:w="40" w:type="dxa"/>
            <w:vAlign w:val="bottom"/>
          </w:tcPr>
          <w:p>
            <w:pPr>
              <w:spacing w:after="0"/>
              <w:rPr>
                <w:sz w:val="11"/>
                <w:szCs w:val="11"/>
                <w:color w:val="auto"/>
              </w:rPr>
            </w:pPr>
          </w:p>
        </w:tc>
      </w:tr>
      <w:tr>
        <w:trPr>
          <w:trHeight w:val="99"/>
        </w:trPr>
        <w:tc>
          <w:tcPr>
            <w:tcW w:w="220" w:type="dxa"/>
            <w:vAlign w:val="bottom"/>
            <w:tcBorders>
              <w:bottom w:val="single" w:sz="8" w:color="050505"/>
            </w:tcBorders>
          </w:tcPr>
          <w:p>
            <w:pPr>
              <w:spacing w:after="0"/>
              <w:rPr>
                <w:sz w:val="8"/>
                <w:szCs w:val="8"/>
                <w:color w:val="auto"/>
              </w:rPr>
            </w:pPr>
          </w:p>
        </w:tc>
        <w:tc>
          <w:tcPr>
            <w:tcW w:w="1580" w:type="dxa"/>
            <w:vAlign w:val="bottom"/>
            <w:tcBorders>
              <w:bottom w:val="single" w:sz="8" w:color="050505"/>
            </w:tcBorders>
          </w:tcPr>
          <w:p>
            <w:pPr>
              <w:spacing w:after="0"/>
              <w:rPr>
                <w:sz w:val="8"/>
                <w:szCs w:val="8"/>
                <w:color w:val="auto"/>
              </w:rPr>
            </w:pPr>
          </w:p>
        </w:tc>
        <w:tc>
          <w:tcPr>
            <w:tcW w:w="198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660" w:type="dxa"/>
            <w:vAlign w:val="bottom"/>
          </w:tcPr>
          <w:p>
            <w:pPr>
              <w:spacing w:after="0"/>
              <w:rPr>
                <w:sz w:val="8"/>
                <w:szCs w:val="8"/>
                <w:color w:val="auto"/>
              </w:rPr>
            </w:pPr>
          </w:p>
        </w:tc>
        <w:tc>
          <w:tcPr>
            <w:tcW w:w="38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r>
      <w:tr>
        <w:trPr>
          <w:trHeight w:val="103"/>
        </w:trPr>
        <w:tc>
          <w:tcPr>
            <w:tcW w:w="3780" w:type="dxa"/>
            <w:vAlign w:val="bottom"/>
            <w:gridSpan w:val="3"/>
          </w:tcPr>
          <w:p>
            <w:pPr>
              <w:spacing w:after="0"/>
              <w:rPr>
                <w:sz w:val="20"/>
                <w:szCs w:val="20"/>
                <w:color w:val="auto"/>
              </w:rPr>
            </w:pPr>
            <w:r>
              <w:rPr>
                <w:rFonts w:ascii="Arial" w:cs="Arial" w:eastAsia="Arial" w:hAnsi="Arial"/>
                <w:sz w:val="8"/>
                <w:szCs w:val="8"/>
                <w:color w:val="050505"/>
              </w:rPr>
              <w:t>(1)  Includes stock-based compensation expense as follows:</w:t>
            </w: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660" w:type="dxa"/>
            <w:vAlign w:val="bottom"/>
          </w:tcPr>
          <w:p>
            <w:pPr>
              <w:spacing w:after="0"/>
              <w:rPr>
                <w:sz w:val="8"/>
                <w:szCs w:val="8"/>
                <w:color w:val="auto"/>
              </w:rPr>
            </w:pPr>
          </w:p>
        </w:tc>
        <w:tc>
          <w:tcPr>
            <w:tcW w:w="38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r>
      <w:tr>
        <w:trPr>
          <w:trHeight w:val="165"/>
        </w:trPr>
        <w:tc>
          <w:tcPr>
            <w:tcW w:w="2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3"/>
          </w:tcPr>
          <w:p>
            <w:pPr>
              <w:jc w:val="center"/>
              <w:spacing w:after="0"/>
              <w:rPr>
                <w:sz w:val="20"/>
                <w:szCs w:val="20"/>
                <w:color w:val="auto"/>
              </w:rPr>
            </w:pPr>
            <w:r>
              <w:rPr>
                <w:rFonts w:ascii="Arial" w:cs="Arial" w:eastAsia="Arial" w:hAnsi="Arial"/>
                <w:sz w:val="11"/>
                <w:szCs w:val="11"/>
                <w:b w:val="1"/>
                <w:bCs w:val="1"/>
                <w:color w:val="050505"/>
                <w:w w:val="97"/>
              </w:rPr>
              <w:t>Fiscal Year Ended June 30,</w:t>
            </w:r>
          </w:p>
        </w:tc>
        <w:tc>
          <w:tcPr>
            <w:tcW w:w="4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r>
      <w:tr>
        <w:trPr>
          <w:trHeight w:val="115"/>
        </w:trPr>
        <w:tc>
          <w:tcPr>
            <w:tcW w:w="22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1980" w:type="dxa"/>
            <w:vAlign w:val="bottom"/>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jc w:val="right"/>
              <w:ind w:right="186"/>
              <w:spacing w:after="0" w:line="115" w:lineRule="exact"/>
              <w:rPr>
                <w:sz w:val="20"/>
                <w:szCs w:val="20"/>
                <w:color w:val="auto"/>
              </w:rPr>
            </w:pPr>
            <w:r>
              <w:rPr>
                <w:rFonts w:ascii="Arial" w:cs="Arial" w:eastAsia="Arial" w:hAnsi="Arial"/>
                <w:sz w:val="11"/>
                <w:szCs w:val="11"/>
                <w:b w:val="1"/>
                <w:bCs w:val="1"/>
                <w:color w:val="050505"/>
              </w:rPr>
              <w:t>2017</w:t>
            </w:r>
          </w:p>
        </w:tc>
        <w:tc>
          <w:tcPr>
            <w:tcW w:w="8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jc w:val="center"/>
              <w:ind w:right="6"/>
              <w:spacing w:after="0" w:line="115" w:lineRule="exact"/>
              <w:rPr>
                <w:sz w:val="20"/>
                <w:szCs w:val="20"/>
                <w:color w:val="auto"/>
              </w:rPr>
            </w:pPr>
            <w:r>
              <w:rPr>
                <w:rFonts w:ascii="Arial" w:cs="Arial" w:eastAsia="Arial" w:hAnsi="Arial"/>
                <w:sz w:val="11"/>
                <w:szCs w:val="11"/>
                <w:b w:val="1"/>
                <w:bCs w:val="1"/>
                <w:color w:val="050505"/>
                <w:w w:val="97"/>
              </w:rPr>
              <w:t>2018</w:t>
            </w:r>
          </w:p>
        </w:tc>
        <w:tc>
          <w:tcPr>
            <w:tcW w:w="38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jc w:val="right"/>
              <w:ind w:right="186"/>
              <w:spacing w:after="0" w:line="115" w:lineRule="exact"/>
              <w:rPr>
                <w:sz w:val="20"/>
                <w:szCs w:val="20"/>
                <w:color w:val="auto"/>
              </w:rPr>
            </w:pPr>
            <w:r>
              <w:rPr>
                <w:rFonts w:ascii="Arial" w:cs="Arial" w:eastAsia="Arial" w:hAnsi="Arial"/>
                <w:sz w:val="11"/>
                <w:szCs w:val="11"/>
                <w:b w:val="1"/>
                <w:bCs w:val="1"/>
                <w:color w:val="050505"/>
              </w:rPr>
              <w:t>2019</w:t>
            </w:r>
          </w:p>
        </w:tc>
        <w:tc>
          <w:tcPr>
            <w:tcW w:w="40" w:type="dxa"/>
            <w:vAlign w:val="bottom"/>
          </w:tcPr>
          <w:p>
            <w:pPr>
              <w:spacing w:after="0"/>
              <w:rPr>
                <w:sz w:val="10"/>
                <w:szCs w:val="10"/>
                <w:color w:val="auto"/>
              </w:rPr>
            </w:pPr>
          </w:p>
        </w:tc>
      </w:tr>
      <w:tr>
        <w:trPr>
          <w:trHeight w:val="115"/>
        </w:trPr>
        <w:tc>
          <w:tcPr>
            <w:tcW w:w="22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19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40" w:type="dxa"/>
            <w:vAlign w:val="bottom"/>
            <w:gridSpan w:val="2"/>
          </w:tcPr>
          <w:p>
            <w:pPr>
              <w:jc w:val="center"/>
              <w:ind w:right="440"/>
              <w:spacing w:after="0" w:line="115" w:lineRule="exact"/>
              <w:rPr>
                <w:sz w:val="20"/>
                <w:szCs w:val="20"/>
                <w:color w:val="auto"/>
              </w:rPr>
            </w:pPr>
            <w:r>
              <w:rPr>
                <w:rFonts w:ascii="Arial" w:cs="Arial" w:eastAsia="Arial" w:hAnsi="Arial"/>
                <w:sz w:val="11"/>
                <w:szCs w:val="11"/>
                <w:b w:val="1"/>
                <w:bCs w:val="1"/>
                <w:color w:val="050505"/>
                <w:w w:val="97"/>
              </w:rPr>
              <w:t>(in millions)</w:t>
            </w: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0" w:type="dxa"/>
            <w:vAlign w:val="bottom"/>
          </w:tcPr>
          <w:p>
            <w:pPr>
              <w:spacing w:after="0"/>
              <w:rPr>
                <w:sz w:val="10"/>
                <w:szCs w:val="10"/>
                <w:color w:val="auto"/>
              </w:rPr>
            </w:pPr>
          </w:p>
        </w:tc>
      </w:tr>
      <w:tr>
        <w:trPr>
          <w:trHeight w:val="126"/>
        </w:trPr>
        <w:tc>
          <w:tcPr>
            <w:tcW w:w="220" w:type="dxa"/>
            <w:vAlign w:val="bottom"/>
          </w:tcPr>
          <w:p>
            <w:pPr>
              <w:spacing w:after="0"/>
              <w:rPr>
                <w:sz w:val="10"/>
                <w:szCs w:val="10"/>
                <w:color w:val="auto"/>
              </w:rPr>
            </w:pPr>
          </w:p>
        </w:tc>
        <w:tc>
          <w:tcPr>
            <w:tcW w:w="3560" w:type="dxa"/>
            <w:vAlign w:val="bottom"/>
            <w:tcBorders>
              <w:right w:val="single" w:sz="8" w:color="CCEEFF"/>
            </w:tcBorders>
            <w:gridSpan w:val="2"/>
            <w:shd w:val="clear" w:color="auto" w:fill="CCEEFF"/>
          </w:tcPr>
          <w:p>
            <w:pPr>
              <w:ind w:left="40"/>
              <w:spacing w:after="0"/>
              <w:rPr>
                <w:sz w:val="20"/>
                <w:szCs w:val="20"/>
                <w:color w:val="auto"/>
              </w:rPr>
            </w:pPr>
            <w:r>
              <w:rPr>
                <w:rFonts w:ascii="Arial" w:cs="Arial" w:eastAsia="Arial" w:hAnsi="Arial"/>
                <w:sz w:val="11"/>
                <w:szCs w:val="11"/>
                <w:color w:val="050505"/>
              </w:rPr>
              <w:t>Cost of revenue:</w:t>
            </w: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80" w:type="dxa"/>
            <w:vAlign w:val="bottom"/>
            <w:tcBorders>
              <w:left w:val="single" w:sz="8" w:color="CCEEFF"/>
            </w:tcBorders>
            <w:shd w:val="clear" w:color="auto" w:fill="CCEEFF"/>
          </w:tcPr>
          <w:p>
            <w:pPr>
              <w:spacing w:after="0"/>
              <w:rPr>
                <w:sz w:val="10"/>
                <w:szCs w:val="10"/>
                <w:color w:val="auto"/>
              </w:rPr>
            </w:pPr>
          </w:p>
        </w:tc>
        <w:tc>
          <w:tcPr>
            <w:tcW w:w="460" w:type="dxa"/>
            <w:vAlign w:val="bottom"/>
            <w:tcBorders>
              <w:right w:val="single" w:sz="8" w:color="CCEEFF"/>
            </w:tcBorders>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tcBorders>
              <w:right w:val="single" w:sz="8" w:color="CCEEFF"/>
            </w:tcBorders>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r>
      <w:tr>
        <w:trPr>
          <w:trHeight w:val="126"/>
        </w:trPr>
        <w:tc>
          <w:tcPr>
            <w:tcW w:w="220" w:type="dxa"/>
            <w:vAlign w:val="bottom"/>
          </w:tcPr>
          <w:p>
            <w:pPr>
              <w:spacing w:after="0"/>
              <w:rPr>
                <w:sz w:val="10"/>
                <w:szCs w:val="10"/>
                <w:color w:val="auto"/>
              </w:rPr>
            </w:pPr>
          </w:p>
        </w:tc>
        <w:tc>
          <w:tcPr>
            <w:tcW w:w="3560" w:type="dxa"/>
            <w:vAlign w:val="bottom"/>
            <w:gridSpan w:val="2"/>
          </w:tcPr>
          <w:p>
            <w:pPr>
              <w:ind w:left="160"/>
              <w:spacing w:after="0"/>
              <w:rPr>
                <w:sz w:val="20"/>
                <w:szCs w:val="20"/>
                <w:color w:val="auto"/>
              </w:rPr>
            </w:pPr>
            <w:r>
              <w:rPr>
                <w:rFonts w:ascii="Arial" w:cs="Arial" w:eastAsia="Arial" w:hAnsi="Arial"/>
                <w:sz w:val="11"/>
                <w:szCs w:val="11"/>
                <w:color w:val="050505"/>
              </w:rPr>
              <w:t>Connected Fitness Products</w:t>
            </w:r>
          </w:p>
        </w:tc>
        <w:tc>
          <w:tcPr>
            <w:tcW w:w="40" w:type="dxa"/>
            <w:vAlign w:val="bottom"/>
          </w:tcPr>
          <w:p>
            <w:pPr>
              <w:jc w:val="right"/>
              <w:spacing w:after="0"/>
              <w:rPr>
                <w:sz w:val="20"/>
                <w:szCs w:val="20"/>
                <w:color w:val="auto"/>
              </w:rPr>
            </w:pPr>
            <w:r>
              <w:rPr>
                <w:rFonts w:ascii="Arial" w:cs="Arial" w:eastAsia="Arial" w:hAnsi="Arial"/>
                <w:sz w:val="5"/>
                <w:szCs w:val="5"/>
                <w:color w:val="050505"/>
                <w:w w:val="70"/>
              </w:rPr>
              <w:t>$</w:t>
            </w:r>
          </w:p>
        </w:tc>
        <w:tc>
          <w:tcPr>
            <w:tcW w:w="100" w:type="dxa"/>
            <w:vAlign w:val="bottom"/>
          </w:tcPr>
          <w:p>
            <w:pPr>
              <w:spacing w:after="0"/>
              <w:rPr>
                <w:sz w:val="10"/>
                <w:szCs w:val="10"/>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1"/>
                <w:szCs w:val="11"/>
                <w:color w:val="050505"/>
              </w:rPr>
              <w:t>—</w:t>
            </w:r>
          </w:p>
        </w:tc>
        <w:tc>
          <w:tcPr>
            <w:tcW w:w="460" w:type="dxa"/>
            <w:vAlign w:val="bottom"/>
          </w:tcPr>
          <w:p>
            <w:pPr>
              <w:jc w:val="right"/>
              <w:spacing w:after="0"/>
              <w:rPr>
                <w:sz w:val="20"/>
                <w:szCs w:val="20"/>
                <w:color w:val="auto"/>
              </w:rPr>
            </w:pPr>
            <w:r>
              <w:rPr>
                <w:rFonts w:ascii="Arial" w:cs="Arial" w:eastAsia="Arial" w:hAnsi="Arial"/>
                <w:sz w:val="11"/>
                <w:szCs w:val="11"/>
                <w:color w:val="050505"/>
              </w:rPr>
              <w:t>$</w:t>
            </w:r>
          </w:p>
        </w:tc>
        <w:tc>
          <w:tcPr>
            <w:tcW w:w="1040" w:type="dxa"/>
            <w:vAlign w:val="bottom"/>
            <w:gridSpan w:val="2"/>
          </w:tcPr>
          <w:p>
            <w:pPr>
              <w:jc w:val="right"/>
              <w:ind w:right="380"/>
              <w:spacing w:after="0"/>
              <w:rPr>
                <w:sz w:val="20"/>
                <w:szCs w:val="20"/>
                <w:color w:val="auto"/>
              </w:rPr>
            </w:pPr>
            <w:r>
              <w:rPr>
                <w:rFonts w:ascii="Arial" w:cs="Arial" w:eastAsia="Arial" w:hAnsi="Arial"/>
                <w:sz w:val="11"/>
                <w:szCs w:val="11"/>
                <w:color w:val="050505"/>
              </w:rPr>
              <w:t>—</w:t>
            </w:r>
          </w:p>
        </w:tc>
        <w:tc>
          <w:tcPr>
            <w:tcW w:w="160" w:type="dxa"/>
            <w:vAlign w:val="bottom"/>
            <w:gridSpan w:val="3"/>
          </w:tcPr>
          <w:p>
            <w:pPr>
              <w:jc w:val="right"/>
              <w:ind w:right="20"/>
              <w:spacing w:after="0"/>
              <w:rPr>
                <w:sz w:val="20"/>
                <w:szCs w:val="20"/>
                <w:color w:val="auto"/>
              </w:rPr>
            </w:pPr>
            <w:r>
              <w:rPr>
                <w:rFonts w:ascii="Arial" w:cs="Arial" w:eastAsia="Arial" w:hAnsi="Arial"/>
                <w:sz w:val="11"/>
                <w:szCs w:val="11"/>
                <w:color w:val="050505"/>
              </w:rPr>
              <w:t>$</w:t>
            </w:r>
          </w:p>
        </w:tc>
        <w:tc>
          <w:tcPr>
            <w:tcW w:w="680" w:type="dxa"/>
            <w:vAlign w:val="bottom"/>
            <w:gridSpan w:val="2"/>
          </w:tcPr>
          <w:p>
            <w:pPr>
              <w:jc w:val="right"/>
              <w:ind w:right="40"/>
              <w:spacing w:after="0"/>
              <w:rPr>
                <w:sz w:val="20"/>
                <w:szCs w:val="20"/>
                <w:color w:val="auto"/>
              </w:rPr>
            </w:pPr>
            <w:r>
              <w:rPr>
                <w:rFonts w:ascii="Arial" w:cs="Arial" w:eastAsia="Arial" w:hAnsi="Arial"/>
                <w:sz w:val="11"/>
                <w:szCs w:val="11"/>
                <w:color w:val="050505"/>
              </w:rPr>
              <w:t>0.3</w:t>
            </w:r>
          </w:p>
        </w:tc>
      </w:tr>
      <w:tr>
        <w:trPr>
          <w:trHeight w:val="126"/>
        </w:trPr>
        <w:tc>
          <w:tcPr>
            <w:tcW w:w="220" w:type="dxa"/>
            <w:vAlign w:val="bottom"/>
          </w:tcPr>
          <w:p>
            <w:pPr>
              <w:spacing w:after="0"/>
              <w:rPr>
                <w:sz w:val="10"/>
                <w:szCs w:val="10"/>
                <w:color w:val="auto"/>
              </w:rPr>
            </w:pPr>
          </w:p>
        </w:tc>
        <w:tc>
          <w:tcPr>
            <w:tcW w:w="3560" w:type="dxa"/>
            <w:vAlign w:val="bottom"/>
            <w:tcBorders>
              <w:right w:val="single" w:sz="8" w:color="CCEEFF"/>
            </w:tcBorders>
            <w:gridSpan w:val="2"/>
            <w:shd w:val="clear" w:color="auto" w:fill="CCEEFF"/>
          </w:tcPr>
          <w:p>
            <w:pPr>
              <w:ind w:left="160"/>
              <w:spacing w:after="0"/>
              <w:rPr>
                <w:sz w:val="20"/>
                <w:szCs w:val="20"/>
                <w:color w:val="auto"/>
              </w:rPr>
            </w:pPr>
            <w:r>
              <w:rPr>
                <w:rFonts w:ascii="Arial" w:cs="Arial" w:eastAsia="Arial" w:hAnsi="Arial"/>
                <w:sz w:val="11"/>
                <w:szCs w:val="11"/>
                <w:color w:val="050505"/>
              </w:rPr>
              <w:t>Subscription</w:t>
            </w: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1"/>
                <w:szCs w:val="11"/>
                <w:color w:val="050505"/>
              </w:rPr>
              <w:t>0.1</w:t>
            </w:r>
          </w:p>
        </w:tc>
        <w:tc>
          <w:tcPr>
            <w:tcW w:w="80" w:type="dxa"/>
            <w:vAlign w:val="bottom"/>
            <w:tcBorders>
              <w:left w:val="single" w:sz="8" w:color="CCEEFF"/>
            </w:tcBorders>
            <w:shd w:val="clear" w:color="auto" w:fill="CCEEFF"/>
          </w:tcPr>
          <w:p>
            <w:pPr>
              <w:spacing w:after="0"/>
              <w:rPr>
                <w:sz w:val="10"/>
                <w:szCs w:val="10"/>
                <w:color w:val="auto"/>
              </w:rPr>
            </w:pPr>
          </w:p>
        </w:tc>
        <w:tc>
          <w:tcPr>
            <w:tcW w:w="460" w:type="dxa"/>
            <w:vAlign w:val="bottom"/>
            <w:tcBorders>
              <w:right w:val="single" w:sz="8" w:color="CCEEFF"/>
            </w:tcBorders>
            <w:shd w:val="clear" w:color="auto" w:fill="CCEEFF"/>
          </w:tcPr>
          <w:p>
            <w:pPr>
              <w:spacing w:after="0"/>
              <w:rPr>
                <w:sz w:val="10"/>
                <w:szCs w:val="1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1"/>
                <w:szCs w:val="11"/>
                <w:color w:val="050505"/>
              </w:rPr>
              <w:t>0.5</w:t>
            </w:r>
          </w:p>
        </w:tc>
        <w:tc>
          <w:tcPr>
            <w:tcW w:w="3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050505"/>
              </w:rPr>
              <w:t>3.2</w:t>
            </w:r>
          </w:p>
        </w:tc>
      </w:tr>
      <w:tr>
        <w:trPr>
          <w:trHeight w:val="126"/>
        </w:trPr>
        <w:tc>
          <w:tcPr>
            <w:tcW w:w="220" w:type="dxa"/>
            <w:vAlign w:val="bottom"/>
          </w:tcPr>
          <w:p>
            <w:pPr>
              <w:spacing w:after="0"/>
              <w:rPr>
                <w:sz w:val="10"/>
                <w:szCs w:val="10"/>
                <w:color w:val="auto"/>
              </w:rPr>
            </w:pPr>
          </w:p>
        </w:tc>
        <w:tc>
          <w:tcPr>
            <w:tcW w:w="3560" w:type="dxa"/>
            <w:vAlign w:val="bottom"/>
            <w:gridSpan w:val="2"/>
          </w:tcPr>
          <w:p>
            <w:pPr>
              <w:ind w:left="160"/>
              <w:spacing w:after="0"/>
              <w:rPr>
                <w:sz w:val="20"/>
                <w:szCs w:val="20"/>
                <w:color w:val="auto"/>
              </w:rPr>
            </w:pPr>
            <w:r>
              <w:rPr>
                <w:rFonts w:ascii="Arial" w:cs="Arial" w:eastAsia="Arial" w:hAnsi="Arial"/>
                <w:sz w:val="11"/>
                <w:szCs w:val="11"/>
                <w:color w:val="050505"/>
              </w:rPr>
              <w:t>Other</w:t>
            </w: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1"/>
                <w:szCs w:val="11"/>
                <w:color w:val="050505"/>
              </w:rPr>
              <w:t>—</w:t>
            </w:r>
          </w:p>
        </w:tc>
        <w:tc>
          <w:tcPr>
            <w:tcW w:w="460" w:type="dxa"/>
            <w:vAlign w:val="bottom"/>
          </w:tcPr>
          <w:p>
            <w:pPr>
              <w:spacing w:after="0"/>
              <w:rPr>
                <w:sz w:val="10"/>
                <w:szCs w:val="10"/>
                <w:color w:val="auto"/>
              </w:rPr>
            </w:pPr>
          </w:p>
        </w:tc>
        <w:tc>
          <w:tcPr>
            <w:tcW w:w="1040" w:type="dxa"/>
            <w:vAlign w:val="bottom"/>
            <w:gridSpan w:val="2"/>
          </w:tcPr>
          <w:p>
            <w:pPr>
              <w:jc w:val="right"/>
              <w:ind w:right="380"/>
              <w:spacing w:after="0"/>
              <w:rPr>
                <w:sz w:val="20"/>
                <w:szCs w:val="20"/>
                <w:color w:val="auto"/>
              </w:rPr>
            </w:pPr>
            <w:r>
              <w:rPr>
                <w:rFonts w:ascii="Arial" w:cs="Arial" w:eastAsia="Arial" w:hAnsi="Arial"/>
                <w:sz w:val="11"/>
                <w:szCs w:val="11"/>
                <w:color w:val="050505"/>
              </w:rPr>
              <w:t>—</w:t>
            </w: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1"/>
                <w:szCs w:val="11"/>
                <w:color w:val="050505"/>
              </w:rPr>
              <w:t>—</w:t>
            </w:r>
          </w:p>
        </w:tc>
      </w:tr>
      <w:tr>
        <w:trPr>
          <w:trHeight w:val="20"/>
        </w:trPr>
        <w:tc>
          <w:tcPr>
            <w:tcW w:w="2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980" w:type="dxa"/>
            <w:vAlign w:val="bottom"/>
            <w:tcBorders>
              <w:right w:val="single" w:sz="8" w:color="auto"/>
            </w:tcBorders>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right w:val="single" w:sz="8" w:color="auto"/>
            </w:tcBorders>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24"/>
        </w:trPr>
        <w:tc>
          <w:tcPr>
            <w:tcW w:w="220" w:type="dxa"/>
            <w:vAlign w:val="bottom"/>
          </w:tcPr>
          <w:p>
            <w:pPr>
              <w:spacing w:after="0"/>
              <w:rPr>
                <w:sz w:val="10"/>
                <w:szCs w:val="10"/>
                <w:color w:val="auto"/>
              </w:rPr>
            </w:pPr>
          </w:p>
        </w:tc>
        <w:tc>
          <w:tcPr>
            <w:tcW w:w="3560" w:type="dxa"/>
            <w:vAlign w:val="bottom"/>
            <w:tcBorders>
              <w:right w:val="single" w:sz="8" w:color="CCEEFF"/>
            </w:tcBorders>
            <w:gridSpan w:val="2"/>
            <w:shd w:val="clear" w:color="auto" w:fill="CCEEFF"/>
          </w:tcPr>
          <w:p>
            <w:pPr>
              <w:ind w:left="260"/>
              <w:spacing w:after="0" w:line="124" w:lineRule="exact"/>
              <w:rPr>
                <w:sz w:val="20"/>
                <w:szCs w:val="20"/>
                <w:color w:val="auto"/>
              </w:rPr>
            </w:pPr>
            <w:r>
              <w:rPr>
                <w:rFonts w:ascii="Arial" w:cs="Arial" w:eastAsia="Arial" w:hAnsi="Arial"/>
                <w:sz w:val="11"/>
                <w:szCs w:val="11"/>
                <w:color w:val="050505"/>
              </w:rPr>
              <w:t>Total cost of revenue</w:t>
            </w: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shd w:val="clear" w:color="auto" w:fill="CCEEFF"/>
          </w:tcPr>
          <w:p>
            <w:pPr>
              <w:jc w:val="right"/>
              <w:spacing w:after="0" w:line="124" w:lineRule="exact"/>
              <w:rPr>
                <w:sz w:val="20"/>
                <w:szCs w:val="20"/>
                <w:color w:val="auto"/>
              </w:rPr>
            </w:pPr>
            <w:r>
              <w:rPr>
                <w:rFonts w:ascii="Arial" w:cs="Arial" w:eastAsia="Arial" w:hAnsi="Arial"/>
                <w:sz w:val="11"/>
                <w:szCs w:val="11"/>
                <w:color w:val="050505"/>
              </w:rPr>
              <w:t>0.1</w:t>
            </w:r>
          </w:p>
        </w:tc>
        <w:tc>
          <w:tcPr>
            <w:tcW w:w="80" w:type="dxa"/>
            <w:vAlign w:val="bottom"/>
            <w:tcBorders>
              <w:left w:val="single" w:sz="8" w:color="CCEEFF"/>
            </w:tcBorders>
            <w:shd w:val="clear" w:color="auto" w:fill="CCEEFF"/>
          </w:tcPr>
          <w:p>
            <w:pPr>
              <w:spacing w:after="0"/>
              <w:rPr>
                <w:sz w:val="10"/>
                <w:szCs w:val="10"/>
                <w:color w:val="auto"/>
              </w:rPr>
            </w:pPr>
          </w:p>
        </w:tc>
        <w:tc>
          <w:tcPr>
            <w:tcW w:w="460" w:type="dxa"/>
            <w:vAlign w:val="bottom"/>
            <w:tcBorders>
              <w:right w:val="single" w:sz="8" w:color="CCEEFF"/>
            </w:tcBorders>
            <w:shd w:val="clear" w:color="auto" w:fill="CCEEFF"/>
          </w:tcPr>
          <w:p>
            <w:pPr>
              <w:spacing w:after="0"/>
              <w:rPr>
                <w:sz w:val="10"/>
                <w:szCs w:val="10"/>
                <w:color w:val="auto"/>
              </w:rPr>
            </w:pPr>
          </w:p>
        </w:tc>
        <w:tc>
          <w:tcPr>
            <w:tcW w:w="660" w:type="dxa"/>
            <w:vAlign w:val="bottom"/>
            <w:shd w:val="clear" w:color="auto" w:fill="CCEEFF"/>
          </w:tcPr>
          <w:p>
            <w:pPr>
              <w:jc w:val="right"/>
              <w:spacing w:after="0" w:line="124" w:lineRule="exact"/>
              <w:rPr>
                <w:sz w:val="20"/>
                <w:szCs w:val="20"/>
                <w:color w:val="auto"/>
              </w:rPr>
            </w:pPr>
            <w:r>
              <w:rPr>
                <w:rFonts w:ascii="Arial" w:cs="Arial" w:eastAsia="Arial" w:hAnsi="Arial"/>
                <w:sz w:val="11"/>
                <w:szCs w:val="11"/>
                <w:color w:val="050505"/>
              </w:rPr>
              <w:t>0.5</w:t>
            </w:r>
          </w:p>
        </w:tc>
        <w:tc>
          <w:tcPr>
            <w:tcW w:w="3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gridSpan w:val="2"/>
            <w:shd w:val="clear" w:color="auto" w:fill="CCEEFF"/>
          </w:tcPr>
          <w:p>
            <w:pPr>
              <w:jc w:val="right"/>
              <w:ind w:right="40"/>
              <w:spacing w:after="0" w:line="124" w:lineRule="exact"/>
              <w:rPr>
                <w:sz w:val="20"/>
                <w:szCs w:val="20"/>
                <w:color w:val="auto"/>
              </w:rPr>
            </w:pPr>
            <w:r>
              <w:rPr>
                <w:rFonts w:ascii="Arial" w:cs="Arial" w:eastAsia="Arial" w:hAnsi="Arial"/>
                <w:sz w:val="11"/>
                <w:szCs w:val="11"/>
                <w:color w:val="050505"/>
              </w:rPr>
              <w:t>3.5</w:t>
            </w:r>
          </w:p>
        </w:tc>
      </w:tr>
      <w:tr>
        <w:trPr>
          <w:trHeight w:val="20"/>
        </w:trPr>
        <w:tc>
          <w:tcPr>
            <w:tcW w:w="220" w:type="dxa"/>
            <w:vAlign w:val="bottom"/>
          </w:tcPr>
          <w:p>
            <w:pPr>
              <w:spacing w:after="0" w:line="20" w:lineRule="exact"/>
              <w:rPr>
                <w:sz w:val="1"/>
                <w:szCs w:val="1"/>
                <w:color w:val="auto"/>
              </w:rPr>
            </w:pPr>
          </w:p>
        </w:tc>
        <w:tc>
          <w:tcPr>
            <w:tcW w:w="3560" w:type="dxa"/>
            <w:vAlign w:val="bottom"/>
            <w:tcBorders>
              <w:right w:val="single" w:sz="8" w:color="auto"/>
            </w:tcBorders>
            <w:gridSpan w:val="2"/>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right w:val="single" w:sz="8" w:color="auto"/>
            </w:tcBorders>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24"/>
        </w:trPr>
        <w:tc>
          <w:tcPr>
            <w:tcW w:w="220" w:type="dxa"/>
            <w:vAlign w:val="bottom"/>
          </w:tcPr>
          <w:p>
            <w:pPr>
              <w:spacing w:after="0"/>
              <w:rPr>
                <w:sz w:val="10"/>
                <w:szCs w:val="10"/>
                <w:color w:val="auto"/>
              </w:rPr>
            </w:pPr>
          </w:p>
        </w:tc>
        <w:tc>
          <w:tcPr>
            <w:tcW w:w="3560" w:type="dxa"/>
            <w:vAlign w:val="bottom"/>
            <w:gridSpan w:val="2"/>
          </w:tcPr>
          <w:p>
            <w:pPr>
              <w:ind w:left="40"/>
              <w:spacing w:after="0" w:line="124" w:lineRule="exact"/>
              <w:rPr>
                <w:sz w:val="20"/>
                <w:szCs w:val="20"/>
                <w:color w:val="auto"/>
              </w:rPr>
            </w:pPr>
            <w:r>
              <w:rPr>
                <w:rFonts w:ascii="Arial" w:cs="Arial" w:eastAsia="Arial" w:hAnsi="Arial"/>
                <w:sz w:val="11"/>
                <w:szCs w:val="11"/>
                <w:color w:val="050505"/>
              </w:rPr>
              <w:t>Research and development</w:t>
            </w: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jc w:val="right"/>
              <w:spacing w:after="0" w:line="124" w:lineRule="exact"/>
              <w:rPr>
                <w:sz w:val="20"/>
                <w:szCs w:val="20"/>
                <w:color w:val="auto"/>
              </w:rPr>
            </w:pPr>
            <w:r>
              <w:rPr>
                <w:rFonts w:ascii="Arial" w:cs="Arial" w:eastAsia="Arial" w:hAnsi="Arial"/>
                <w:sz w:val="11"/>
                <w:szCs w:val="11"/>
                <w:color w:val="050505"/>
              </w:rPr>
              <w:t>0.4</w:t>
            </w: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60" w:type="dxa"/>
            <w:vAlign w:val="bottom"/>
          </w:tcPr>
          <w:p>
            <w:pPr>
              <w:jc w:val="right"/>
              <w:spacing w:after="0" w:line="124" w:lineRule="exact"/>
              <w:rPr>
                <w:sz w:val="20"/>
                <w:szCs w:val="20"/>
                <w:color w:val="auto"/>
              </w:rPr>
            </w:pPr>
            <w:r>
              <w:rPr>
                <w:rFonts w:ascii="Arial" w:cs="Arial" w:eastAsia="Arial" w:hAnsi="Arial"/>
                <w:sz w:val="11"/>
                <w:szCs w:val="11"/>
                <w:color w:val="050505"/>
              </w:rPr>
              <w:t>0.8</w:t>
            </w:r>
          </w:p>
        </w:tc>
        <w:tc>
          <w:tcPr>
            <w:tcW w:w="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gridSpan w:val="2"/>
          </w:tcPr>
          <w:p>
            <w:pPr>
              <w:jc w:val="right"/>
              <w:ind w:right="40"/>
              <w:spacing w:after="0" w:line="124" w:lineRule="exact"/>
              <w:rPr>
                <w:sz w:val="20"/>
                <w:szCs w:val="20"/>
                <w:color w:val="auto"/>
              </w:rPr>
            </w:pPr>
            <w:r>
              <w:rPr>
                <w:rFonts w:ascii="Arial" w:cs="Arial" w:eastAsia="Arial" w:hAnsi="Arial"/>
                <w:sz w:val="11"/>
                <w:szCs w:val="11"/>
                <w:color w:val="050505"/>
              </w:rPr>
              <w:t>7.1</w:t>
            </w:r>
          </w:p>
        </w:tc>
      </w:tr>
      <w:tr>
        <w:trPr>
          <w:trHeight w:val="126"/>
        </w:trPr>
        <w:tc>
          <w:tcPr>
            <w:tcW w:w="220" w:type="dxa"/>
            <w:vAlign w:val="bottom"/>
          </w:tcPr>
          <w:p>
            <w:pPr>
              <w:spacing w:after="0"/>
              <w:rPr>
                <w:sz w:val="10"/>
                <w:szCs w:val="10"/>
                <w:color w:val="auto"/>
              </w:rPr>
            </w:pPr>
          </w:p>
        </w:tc>
        <w:tc>
          <w:tcPr>
            <w:tcW w:w="3560" w:type="dxa"/>
            <w:vAlign w:val="bottom"/>
            <w:tcBorders>
              <w:right w:val="single" w:sz="8" w:color="CCEEFF"/>
            </w:tcBorders>
            <w:gridSpan w:val="2"/>
            <w:shd w:val="clear" w:color="auto" w:fill="CCEEFF"/>
          </w:tcPr>
          <w:p>
            <w:pPr>
              <w:ind w:left="40"/>
              <w:spacing w:after="0"/>
              <w:rPr>
                <w:sz w:val="20"/>
                <w:szCs w:val="20"/>
                <w:color w:val="auto"/>
              </w:rPr>
            </w:pPr>
            <w:r>
              <w:rPr>
                <w:rFonts w:ascii="Arial" w:cs="Arial" w:eastAsia="Arial" w:hAnsi="Arial"/>
                <w:sz w:val="11"/>
                <w:szCs w:val="11"/>
                <w:color w:val="050505"/>
              </w:rPr>
              <w:t>Sales and marketing</w:t>
            </w: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1"/>
                <w:szCs w:val="11"/>
                <w:color w:val="050505"/>
              </w:rPr>
              <w:t>0.4</w:t>
            </w:r>
          </w:p>
        </w:tc>
        <w:tc>
          <w:tcPr>
            <w:tcW w:w="80" w:type="dxa"/>
            <w:vAlign w:val="bottom"/>
            <w:tcBorders>
              <w:left w:val="single" w:sz="8" w:color="CCEEFF"/>
            </w:tcBorders>
            <w:shd w:val="clear" w:color="auto" w:fill="CCEEFF"/>
          </w:tcPr>
          <w:p>
            <w:pPr>
              <w:spacing w:after="0"/>
              <w:rPr>
                <w:sz w:val="10"/>
                <w:szCs w:val="10"/>
                <w:color w:val="auto"/>
              </w:rPr>
            </w:pPr>
          </w:p>
        </w:tc>
        <w:tc>
          <w:tcPr>
            <w:tcW w:w="460" w:type="dxa"/>
            <w:vAlign w:val="bottom"/>
            <w:tcBorders>
              <w:right w:val="single" w:sz="8" w:color="CCEEFF"/>
            </w:tcBorders>
            <w:shd w:val="clear" w:color="auto" w:fill="CCEEFF"/>
          </w:tcPr>
          <w:p>
            <w:pPr>
              <w:spacing w:after="0"/>
              <w:rPr>
                <w:sz w:val="10"/>
                <w:szCs w:val="1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1"/>
                <w:szCs w:val="11"/>
                <w:color w:val="050505"/>
              </w:rPr>
              <w:t>0.7</w:t>
            </w:r>
          </w:p>
        </w:tc>
        <w:tc>
          <w:tcPr>
            <w:tcW w:w="3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050505"/>
              </w:rPr>
              <w:t>8.4</w:t>
            </w:r>
          </w:p>
        </w:tc>
      </w:tr>
      <w:tr>
        <w:trPr>
          <w:trHeight w:val="126"/>
        </w:trPr>
        <w:tc>
          <w:tcPr>
            <w:tcW w:w="220" w:type="dxa"/>
            <w:vAlign w:val="bottom"/>
          </w:tcPr>
          <w:p>
            <w:pPr>
              <w:spacing w:after="0"/>
              <w:rPr>
                <w:sz w:val="10"/>
                <w:szCs w:val="10"/>
                <w:color w:val="auto"/>
              </w:rPr>
            </w:pPr>
          </w:p>
        </w:tc>
        <w:tc>
          <w:tcPr>
            <w:tcW w:w="3560" w:type="dxa"/>
            <w:vAlign w:val="bottom"/>
            <w:gridSpan w:val="2"/>
          </w:tcPr>
          <w:p>
            <w:pPr>
              <w:ind w:left="40"/>
              <w:spacing w:after="0"/>
              <w:rPr>
                <w:sz w:val="20"/>
                <w:szCs w:val="20"/>
                <w:color w:val="auto"/>
              </w:rPr>
            </w:pPr>
            <w:r>
              <w:rPr>
                <w:rFonts w:ascii="Arial" w:cs="Arial" w:eastAsia="Arial" w:hAnsi="Arial"/>
                <w:sz w:val="11"/>
                <w:szCs w:val="11"/>
                <w:color w:val="050505"/>
              </w:rPr>
              <w:t>General and administrative</w:t>
            </w: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050505"/>
              </w:rPr>
              <w:t>9.5</w:t>
            </w: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050505"/>
              </w:rPr>
              <w:t>6.5</w:t>
            </w:r>
          </w:p>
        </w:tc>
        <w:tc>
          <w:tcPr>
            <w:tcW w:w="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1"/>
                <w:szCs w:val="11"/>
                <w:color w:val="050505"/>
              </w:rPr>
              <w:t>70.5</w:t>
            </w:r>
          </w:p>
        </w:tc>
      </w:tr>
      <w:tr>
        <w:trPr>
          <w:trHeight w:val="20"/>
        </w:trPr>
        <w:tc>
          <w:tcPr>
            <w:tcW w:w="2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980" w:type="dxa"/>
            <w:vAlign w:val="bottom"/>
            <w:tcBorders>
              <w:right w:val="single" w:sz="8" w:color="auto"/>
            </w:tcBorders>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right w:val="single" w:sz="8" w:color="auto"/>
            </w:tcBorders>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31"/>
        </w:trPr>
        <w:tc>
          <w:tcPr>
            <w:tcW w:w="220" w:type="dxa"/>
            <w:vAlign w:val="bottom"/>
          </w:tcPr>
          <w:p>
            <w:pPr>
              <w:spacing w:after="0"/>
              <w:rPr>
                <w:sz w:val="11"/>
                <w:szCs w:val="11"/>
                <w:color w:val="auto"/>
              </w:rPr>
            </w:pPr>
          </w:p>
        </w:tc>
        <w:tc>
          <w:tcPr>
            <w:tcW w:w="3560" w:type="dxa"/>
            <w:vAlign w:val="bottom"/>
            <w:tcBorders>
              <w:right w:val="single" w:sz="8" w:color="CCEEFF"/>
            </w:tcBorders>
            <w:gridSpan w:val="2"/>
            <w:shd w:val="clear" w:color="auto" w:fill="CCEEFF"/>
          </w:tcPr>
          <w:p>
            <w:pPr>
              <w:ind w:left="380"/>
              <w:spacing w:after="0" w:line="124" w:lineRule="exact"/>
              <w:rPr>
                <w:sz w:val="20"/>
                <w:szCs w:val="20"/>
                <w:color w:val="auto"/>
              </w:rPr>
            </w:pPr>
            <w:r>
              <w:rPr>
                <w:rFonts w:ascii="Arial" w:cs="Arial" w:eastAsia="Arial" w:hAnsi="Arial"/>
                <w:sz w:val="11"/>
                <w:szCs w:val="11"/>
                <w:color w:val="050505"/>
              </w:rPr>
              <w:t>Total stock-based compensation expense</w:t>
            </w:r>
          </w:p>
        </w:tc>
        <w:tc>
          <w:tcPr>
            <w:tcW w:w="40" w:type="dxa"/>
            <w:vAlign w:val="bottom"/>
            <w:shd w:val="clear" w:color="auto" w:fill="CCEEFF"/>
          </w:tcPr>
          <w:p>
            <w:pPr>
              <w:jc w:val="right"/>
              <w:spacing w:after="0"/>
              <w:rPr>
                <w:sz w:val="20"/>
                <w:szCs w:val="20"/>
                <w:color w:val="auto"/>
              </w:rPr>
            </w:pPr>
            <w:r>
              <w:rPr>
                <w:rFonts w:ascii="Arial" w:cs="Arial" w:eastAsia="Arial" w:hAnsi="Arial"/>
                <w:sz w:val="5"/>
                <w:szCs w:val="5"/>
                <w:color w:val="050505"/>
                <w:w w:val="70"/>
              </w:rPr>
              <w:t>$</w:t>
            </w: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24" w:lineRule="exact"/>
              <w:rPr>
                <w:sz w:val="20"/>
                <w:szCs w:val="20"/>
                <w:color w:val="auto"/>
              </w:rPr>
            </w:pPr>
            <w:r>
              <w:rPr>
                <w:rFonts w:ascii="Arial" w:cs="Arial" w:eastAsia="Arial" w:hAnsi="Arial"/>
                <w:sz w:val="11"/>
                <w:szCs w:val="11"/>
                <w:color w:val="050505"/>
              </w:rPr>
              <w:t>10.3</w:t>
            </w:r>
          </w:p>
        </w:tc>
        <w:tc>
          <w:tcPr>
            <w:tcW w:w="80" w:type="dxa"/>
            <w:vAlign w:val="bottom"/>
            <w:tcBorders>
              <w:left w:val="single" w:sz="8" w:color="CCEEFF"/>
            </w:tcBorders>
            <w:shd w:val="clear" w:color="auto" w:fill="CCEEFF"/>
          </w:tcPr>
          <w:p>
            <w:pPr>
              <w:spacing w:after="0"/>
              <w:rPr>
                <w:sz w:val="11"/>
                <w:szCs w:val="11"/>
                <w:color w:val="auto"/>
              </w:rPr>
            </w:pPr>
          </w:p>
        </w:tc>
        <w:tc>
          <w:tcPr>
            <w:tcW w:w="460" w:type="dxa"/>
            <w:vAlign w:val="bottom"/>
            <w:tcBorders>
              <w:right w:val="single" w:sz="8" w:color="CCEEFF"/>
            </w:tcBorders>
            <w:shd w:val="clear" w:color="auto" w:fill="CCEEFF"/>
          </w:tcPr>
          <w:p>
            <w:pPr>
              <w:jc w:val="right"/>
              <w:spacing w:after="0" w:line="124" w:lineRule="exact"/>
              <w:rPr>
                <w:sz w:val="20"/>
                <w:szCs w:val="20"/>
                <w:color w:val="auto"/>
              </w:rPr>
            </w:pPr>
            <w:r>
              <w:rPr>
                <w:rFonts w:ascii="Arial" w:cs="Arial" w:eastAsia="Arial" w:hAnsi="Arial"/>
                <w:sz w:val="11"/>
                <w:szCs w:val="11"/>
                <w:color w:val="050505"/>
              </w:rPr>
              <w:t>$</w:t>
            </w:r>
          </w:p>
        </w:tc>
        <w:tc>
          <w:tcPr>
            <w:tcW w:w="660" w:type="dxa"/>
            <w:vAlign w:val="bottom"/>
            <w:shd w:val="clear" w:color="auto" w:fill="CCEEFF"/>
          </w:tcPr>
          <w:p>
            <w:pPr>
              <w:jc w:val="right"/>
              <w:spacing w:after="0" w:line="124" w:lineRule="exact"/>
              <w:rPr>
                <w:sz w:val="20"/>
                <w:szCs w:val="20"/>
                <w:color w:val="auto"/>
              </w:rPr>
            </w:pPr>
            <w:r>
              <w:rPr>
                <w:rFonts w:ascii="Arial" w:cs="Arial" w:eastAsia="Arial" w:hAnsi="Arial"/>
                <w:sz w:val="11"/>
                <w:szCs w:val="11"/>
                <w:color w:val="050505"/>
              </w:rPr>
              <w:t>8.5</w:t>
            </w:r>
          </w:p>
        </w:tc>
        <w:tc>
          <w:tcPr>
            <w:tcW w:w="380" w:type="dxa"/>
            <w:vAlign w:val="bottom"/>
            <w:shd w:val="clear" w:color="auto" w:fill="CCEEFF"/>
          </w:tcPr>
          <w:p>
            <w:pPr>
              <w:spacing w:after="0"/>
              <w:rPr>
                <w:sz w:val="11"/>
                <w:szCs w:val="11"/>
                <w:color w:val="auto"/>
              </w:rPr>
            </w:pPr>
          </w:p>
        </w:tc>
        <w:tc>
          <w:tcPr>
            <w:tcW w:w="160" w:type="dxa"/>
            <w:vAlign w:val="bottom"/>
            <w:gridSpan w:val="3"/>
            <w:shd w:val="clear" w:color="auto" w:fill="CCEEFF"/>
          </w:tcPr>
          <w:p>
            <w:pPr>
              <w:jc w:val="right"/>
              <w:ind w:right="20"/>
              <w:spacing w:after="0" w:line="124" w:lineRule="exact"/>
              <w:rPr>
                <w:sz w:val="20"/>
                <w:szCs w:val="20"/>
                <w:color w:val="auto"/>
              </w:rPr>
            </w:pPr>
            <w:r>
              <w:rPr>
                <w:rFonts w:ascii="Arial" w:cs="Arial" w:eastAsia="Arial" w:hAnsi="Arial"/>
                <w:sz w:val="11"/>
                <w:szCs w:val="11"/>
                <w:color w:val="050505"/>
              </w:rPr>
              <w:t>$</w:t>
            </w:r>
          </w:p>
        </w:tc>
        <w:tc>
          <w:tcPr>
            <w:tcW w:w="680" w:type="dxa"/>
            <w:vAlign w:val="bottom"/>
            <w:gridSpan w:val="2"/>
            <w:shd w:val="clear" w:color="auto" w:fill="CCEEFF"/>
          </w:tcPr>
          <w:p>
            <w:pPr>
              <w:jc w:val="right"/>
              <w:ind w:right="40"/>
              <w:spacing w:after="0" w:line="124" w:lineRule="exact"/>
              <w:rPr>
                <w:sz w:val="20"/>
                <w:szCs w:val="20"/>
                <w:color w:val="auto"/>
              </w:rPr>
            </w:pPr>
            <w:r>
              <w:rPr>
                <w:rFonts w:ascii="Arial" w:cs="Arial" w:eastAsia="Arial" w:hAnsi="Arial"/>
                <w:sz w:val="11"/>
                <w:szCs w:val="11"/>
                <w:color w:val="050505"/>
              </w:rPr>
              <w:t>89.5</w:t>
            </w:r>
          </w:p>
        </w:tc>
      </w:tr>
      <w:tr>
        <w:trPr>
          <w:trHeight w:val="150"/>
        </w:trPr>
        <w:tc>
          <w:tcPr>
            <w:tcW w:w="3780" w:type="dxa"/>
            <w:vAlign w:val="bottom"/>
            <w:gridSpan w:val="3"/>
          </w:tcPr>
          <w:p>
            <w:pPr>
              <w:spacing w:after="0"/>
              <w:rPr>
                <w:sz w:val="20"/>
                <w:szCs w:val="20"/>
                <w:color w:val="auto"/>
              </w:rPr>
            </w:pPr>
            <w:r>
              <w:rPr>
                <w:rFonts w:ascii="Arial" w:cs="Arial" w:eastAsia="Arial" w:hAnsi="Arial"/>
                <w:sz w:val="8"/>
                <w:szCs w:val="8"/>
                <w:color w:val="050505"/>
              </w:rPr>
              <w:t>(2)  Includes depreciation and amortization expense as follows:</w:t>
            </w:r>
          </w:p>
        </w:tc>
        <w:tc>
          <w:tcPr>
            <w:tcW w:w="4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3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40" w:type="dxa"/>
            <w:vAlign w:val="bottom"/>
          </w:tcPr>
          <w:p>
            <w:pPr>
              <w:spacing w:after="0"/>
              <w:rPr>
                <w:sz w:val="13"/>
                <w:szCs w:val="13"/>
                <w:color w:val="auto"/>
              </w:rPr>
            </w:pPr>
          </w:p>
        </w:tc>
      </w:tr>
      <w:tr>
        <w:trPr>
          <w:trHeight w:val="165"/>
        </w:trPr>
        <w:tc>
          <w:tcPr>
            <w:tcW w:w="2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3"/>
          </w:tcPr>
          <w:p>
            <w:pPr>
              <w:jc w:val="center"/>
              <w:spacing w:after="0"/>
              <w:rPr>
                <w:sz w:val="20"/>
                <w:szCs w:val="20"/>
                <w:color w:val="auto"/>
              </w:rPr>
            </w:pPr>
            <w:r>
              <w:rPr>
                <w:rFonts w:ascii="Arial" w:cs="Arial" w:eastAsia="Arial" w:hAnsi="Arial"/>
                <w:sz w:val="11"/>
                <w:szCs w:val="11"/>
                <w:b w:val="1"/>
                <w:bCs w:val="1"/>
                <w:color w:val="050505"/>
                <w:w w:val="98"/>
              </w:rPr>
              <w:t>Fiscal Year Ended June 30,</w:t>
            </w:r>
          </w:p>
        </w:tc>
        <w:tc>
          <w:tcPr>
            <w:tcW w:w="4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r>
      <w:tr>
        <w:trPr>
          <w:trHeight w:val="115"/>
        </w:trPr>
        <w:tc>
          <w:tcPr>
            <w:tcW w:w="22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1980" w:type="dxa"/>
            <w:vAlign w:val="bottom"/>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jc w:val="right"/>
              <w:ind w:right="166"/>
              <w:spacing w:after="0" w:line="115" w:lineRule="exact"/>
              <w:rPr>
                <w:sz w:val="20"/>
                <w:szCs w:val="20"/>
                <w:color w:val="auto"/>
              </w:rPr>
            </w:pPr>
            <w:r>
              <w:rPr>
                <w:rFonts w:ascii="Arial" w:cs="Arial" w:eastAsia="Arial" w:hAnsi="Arial"/>
                <w:sz w:val="11"/>
                <w:szCs w:val="11"/>
                <w:b w:val="1"/>
                <w:bCs w:val="1"/>
                <w:color w:val="050505"/>
              </w:rPr>
              <w:t>2017</w:t>
            </w:r>
          </w:p>
        </w:tc>
        <w:tc>
          <w:tcPr>
            <w:tcW w:w="8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jc w:val="center"/>
              <w:ind w:right="6"/>
              <w:spacing w:after="0" w:line="115" w:lineRule="exact"/>
              <w:rPr>
                <w:sz w:val="20"/>
                <w:szCs w:val="20"/>
                <w:color w:val="auto"/>
              </w:rPr>
            </w:pPr>
            <w:r>
              <w:rPr>
                <w:rFonts w:ascii="Arial" w:cs="Arial" w:eastAsia="Arial" w:hAnsi="Arial"/>
                <w:sz w:val="11"/>
                <w:szCs w:val="11"/>
                <w:b w:val="1"/>
                <w:bCs w:val="1"/>
                <w:color w:val="050505"/>
                <w:w w:val="97"/>
              </w:rPr>
              <w:t>2018</w:t>
            </w:r>
          </w:p>
        </w:tc>
        <w:tc>
          <w:tcPr>
            <w:tcW w:w="38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jc w:val="right"/>
              <w:ind w:right="186"/>
              <w:spacing w:after="0" w:line="115" w:lineRule="exact"/>
              <w:rPr>
                <w:sz w:val="20"/>
                <w:szCs w:val="20"/>
                <w:color w:val="auto"/>
              </w:rPr>
            </w:pPr>
            <w:r>
              <w:rPr>
                <w:rFonts w:ascii="Arial" w:cs="Arial" w:eastAsia="Arial" w:hAnsi="Arial"/>
                <w:sz w:val="11"/>
                <w:szCs w:val="11"/>
                <w:b w:val="1"/>
                <w:bCs w:val="1"/>
                <w:color w:val="050505"/>
              </w:rPr>
              <w:t>2019</w:t>
            </w:r>
          </w:p>
        </w:tc>
        <w:tc>
          <w:tcPr>
            <w:tcW w:w="40" w:type="dxa"/>
            <w:vAlign w:val="bottom"/>
          </w:tcPr>
          <w:p>
            <w:pPr>
              <w:spacing w:after="0"/>
              <w:rPr>
                <w:sz w:val="10"/>
                <w:szCs w:val="10"/>
                <w:color w:val="auto"/>
              </w:rPr>
            </w:pPr>
          </w:p>
        </w:tc>
      </w:tr>
      <w:tr>
        <w:trPr>
          <w:trHeight w:val="115"/>
        </w:trPr>
        <w:tc>
          <w:tcPr>
            <w:tcW w:w="22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19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40" w:type="dxa"/>
            <w:vAlign w:val="bottom"/>
            <w:gridSpan w:val="2"/>
          </w:tcPr>
          <w:p>
            <w:pPr>
              <w:jc w:val="center"/>
              <w:ind w:right="440"/>
              <w:spacing w:after="0" w:line="115" w:lineRule="exact"/>
              <w:rPr>
                <w:sz w:val="20"/>
                <w:szCs w:val="20"/>
                <w:color w:val="auto"/>
              </w:rPr>
            </w:pPr>
            <w:r>
              <w:rPr>
                <w:rFonts w:ascii="Arial" w:cs="Arial" w:eastAsia="Arial" w:hAnsi="Arial"/>
                <w:sz w:val="11"/>
                <w:szCs w:val="11"/>
                <w:b w:val="1"/>
                <w:bCs w:val="1"/>
                <w:color w:val="050505"/>
                <w:w w:val="97"/>
              </w:rPr>
              <w:t>(in millions)</w:t>
            </w: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0" w:type="dxa"/>
            <w:vAlign w:val="bottom"/>
          </w:tcPr>
          <w:p>
            <w:pPr>
              <w:spacing w:after="0"/>
              <w:rPr>
                <w:sz w:val="10"/>
                <w:szCs w:val="10"/>
                <w:color w:val="auto"/>
              </w:rPr>
            </w:pPr>
          </w:p>
        </w:tc>
      </w:tr>
      <w:tr>
        <w:trPr>
          <w:trHeight w:val="126"/>
        </w:trPr>
        <w:tc>
          <w:tcPr>
            <w:tcW w:w="220" w:type="dxa"/>
            <w:vAlign w:val="bottom"/>
          </w:tcPr>
          <w:p>
            <w:pPr>
              <w:spacing w:after="0"/>
              <w:rPr>
                <w:sz w:val="10"/>
                <w:szCs w:val="10"/>
                <w:color w:val="auto"/>
              </w:rPr>
            </w:pPr>
          </w:p>
        </w:tc>
        <w:tc>
          <w:tcPr>
            <w:tcW w:w="3560" w:type="dxa"/>
            <w:vAlign w:val="bottom"/>
            <w:tcBorders>
              <w:right w:val="single" w:sz="8" w:color="CCEEFF"/>
            </w:tcBorders>
            <w:gridSpan w:val="2"/>
            <w:shd w:val="clear" w:color="auto" w:fill="CCEEFF"/>
          </w:tcPr>
          <w:p>
            <w:pPr>
              <w:ind w:left="40"/>
              <w:spacing w:after="0"/>
              <w:rPr>
                <w:sz w:val="20"/>
                <w:szCs w:val="20"/>
                <w:color w:val="auto"/>
              </w:rPr>
            </w:pPr>
            <w:r>
              <w:rPr>
                <w:rFonts w:ascii="Arial" w:cs="Arial" w:eastAsia="Arial" w:hAnsi="Arial"/>
                <w:sz w:val="11"/>
                <w:szCs w:val="11"/>
                <w:color w:val="050505"/>
              </w:rPr>
              <w:t>Cost of revenue:</w:t>
            </w: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80" w:type="dxa"/>
            <w:vAlign w:val="bottom"/>
            <w:tcBorders>
              <w:left w:val="single" w:sz="8" w:color="CCEEFF"/>
            </w:tcBorders>
            <w:shd w:val="clear" w:color="auto" w:fill="CCEEFF"/>
          </w:tcPr>
          <w:p>
            <w:pPr>
              <w:spacing w:after="0"/>
              <w:rPr>
                <w:sz w:val="10"/>
                <w:szCs w:val="10"/>
                <w:color w:val="auto"/>
              </w:rPr>
            </w:pPr>
          </w:p>
        </w:tc>
        <w:tc>
          <w:tcPr>
            <w:tcW w:w="460" w:type="dxa"/>
            <w:vAlign w:val="bottom"/>
            <w:tcBorders>
              <w:right w:val="single" w:sz="8" w:color="CCEEFF"/>
            </w:tcBorders>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tcBorders>
              <w:right w:val="single" w:sz="8" w:color="CCEEFF"/>
            </w:tcBorders>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r>
      <w:tr>
        <w:trPr>
          <w:trHeight w:val="126"/>
        </w:trPr>
        <w:tc>
          <w:tcPr>
            <w:tcW w:w="220" w:type="dxa"/>
            <w:vAlign w:val="bottom"/>
          </w:tcPr>
          <w:p>
            <w:pPr>
              <w:spacing w:after="0"/>
              <w:rPr>
                <w:sz w:val="10"/>
                <w:szCs w:val="10"/>
                <w:color w:val="auto"/>
              </w:rPr>
            </w:pPr>
          </w:p>
        </w:tc>
        <w:tc>
          <w:tcPr>
            <w:tcW w:w="3560" w:type="dxa"/>
            <w:vAlign w:val="bottom"/>
            <w:gridSpan w:val="2"/>
          </w:tcPr>
          <w:p>
            <w:pPr>
              <w:ind w:left="160"/>
              <w:spacing w:after="0"/>
              <w:rPr>
                <w:sz w:val="20"/>
                <w:szCs w:val="20"/>
                <w:color w:val="auto"/>
              </w:rPr>
            </w:pPr>
            <w:r>
              <w:rPr>
                <w:rFonts w:ascii="Arial" w:cs="Arial" w:eastAsia="Arial" w:hAnsi="Arial"/>
                <w:sz w:val="11"/>
                <w:szCs w:val="11"/>
                <w:color w:val="050505"/>
              </w:rPr>
              <w:t>Connected Fitness Products</w:t>
            </w:r>
          </w:p>
        </w:tc>
        <w:tc>
          <w:tcPr>
            <w:tcW w:w="140" w:type="dxa"/>
            <w:vAlign w:val="bottom"/>
            <w:gridSpan w:val="2"/>
          </w:tcPr>
          <w:p>
            <w:pPr>
              <w:jc w:val="right"/>
              <w:ind w:right="80"/>
              <w:spacing w:after="0"/>
              <w:rPr>
                <w:sz w:val="20"/>
                <w:szCs w:val="20"/>
                <w:color w:val="auto"/>
              </w:rPr>
            </w:pPr>
            <w:r>
              <w:rPr>
                <w:rFonts w:ascii="Arial" w:cs="Arial" w:eastAsia="Arial" w:hAnsi="Arial"/>
                <w:sz w:val="10"/>
                <w:szCs w:val="10"/>
                <w:color w:val="050505"/>
                <w:w w:val="71"/>
              </w:rPr>
              <w:t>$</w:t>
            </w:r>
          </w:p>
        </w:tc>
        <w:tc>
          <w:tcPr>
            <w:tcW w:w="640" w:type="dxa"/>
            <w:vAlign w:val="bottom"/>
            <w:gridSpan w:val="2"/>
          </w:tcPr>
          <w:p>
            <w:pPr>
              <w:jc w:val="right"/>
              <w:ind w:right="60"/>
              <w:spacing w:after="0"/>
              <w:rPr>
                <w:sz w:val="20"/>
                <w:szCs w:val="20"/>
                <w:color w:val="auto"/>
              </w:rPr>
            </w:pPr>
            <w:r>
              <w:rPr>
                <w:rFonts w:ascii="Arial" w:cs="Arial" w:eastAsia="Arial" w:hAnsi="Arial"/>
                <w:sz w:val="11"/>
                <w:szCs w:val="11"/>
                <w:color w:val="050505"/>
              </w:rPr>
              <w:t>0.4</w:t>
            </w:r>
          </w:p>
        </w:tc>
        <w:tc>
          <w:tcPr>
            <w:tcW w:w="460" w:type="dxa"/>
            <w:vAlign w:val="bottom"/>
          </w:tcPr>
          <w:p>
            <w:pPr>
              <w:jc w:val="right"/>
              <w:spacing w:after="0"/>
              <w:rPr>
                <w:sz w:val="20"/>
                <w:szCs w:val="20"/>
                <w:color w:val="auto"/>
              </w:rPr>
            </w:pPr>
            <w:r>
              <w:rPr>
                <w:rFonts w:ascii="Arial" w:cs="Arial" w:eastAsia="Arial" w:hAnsi="Arial"/>
                <w:sz w:val="11"/>
                <w:szCs w:val="11"/>
                <w:color w:val="050505"/>
              </w:rPr>
              <w:t>$</w:t>
            </w:r>
          </w:p>
        </w:tc>
        <w:tc>
          <w:tcPr>
            <w:tcW w:w="1040" w:type="dxa"/>
            <w:vAlign w:val="bottom"/>
            <w:gridSpan w:val="2"/>
          </w:tcPr>
          <w:p>
            <w:pPr>
              <w:jc w:val="right"/>
              <w:ind w:right="380"/>
              <w:spacing w:after="0"/>
              <w:rPr>
                <w:sz w:val="20"/>
                <w:szCs w:val="20"/>
                <w:color w:val="auto"/>
              </w:rPr>
            </w:pPr>
            <w:r>
              <w:rPr>
                <w:rFonts w:ascii="Arial" w:cs="Arial" w:eastAsia="Arial" w:hAnsi="Arial"/>
                <w:sz w:val="11"/>
                <w:szCs w:val="11"/>
                <w:color w:val="050505"/>
              </w:rPr>
              <w:t>0.3</w:t>
            </w: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1"/>
                <w:szCs w:val="11"/>
                <w:color w:val="050505"/>
              </w:rPr>
              <w:t>1.2</w:t>
            </w:r>
          </w:p>
        </w:tc>
      </w:tr>
      <w:tr>
        <w:trPr>
          <w:trHeight w:val="126"/>
        </w:trPr>
        <w:tc>
          <w:tcPr>
            <w:tcW w:w="220" w:type="dxa"/>
            <w:vAlign w:val="bottom"/>
          </w:tcPr>
          <w:p>
            <w:pPr>
              <w:spacing w:after="0"/>
              <w:rPr>
                <w:sz w:val="10"/>
                <w:szCs w:val="10"/>
                <w:color w:val="auto"/>
              </w:rPr>
            </w:pPr>
          </w:p>
        </w:tc>
        <w:tc>
          <w:tcPr>
            <w:tcW w:w="3560" w:type="dxa"/>
            <w:vAlign w:val="bottom"/>
            <w:tcBorders>
              <w:right w:val="single" w:sz="8" w:color="CCEEFF"/>
            </w:tcBorders>
            <w:gridSpan w:val="2"/>
            <w:shd w:val="clear" w:color="auto" w:fill="CCEEFF"/>
          </w:tcPr>
          <w:p>
            <w:pPr>
              <w:ind w:left="160"/>
              <w:spacing w:after="0"/>
              <w:rPr>
                <w:sz w:val="20"/>
                <w:szCs w:val="20"/>
                <w:color w:val="auto"/>
              </w:rPr>
            </w:pPr>
            <w:r>
              <w:rPr>
                <w:rFonts w:ascii="Arial" w:cs="Arial" w:eastAsia="Arial" w:hAnsi="Arial"/>
                <w:sz w:val="11"/>
                <w:szCs w:val="11"/>
                <w:color w:val="050505"/>
              </w:rPr>
              <w:t>Subscription</w:t>
            </w: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050505"/>
              </w:rPr>
              <w:t>1.2</w:t>
            </w:r>
          </w:p>
        </w:tc>
        <w:tc>
          <w:tcPr>
            <w:tcW w:w="460" w:type="dxa"/>
            <w:vAlign w:val="bottom"/>
            <w:tcBorders>
              <w:right w:val="single" w:sz="8" w:color="CCEEFF"/>
            </w:tcBorders>
            <w:shd w:val="clear" w:color="auto" w:fill="CCEEFF"/>
          </w:tcPr>
          <w:p>
            <w:pPr>
              <w:spacing w:after="0"/>
              <w:rPr>
                <w:sz w:val="10"/>
                <w:szCs w:val="10"/>
                <w:color w:val="auto"/>
              </w:rPr>
            </w:pP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1"/>
                <w:szCs w:val="11"/>
                <w:color w:val="050505"/>
              </w:rPr>
              <w:t>2.8</w:t>
            </w: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050505"/>
              </w:rPr>
              <w:t>11.3</w:t>
            </w:r>
          </w:p>
        </w:tc>
      </w:tr>
      <w:tr>
        <w:trPr>
          <w:trHeight w:val="126"/>
        </w:trPr>
        <w:tc>
          <w:tcPr>
            <w:tcW w:w="220" w:type="dxa"/>
            <w:vAlign w:val="bottom"/>
          </w:tcPr>
          <w:p>
            <w:pPr>
              <w:spacing w:after="0"/>
              <w:rPr>
                <w:sz w:val="10"/>
                <w:szCs w:val="10"/>
                <w:color w:val="auto"/>
              </w:rPr>
            </w:pPr>
          </w:p>
        </w:tc>
        <w:tc>
          <w:tcPr>
            <w:tcW w:w="3560" w:type="dxa"/>
            <w:vAlign w:val="bottom"/>
            <w:gridSpan w:val="2"/>
          </w:tcPr>
          <w:p>
            <w:pPr>
              <w:ind w:left="160"/>
              <w:spacing w:after="0"/>
              <w:rPr>
                <w:sz w:val="20"/>
                <w:szCs w:val="20"/>
                <w:color w:val="auto"/>
              </w:rPr>
            </w:pPr>
            <w:r>
              <w:rPr>
                <w:rFonts w:ascii="Arial" w:cs="Arial" w:eastAsia="Arial" w:hAnsi="Arial"/>
                <w:sz w:val="11"/>
                <w:szCs w:val="11"/>
                <w:color w:val="050505"/>
              </w:rPr>
              <w:t>Other</w:t>
            </w: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1"/>
                <w:szCs w:val="11"/>
                <w:color w:val="050505"/>
              </w:rPr>
              <w:t>—</w:t>
            </w:r>
          </w:p>
        </w:tc>
        <w:tc>
          <w:tcPr>
            <w:tcW w:w="460" w:type="dxa"/>
            <w:vAlign w:val="bottom"/>
          </w:tcPr>
          <w:p>
            <w:pPr>
              <w:spacing w:after="0"/>
              <w:rPr>
                <w:sz w:val="10"/>
                <w:szCs w:val="10"/>
                <w:color w:val="auto"/>
              </w:rPr>
            </w:pPr>
          </w:p>
        </w:tc>
        <w:tc>
          <w:tcPr>
            <w:tcW w:w="1040" w:type="dxa"/>
            <w:vAlign w:val="bottom"/>
            <w:gridSpan w:val="2"/>
          </w:tcPr>
          <w:p>
            <w:pPr>
              <w:jc w:val="right"/>
              <w:ind w:right="380"/>
              <w:spacing w:after="0"/>
              <w:rPr>
                <w:sz w:val="20"/>
                <w:szCs w:val="20"/>
                <w:color w:val="auto"/>
              </w:rPr>
            </w:pPr>
            <w:r>
              <w:rPr>
                <w:rFonts w:ascii="Arial" w:cs="Arial" w:eastAsia="Arial" w:hAnsi="Arial"/>
                <w:sz w:val="11"/>
                <w:szCs w:val="11"/>
                <w:color w:val="050505"/>
              </w:rPr>
              <w:t>—</w:t>
            </w: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1"/>
                <w:szCs w:val="11"/>
                <w:color w:val="050505"/>
              </w:rPr>
              <w:t>—</w:t>
            </w:r>
          </w:p>
        </w:tc>
      </w:tr>
      <w:tr>
        <w:trPr>
          <w:trHeight w:val="20"/>
        </w:trPr>
        <w:tc>
          <w:tcPr>
            <w:tcW w:w="2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tcPr>
          <w:p>
            <w:pPr>
              <w:spacing w:after="0" w:line="20" w:lineRule="exact"/>
              <w:rPr>
                <w:sz w:val="1"/>
                <w:szCs w:val="1"/>
                <w:color w:val="auto"/>
              </w:rPr>
            </w:pPr>
          </w:p>
        </w:tc>
        <w:tc>
          <w:tcPr>
            <w:tcW w:w="460" w:type="dxa"/>
            <w:vAlign w:val="bottom"/>
            <w:tcBorders>
              <w:right w:val="single" w:sz="8" w:color="auto"/>
            </w:tcBorders>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24"/>
        </w:trPr>
        <w:tc>
          <w:tcPr>
            <w:tcW w:w="220" w:type="dxa"/>
            <w:vAlign w:val="bottom"/>
          </w:tcPr>
          <w:p>
            <w:pPr>
              <w:spacing w:after="0"/>
              <w:rPr>
                <w:sz w:val="10"/>
                <w:szCs w:val="10"/>
                <w:color w:val="auto"/>
              </w:rPr>
            </w:pPr>
          </w:p>
        </w:tc>
        <w:tc>
          <w:tcPr>
            <w:tcW w:w="3560" w:type="dxa"/>
            <w:vAlign w:val="bottom"/>
            <w:tcBorders>
              <w:right w:val="single" w:sz="8" w:color="CCEEFF"/>
            </w:tcBorders>
            <w:gridSpan w:val="2"/>
            <w:shd w:val="clear" w:color="auto" w:fill="CCEEFF"/>
          </w:tcPr>
          <w:p>
            <w:pPr>
              <w:ind w:left="260"/>
              <w:spacing w:after="0" w:line="124" w:lineRule="exact"/>
              <w:rPr>
                <w:sz w:val="20"/>
                <w:szCs w:val="20"/>
                <w:color w:val="auto"/>
              </w:rPr>
            </w:pPr>
            <w:r>
              <w:rPr>
                <w:rFonts w:ascii="Arial" w:cs="Arial" w:eastAsia="Arial" w:hAnsi="Arial"/>
                <w:sz w:val="11"/>
                <w:szCs w:val="11"/>
                <w:color w:val="050505"/>
              </w:rPr>
              <w:t>Total cost of revenue</w:t>
            </w: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40" w:type="dxa"/>
            <w:vAlign w:val="bottom"/>
            <w:gridSpan w:val="2"/>
            <w:shd w:val="clear" w:color="auto" w:fill="CCEEFF"/>
          </w:tcPr>
          <w:p>
            <w:pPr>
              <w:jc w:val="right"/>
              <w:ind w:right="60"/>
              <w:spacing w:after="0" w:line="124" w:lineRule="exact"/>
              <w:rPr>
                <w:sz w:val="20"/>
                <w:szCs w:val="20"/>
                <w:color w:val="auto"/>
              </w:rPr>
            </w:pPr>
            <w:r>
              <w:rPr>
                <w:rFonts w:ascii="Arial" w:cs="Arial" w:eastAsia="Arial" w:hAnsi="Arial"/>
                <w:sz w:val="11"/>
                <w:szCs w:val="11"/>
                <w:color w:val="050505"/>
              </w:rPr>
              <w:t>1.6</w:t>
            </w:r>
          </w:p>
        </w:tc>
        <w:tc>
          <w:tcPr>
            <w:tcW w:w="460" w:type="dxa"/>
            <w:vAlign w:val="bottom"/>
            <w:tcBorders>
              <w:right w:val="single" w:sz="8" w:color="CCEEFF"/>
            </w:tcBorders>
            <w:shd w:val="clear" w:color="auto" w:fill="CCEEFF"/>
          </w:tcPr>
          <w:p>
            <w:pPr>
              <w:spacing w:after="0"/>
              <w:rPr>
                <w:sz w:val="10"/>
                <w:szCs w:val="10"/>
                <w:color w:val="auto"/>
              </w:rPr>
            </w:pPr>
          </w:p>
        </w:tc>
        <w:tc>
          <w:tcPr>
            <w:tcW w:w="1040" w:type="dxa"/>
            <w:vAlign w:val="bottom"/>
            <w:gridSpan w:val="2"/>
            <w:shd w:val="clear" w:color="auto" w:fill="CCEEFF"/>
          </w:tcPr>
          <w:p>
            <w:pPr>
              <w:jc w:val="right"/>
              <w:ind w:right="380"/>
              <w:spacing w:after="0" w:line="124" w:lineRule="exact"/>
              <w:rPr>
                <w:sz w:val="20"/>
                <w:szCs w:val="20"/>
                <w:color w:val="auto"/>
              </w:rPr>
            </w:pPr>
            <w:r>
              <w:rPr>
                <w:rFonts w:ascii="Arial" w:cs="Arial" w:eastAsia="Arial" w:hAnsi="Arial"/>
                <w:sz w:val="11"/>
                <w:szCs w:val="11"/>
                <w:color w:val="050505"/>
              </w:rPr>
              <w:t>3.1</w:t>
            </w: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gridSpan w:val="2"/>
            <w:shd w:val="clear" w:color="auto" w:fill="CCEEFF"/>
          </w:tcPr>
          <w:p>
            <w:pPr>
              <w:jc w:val="right"/>
              <w:ind w:right="40"/>
              <w:spacing w:after="0" w:line="124" w:lineRule="exact"/>
              <w:rPr>
                <w:sz w:val="20"/>
                <w:szCs w:val="20"/>
                <w:color w:val="auto"/>
              </w:rPr>
            </w:pPr>
            <w:r>
              <w:rPr>
                <w:rFonts w:ascii="Arial" w:cs="Arial" w:eastAsia="Arial" w:hAnsi="Arial"/>
                <w:sz w:val="11"/>
                <w:szCs w:val="11"/>
                <w:color w:val="050505"/>
              </w:rPr>
              <w:t>12.6</w:t>
            </w:r>
          </w:p>
        </w:tc>
      </w:tr>
      <w:tr>
        <w:trPr>
          <w:trHeight w:val="20"/>
        </w:trPr>
        <w:tc>
          <w:tcPr>
            <w:tcW w:w="220" w:type="dxa"/>
            <w:vAlign w:val="bottom"/>
          </w:tcPr>
          <w:p>
            <w:pPr>
              <w:spacing w:after="0" w:line="20" w:lineRule="exact"/>
              <w:rPr>
                <w:sz w:val="1"/>
                <w:szCs w:val="1"/>
                <w:color w:val="auto"/>
              </w:rPr>
            </w:pPr>
          </w:p>
        </w:tc>
        <w:tc>
          <w:tcPr>
            <w:tcW w:w="3560" w:type="dxa"/>
            <w:vAlign w:val="bottom"/>
            <w:gridSpan w:val="2"/>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tcPr>
          <w:p>
            <w:pPr>
              <w:spacing w:after="0" w:line="20" w:lineRule="exact"/>
              <w:rPr>
                <w:sz w:val="1"/>
                <w:szCs w:val="1"/>
                <w:color w:val="auto"/>
              </w:rPr>
            </w:pPr>
          </w:p>
        </w:tc>
        <w:tc>
          <w:tcPr>
            <w:tcW w:w="460" w:type="dxa"/>
            <w:vAlign w:val="bottom"/>
            <w:tcBorders>
              <w:right w:val="single" w:sz="8" w:color="auto"/>
            </w:tcBorders>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24"/>
        </w:trPr>
        <w:tc>
          <w:tcPr>
            <w:tcW w:w="220" w:type="dxa"/>
            <w:vAlign w:val="bottom"/>
          </w:tcPr>
          <w:p>
            <w:pPr>
              <w:spacing w:after="0"/>
              <w:rPr>
                <w:sz w:val="10"/>
                <w:szCs w:val="10"/>
                <w:color w:val="auto"/>
              </w:rPr>
            </w:pPr>
          </w:p>
        </w:tc>
        <w:tc>
          <w:tcPr>
            <w:tcW w:w="3560" w:type="dxa"/>
            <w:vAlign w:val="bottom"/>
            <w:gridSpan w:val="2"/>
          </w:tcPr>
          <w:p>
            <w:pPr>
              <w:ind w:left="40"/>
              <w:spacing w:after="0" w:line="124" w:lineRule="exact"/>
              <w:rPr>
                <w:sz w:val="20"/>
                <w:szCs w:val="20"/>
                <w:color w:val="auto"/>
              </w:rPr>
            </w:pPr>
            <w:r>
              <w:rPr>
                <w:rFonts w:ascii="Arial" w:cs="Arial" w:eastAsia="Arial" w:hAnsi="Arial"/>
                <w:sz w:val="11"/>
                <w:szCs w:val="11"/>
                <w:color w:val="050505"/>
              </w:rPr>
              <w:t>Research and development</w:t>
            </w: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gridSpan w:val="2"/>
          </w:tcPr>
          <w:p>
            <w:pPr>
              <w:jc w:val="right"/>
              <w:ind w:right="60"/>
              <w:spacing w:after="0" w:line="124" w:lineRule="exact"/>
              <w:rPr>
                <w:sz w:val="20"/>
                <w:szCs w:val="20"/>
                <w:color w:val="auto"/>
              </w:rPr>
            </w:pPr>
            <w:r>
              <w:rPr>
                <w:rFonts w:ascii="Arial" w:cs="Arial" w:eastAsia="Arial" w:hAnsi="Arial"/>
                <w:sz w:val="11"/>
                <w:szCs w:val="11"/>
                <w:color w:val="050505"/>
              </w:rPr>
              <w:t>—</w:t>
            </w:r>
          </w:p>
        </w:tc>
        <w:tc>
          <w:tcPr>
            <w:tcW w:w="460" w:type="dxa"/>
            <w:vAlign w:val="bottom"/>
          </w:tcPr>
          <w:p>
            <w:pPr>
              <w:spacing w:after="0"/>
              <w:rPr>
                <w:sz w:val="10"/>
                <w:szCs w:val="10"/>
                <w:color w:val="auto"/>
              </w:rPr>
            </w:pPr>
          </w:p>
        </w:tc>
        <w:tc>
          <w:tcPr>
            <w:tcW w:w="1040" w:type="dxa"/>
            <w:vAlign w:val="bottom"/>
            <w:gridSpan w:val="2"/>
          </w:tcPr>
          <w:p>
            <w:pPr>
              <w:jc w:val="right"/>
              <w:ind w:right="380"/>
              <w:spacing w:after="0" w:line="124" w:lineRule="exact"/>
              <w:rPr>
                <w:sz w:val="20"/>
                <w:szCs w:val="20"/>
                <w:color w:val="auto"/>
              </w:rPr>
            </w:pPr>
            <w:r>
              <w:rPr>
                <w:rFonts w:ascii="Arial" w:cs="Arial" w:eastAsia="Arial" w:hAnsi="Arial"/>
                <w:sz w:val="11"/>
                <w:szCs w:val="11"/>
                <w:color w:val="050505"/>
              </w:rPr>
              <w:t>—</w:t>
            </w: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gridSpan w:val="2"/>
          </w:tcPr>
          <w:p>
            <w:pPr>
              <w:jc w:val="right"/>
              <w:ind w:right="40"/>
              <w:spacing w:after="0" w:line="124" w:lineRule="exact"/>
              <w:rPr>
                <w:sz w:val="20"/>
                <w:szCs w:val="20"/>
                <w:color w:val="auto"/>
              </w:rPr>
            </w:pPr>
            <w:r>
              <w:rPr>
                <w:rFonts w:ascii="Arial" w:cs="Arial" w:eastAsia="Arial" w:hAnsi="Arial"/>
                <w:sz w:val="11"/>
                <w:szCs w:val="11"/>
                <w:color w:val="050505"/>
              </w:rPr>
              <w:t>—</w:t>
            </w:r>
          </w:p>
        </w:tc>
      </w:tr>
      <w:tr>
        <w:trPr>
          <w:trHeight w:val="126"/>
        </w:trPr>
        <w:tc>
          <w:tcPr>
            <w:tcW w:w="220" w:type="dxa"/>
            <w:vAlign w:val="bottom"/>
          </w:tcPr>
          <w:p>
            <w:pPr>
              <w:spacing w:after="0"/>
              <w:rPr>
                <w:sz w:val="10"/>
                <w:szCs w:val="10"/>
                <w:color w:val="auto"/>
              </w:rPr>
            </w:pPr>
          </w:p>
        </w:tc>
        <w:tc>
          <w:tcPr>
            <w:tcW w:w="3560" w:type="dxa"/>
            <w:vAlign w:val="bottom"/>
            <w:tcBorders>
              <w:right w:val="single" w:sz="8" w:color="CCEEFF"/>
            </w:tcBorders>
            <w:gridSpan w:val="2"/>
            <w:shd w:val="clear" w:color="auto" w:fill="CCEEFF"/>
          </w:tcPr>
          <w:p>
            <w:pPr>
              <w:ind w:left="40"/>
              <w:spacing w:after="0"/>
              <w:rPr>
                <w:sz w:val="20"/>
                <w:szCs w:val="20"/>
                <w:color w:val="auto"/>
              </w:rPr>
            </w:pPr>
            <w:r>
              <w:rPr>
                <w:rFonts w:ascii="Arial" w:cs="Arial" w:eastAsia="Arial" w:hAnsi="Arial"/>
                <w:sz w:val="11"/>
                <w:szCs w:val="11"/>
                <w:color w:val="050505"/>
              </w:rPr>
              <w:t>Sales and marketing</w:t>
            </w: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050505"/>
              </w:rPr>
              <w:t>1.0</w:t>
            </w:r>
          </w:p>
        </w:tc>
        <w:tc>
          <w:tcPr>
            <w:tcW w:w="460" w:type="dxa"/>
            <w:vAlign w:val="bottom"/>
            <w:tcBorders>
              <w:right w:val="single" w:sz="8" w:color="CCEEFF"/>
            </w:tcBorders>
            <w:shd w:val="clear" w:color="auto" w:fill="CCEEFF"/>
          </w:tcPr>
          <w:p>
            <w:pPr>
              <w:spacing w:after="0"/>
              <w:rPr>
                <w:sz w:val="10"/>
                <w:szCs w:val="10"/>
                <w:color w:val="auto"/>
              </w:rPr>
            </w:pP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1"/>
                <w:szCs w:val="11"/>
                <w:color w:val="050505"/>
              </w:rPr>
              <w:t>1.7</w:t>
            </w: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050505"/>
              </w:rPr>
              <w:t>4.0</w:t>
            </w:r>
          </w:p>
        </w:tc>
      </w:tr>
      <w:tr>
        <w:trPr>
          <w:trHeight w:val="126"/>
        </w:trPr>
        <w:tc>
          <w:tcPr>
            <w:tcW w:w="220" w:type="dxa"/>
            <w:vAlign w:val="bottom"/>
          </w:tcPr>
          <w:p>
            <w:pPr>
              <w:spacing w:after="0"/>
              <w:rPr>
                <w:sz w:val="10"/>
                <w:szCs w:val="10"/>
                <w:color w:val="auto"/>
              </w:rPr>
            </w:pPr>
          </w:p>
        </w:tc>
        <w:tc>
          <w:tcPr>
            <w:tcW w:w="3560" w:type="dxa"/>
            <w:vAlign w:val="bottom"/>
            <w:gridSpan w:val="2"/>
          </w:tcPr>
          <w:p>
            <w:pPr>
              <w:ind w:left="40"/>
              <w:spacing w:after="0"/>
              <w:rPr>
                <w:sz w:val="20"/>
                <w:szCs w:val="20"/>
                <w:color w:val="auto"/>
              </w:rPr>
            </w:pPr>
            <w:r>
              <w:rPr>
                <w:rFonts w:ascii="Arial" w:cs="Arial" w:eastAsia="Arial" w:hAnsi="Arial"/>
                <w:sz w:val="11"/>
                <w:szCs w:val="11"/>
                <w:color w:val="050505"/>
              </w:rPr>
              <w:t>General and administrative</w:t>
            </w: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1"/>
                <w:szCs w:val="11"/>
                <w:color w:val="050505"/>
              </w:rPr>
              <w:t>1.1</w:t>
            </w:r>
          </w:p>
        </w:tc>
        <w:tc>
          <w:tcPr>
            <w:tcW w:w="460" w:type="dxa"/>
            <w:vAlign w:val="bottom"/>
          </w:tcPr>
          <w:p>
            <w:pPr>
              <w:spacing w:after="0"/>
              <w:rPr>
                <w:sz w:val="10"/>
                <w:szCs w:val="10"/>
                <w:color w:val="auto"/>
              </w:rPr>
            </w:pPr>
          </w:p>
        </w:tc>
        <w:tc>
          <w:tcPr>
            <w:tcW w:w="1040" w:type="dxa"/>
            <w:vAlign w:val="bottom"/>
            <w:gridSpan w:val="2"/>
          </w:tcPr>
          <w:p>
            <w:pPr>
              <w:jc w:val="right"/>
              <w:ind w:right="380"/>
              <w:spacing w:after="0"/>
              <w:rPr>
                <w:sz w:val="20"/>
                <w:szCs w:val="20"/>
                <w:color w:val="auto"/>
              </w:rPr>
            </w:pPr>
            <w:r>
              <w:rPr>
                <w:rFonts w:ascii="Arial" w:cs="Arial" w:eastAsia="Arial" w:hAnsi="Arial"/>
                <w:sz w:val="11"/>
                <w:szCs w:val="11"/>
                <w:color w:val="050505"/>
              </w:rPr>
              <w:t>1.8</w:t>
            </w: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1"/>
                <w:szCs w:val="11"/>
                <w:color w:val="050505"/>
              </w:rPr>
              <w:t>5.2</w:t>
            </w:r>
          </w:p>
        </w:tc>
      </w:tr>
      <w:tr>
        <w:trPr>
          <w:trHeight w:val="20"/>
        </w:trPr>
        <w:tc>
          <w:tcPr>
            <w:tcW w:w="2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tcPr>
          <w:p>
            <w:pPr>
              <w:spacing w:after="0" w:line="20" w:lineRule="exact"/>
              <w:rPr>
                <w:sz w:val="1"/>
                <w:szCs w:val="1"/>
                <w:color w:val="auto"/>
              </w:rPr>
            </w:pPr>
          </w:p>
        </w:tc>
        <w:tc>
          <w:tcPr>
            <w:tcW w:w="460" w:type="dxa"/>
            <w:vAlign w:val="bottom"/>
            <w:tcBorders>
              <w:right w:val="single" w:sz="8" w:color="auto"/>
            </w:tcBorders>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24"/>
        </w:trPr>
        <w:tc>
          <w:tcPr>
            <w:tcW w:w="220" w:type="dxa"/>
            <w:vAlign w:val="bottom"/>
          </w:tcPr>
          <w:p>
            <w:pPr>
              <w:spacing w:after="0"/>
              <w:rPr>
                <w:sz w:val="10"/>
                <w:szCs w:val="10"/>
                <w:color w:val="auto"/>
              </w:rPr>
            </w:pPr>
          </w:p>
        </w:tc>
        <w:tc>
          <w:tcPr>
            <w:tcW w:w="3560" w:type="dxa"/>
            <w:vAlign w:val="bottom"/>
            <w:tcBorders>
              <w:right w:val="single" w:sz="8" w:color="CCEEFF"/>
            </w:tcBorders>
            <w:gridSpan w:val="2"/>
            <w:shd w:val="clear" w:color="auto" w:fill="CCEEFF"/>
          </w:tcPr>
          <w:p>
            <w:pPr>
              <w:ind w:left="380"/>
              <w:spacing w:after="0" w:line="124" w:lineRule="exact"/>
              <w:rPr>
                <w:sz w:val="20"/>
                <w:szCs w:val="20"/>
                <w:color w:val="auto"/>
              </w:rPr>
            </w:pPr>
            <w:r>
              <w:rPr>
                <w:rFonts w:ascii="Arial" w:cs="Arial" w:eastAsia="Arial" w:hAnsi="Arial"/>
                <w:sz w:val="11"/>
                <w:szCs w:val="11"/>
                <w:color w:val="050505"/>
              </w:rPr>
              <w:t>Total depreciation and amortization expense</w:t>
            </w:r>
          </w:p>
        </w:tc>
        <w:tc>
          <w:tcPr>
            <w:tcW w:w="140" w:type="dxa"/>
            <w:vAlign w:val="bottom"/>
            <w:gridSpan w:val="2"/>
            <w:shd w:val="clear" w:color="auto" w:fill="CCEEFF"/>
          </w:tcPr>
          <w:p>
            <w:pPr>
              <w:jc w:val="right"/>
              <w:ind w:right="80"/>
              <w:spacing w:after="0"/>
              <w:rPr>
                <w:sz w:val="20"/>
                <w:szCs w:val="20"/>
                <w:color w:val="auto"/>
              </w:rPr>
            </w:pPr>
            <w:r>
              <w:rPr>
                <w:rFonts w:ascii="Arial" w:cs="Arial" w:eastAsia="Arial" w:hAnsi="Arial"/>
                <w:sz w:val="10"/>
                <w:szCs w:val="10"/>
                <w:color w:val="050505"/>
                <w:w w:val="71"/>
              </w:rPr>
              <w:t>$</w:t>
            </w:r>
          </w:p>
        </w:tc>
        <w:tc>
          <w:tcPr>
            <w:tcW w:w="640" w:type="dxa"/>
            <w:vAlign w:val="bottom"/>
            <w:gridSpan w:val="2"/>
            <w:shd w:val="clear" w:color="auto" w:fill="CCEEFF"/>
          </w:tcPr>
          <w:p>
            <w:pPr>
              <w:jc w:val="right"/>
              <w:ind w:right="60"/>
              <w:spacing w:after="0" w:line="124" w:lineRule="exact"/>
              <w:rPr>
                <w:sz w:val="20"/>
                <w:szCs w:val="20"/>
                <w:color w:val="auto"/>
              </w:rPr>
            </w:pPr>
            <w:r>
              <w:rPr>
                <w:rFonts w:ascii="Arial" w:cs="Arial" w:eastAsia="Arial" w:hAnsi="Arial"/>
                <w:sz w:val="11"/>
                <w:szCs w:val="11"/>
                <w:color w:val="050505"/>
              </w:rPr>
              <w:t>3.7</w:t>
            </w:r>
          </w:p>
        </w:tc>
        <w:tc>
          <w:tcPr>
            <w:tcW w:w="460" w:type="dxa"/>
            <w:vAlign w:val="bottom"/>
            <w:tcBorders>
              <w:right w:val="single" w:sz="8" w:color="CCEEFF"/>
            </w:tcBorders>
            <w:shd w:val="clear" w:color="auto" w:fill="CCEEFF"/>
          </w:tcPr>
          <w:p>
            <w:pPr>
              <w:jc w:val="right"/>
              <w:spacing w:after="0" w:line="124" w:lineRule="exact"/>
              <w:rPr>
                <w:sz w:val="20"/>
                <w:szCs w:val="20"/>
                <w:color w:val="auto"/>
              </w:rPr>
            </w:pPr>
            <w:r>
              <w:rPr>
                <w:rFonts w:ascii="Arial" w:cs="Arial" w:eastAsia="Arial" w:hAnsi="Arial"/>
                <w:sz w:val="11"/>
                <w:szCs w:val="11"/>
                <w:color w:val="050505"/>
              </w:rPr>
              <w:t>$</w:t>
            </w:r>
          </w:p>
        </w:tc>
        <w:tc>
          <w:tcPr>
            <w:tcW w:w="1040" w:type="dxa"/>
            <w:vAlign w:val="bottom"/>
            <w:gridSpan w:val="2"/>
            <w:shd w:val="clear" w:color="auto" w:fill="CCEEFF"/>
          </w:tcPr>
          <w:p>
            <w:pPr>
              <w:jc w:val="right"/>
              <w:ind w:right="380"/>
              <w:spacing w:after="0" w:line="124" w:lineRule="exact"/>
              <w:rPr>
                <w:sz w:val="20"/>
                <w:szCs w:val="20"/>
                <w:color w:val="auto"/>
              </w:rPr>
            </w:pPr>
            <w:r>
              <w:rPr>
                <w:rFonts w:ascii="Arial" w:cs="Arial" w:eastAsia="Arial" w:hAnsi="Arial"/>
                <w:sz w:val="11"/>
                <w:szCs w:val="11"/>
                <w:color w:val="050505"/>
              </w:rPr>
              <w:t>6.6</w:t>
            </w:r>
          </w:p>
        </w:tc>
        <w:tc>
          <w:tcPr>
            <w:tcW w:w="160" w:type="dxa"/>
            <w:vAlign w:val="bottom"/>
            <w:gridSpan w:val="3"/>
            <w:shd w:val="clear" w:color="auto" w:fill="CCEEFF"/>
          </w:tcPr>
          <w:p>
            <w:pPr>
              <w:jc w:val="right"/>
              <w:ind w:right="20"/>
              <w:spacing w:after="0" w:line="124" w:lineRule="exact"/>
              <w:rPr>
                <w:sz w:val="20"/>
                <w:szCs w:val="20"/>
                <w:color w:val="auto"/>
              </w:rPr>
            </w:pPr>
            <w:r>
              <w:rPr>
                <w:rFonts w:ascii="Arial" w:cs="Arial" w:eastAsia="Arial" w:hAnsi="Arial"/>
                <w:sz w:val="11"/>
                <w:szCs w:val="11"/>
                <w:color w:val="050505"/>
              </w:rPr>
              <w:t>$</w:t>
            </w:r>
          </w:p>
        </w:tc>
        <w:tc>
          <w:tcPr>
            <w:tcW w:w="680" w:type="dxa"/>
            <w:vAlign w:val="bottom"/>
            <w:gridSpan w:val="2"/>
            <w:shd w:val="clear" w:color="auto" w:fill="CCEEFF"/>
          </w:tcPr>
          <w:p>
            <w:pPr>
              <w:jc w:val="right"/>
              <w:ind w:right="40"/>
              <w:spacing w:after="0" w:line="124" w:lineRule="exact"/>
              <w:rPr>
                <w:sz w:val="20"/>
                <w:szCs w:val="20"/>
                <w:color w:val="auto"/>
              </w:rPr>
            </w:pPr>
            <w:r>
              <w:rPr>
                <w:rFonts w:ascii="Arial" w:cs="Arial" w:eastAsia="Arial" w:hAnsi="Arial"/>
                <w:sz w:val="11"/>
                <w:szCs w:val="11"/>
                <w:color w:val="050505"/>
              </w:rPr>
              <w:t>21.7</w:t>
            </w:r>
          </w:p>
        </w:tc>
      </w:tr>
      <w:tr>
        <w:trPr>
          <w:trHeight w:val="27"/>
        </w:trPr>
        <w:tc>
          <w:tcPr>
            <w:tcW w:w="2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980" w:type="dxa"/>
            <w:vAlign w:val="bottom"/>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80" w:type="dxa"/>
            <w:vAlign w:val="bottom"/>
            <w:tcBorders>
              <w:left w:val="single" w:sz="8" w:color="auto"/>
            </w:tcBorders>
          </w:tcPr>
          <w:p>
            <w:pPr>
              <w:spacing w:after="0"/>
              <w:rPr>
                <w:sz w:val="2"/>
                <w:szCs w:val="2"/>
                <w:color w:val="auto"/>
              </w:rPr>
            </w:pPr>
          </w:p>
        </w:tc>
        <w:tc>
          <w:tcPr>
            <w:tcW w:w="460" w:type="dxa"/>
            <w:vAlign w:val="bottom"/>
            <w:tcBorders>
              <w:right w:val="single" w:sz="8" w:color="auto"/>
            </w:tcBorders>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tcBorders>
              <w:right w:val="single" w:sz="8" w:color="auto"/>
            </w:tcBorders>
            <w:shd w:val="clear" w:color="auto" w:fill="000000"/>
          </w:tcPr>
          <w:p>
            <w:pPr>
              <w:spacing w:after="0"/>
              <w:rPr>
                <w:sz w:val="2"/>
                <w:szCs w:val="2"/>
                <w:color w:val="auto"/>
              </w:rPr>
            </w:pPr>
          </w:p>
        </w:tc>
        <w:tc>
          <w:tcPr>
            <w:tcW w:w="40" w:type="dxa"/>
            <w:vAlign w:val="bottom"/>
          </w:tcPr>
          <w:p>
            <w:pPr>
              <w:spacing w:after="0"/>
              <w:rPr>
                <w:sz w:val="2"/>
                <w:szCs w:val="2"/>
                <w:color w:val="auto"/>
              </w:rPr>
            </w:pPr>
          </w:p>
        </w:tc>
      </w:tr>
    </w:tbl>
    <w:p>
      <w:pPr>
        <w:spacing w:after="0" w:line="212" w:lineRule="exact"/>
        <w:rPr>
          <w:sz w:val="20"/>
          <w:szCs w:val="20"/>
          <w:color w:val="auto"/>
        </w:rPr>
      </w:pPr>
    </w:p>
    <w:p>
      <w:pPr>
        <w:ind w:left="2480" w:hanging="195"/>
        <w:spacing w:after="0"/>
        <w:tabs>
          <w:tab w:leader="none" w:pos="2480" w:val="left"/>
        </w:tabs>
        <w:numPr>
          <w:ilvl w:val="0"/>
          <w:numId w:val="10"/>
        </w:numPr>
        <w:rPr>
          <w:rFonts w:ascii="Arial" w:cs="Arial" w:eastAsia="Arial" w:hAnsi="Arial"/>
          <w:sz w:val="8"/>
          <w:szCs w:val="8"/>
          <w:color w:val="050505"/>
        </w:rPr>
      </w:pPr>
      <w:r>
        <w:rPr>
          <w:rFonts w:ascii="Arial" w:cs="Arial" w:eastAsia="Arial" w:hAnsi="Arial"/>
          <w:sz w:val="8"/>
          <w:szCs w:val="8"/>
          <w:color w:val="050505"/>
        </w:rPr>
        <w:t>Included in subscription cost of revenue are content costs for past use as follows:</w:t>
      </w:r>
    </w:p>
    <w:p>
      <w:pPr>
        <w:spacing w:after="0" w:line="36" w:lineRule="exact"/>
        <w:rPr>
          <w:sz w:val="20"/>
          <w:szCs w:val="20"/>
          <w:color w:val="auto"/>
        </w:rPr>
      </w:pPr>
    </w:p>
    <w:tbl>
      <w:tblPr>
        <w:tblLayout w:type="fixed"/>
        <w:tblInd w:w="2280" w:type="dxa"/>
        <w:tblCellMar>
          <w:top w:w="0" w:type="dxa"/>
          <w:left w:w="0" w:type="dxa"/>
          <w:bottom w:w="0" w:type="dxa"/>
          <w:right w:w="0" w:type="dxa"/>
        </w:tblCellMar>
      </w:tblPr>
      <w:tr>
        <w:trPr>
          <w:trHeight w:val="137"/>
        </w:trPr>
        <w:tc>
          <w:tcPr>
            <w:tcW w:w="25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1560" w:type="dxa"/>
            <w:vAlign w:val="bottom"/>
            <w:tcBorders>
              <w:bottom w:val="single" w:sz="8" w:color="auto"/>
            </w:tcBorders>
            <w:gridSpan w:val="2"/>
          </w:tcPr>
          <w:p>
            <w:pPr>
              <w:jc w:val="center"/>
              <w:spacing w:after="0"/>
              <w:rPr>
                <w:sz w:val="20"/>
                <w:szCs w:val="20"/>
                <w:color w:val="auto"/>
              </w:rPr>
            </w:pPr>
            <w:r>
              <w:rPr>
                <w:rFonts w:ascii="Arial" w:cs="Arial" w:eastAsia="Arial" w:hAnsi="Arial"/>
                <w:sz w:val="11"/>
                <w:szCs w:val="11"/>
                <w:b w:val="1"/>
                <w:bCs w:val="1"/>
                <w:color w:val="050505"/>
                <w:w w:val="97"/>
              </w:rPr>
              <w:t>Fiscal Year Ended June 30,</w:t>
            </w:r>
          </w:p>
        </w:tc>
        <w:tc>
          <w:tcPr>
            <w:tcW w:w="24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40" w:type="dxa"/>
            <w:vAlign w:val="bottom"/>
          </w:tcPr>
          <w:p>
            <w:pPr>
              <w:spacing w:after="0"/>
              <w:rPr>
                <w:sz w:val="11"/>
                <w:szCs w:val="11"/>
                <w:color w:val="auto"/>
              </w:rPr>
            </w:pPr>
          </w:p>
        </w:tc>
      </w:tr>
      <w:tr>
        <w:trPr>
          <w:trHeight w:val="115"/>
        </w:trPr>
        <w:tc>
          <w:tcPr>
            <w:tcW w:w="254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jc w:val="right"/>
              <w:ind w:right="266"/>
              <w:spacing w:after="0" w:line="115" w:lineRule="exact"/>
              <w:rPr>
                <w:sz w:val="20"/>
                <w:szCs w:val="20"/>
                <w:color w:val="auto"/>
              </w:rPr>
            </w:pPr>
            <w:r>
              <w:rPr>
                <w:rFonts w:ascii="Arial" w:cs="Arial" w:eastAsia="Arial" w:hAnsi="Arial"/>
                <w:sz w:val="11"/>
                <w:szCs w:val="11"/>
                <w:b w:val="1"/>
                <w:bCs w:val="1"/>
                <w:color w:val="050505"/>
              </w:rPr>
              <w:t>2017</w:t>
            </w:r>
          </w:p>
        </w:tc>
        <w:tc>
          <w:tcPr>
            <w:tcW w:w="480" w:type="dxa"/>
            <w:vAlign w:val="bottom"/>
            <w:tcBorders>
              <w:bottom w:val="single" w:sz="8" w:color="auto"/>
            </w:tcBorders>
          </w:tcPr>
          <w:p>
            <w:pPr>
              <w:spacing w:after="0"/>
              <w:rPr>
                <w:sz w:val="10"/>
                <w:szCs w:val="10"/>
                <w:color w:val="auto"/>
              </w:rPr>
            </w:pPr>
          </w:p>
        </w:tc>
        <w:tc>
          <w:tcPr>
            <w:tcW w:w="1080" w:type="dxa"/>
            <w:vAlign w:val="bottom"/>
            <w:tcBorders>
              <w:bottom w:val="single" w:sz="8" w:color="auto"/>
            </w:tcBorders>
          </w:tcPr>
          <w:p>
            <w:pPr>
              <w:jc w:val="center"/>
              <w:ind w:right="426"/>
              <w:spacing w:after="0" w:line="115" w:lineRule="exact"/>
              <w:rPr>
                <w:sz w:val="20"/>
                <w:szCs w:val="20"/>
                <w:color w:val="auto"/>
              </w:rPr>
            </w:pPr>
            <w:r>
              <w:rPr>
                <w:rFonts w:ascii="Arial" w:cs="Arial" w:eastAsia="Arial" w:hAnsi="Arial"/>
                <w:sz w:val="11"/>
                <w:szCs w:val="11"/>
                <w:b w:val="1"/>
                <w:bCs w:val="1"/>
                <w:color w:val="050505"/>
                <w:w w:val="97"/>
              </w:rPr>
              <w:t>2018</w:t>
            </w:r>
          </w:p>
        </w:tc>
        <w:tc>
          <w:tcPr>
            <w:tcW w:w="24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jc w:val="right"/>
              <w:ind w:right="186"/>
              <w:spacing w:after="0" w:line="115" w:lineRule="exact"/>
              <w:rPr>
                <w:sz w:val="20"/>
                <w:szCs w:val="20"/>
                <w:color w:val="auto"/>
              </w:rPr>
            </w:pPr>
            <w:r>
              <w:rPr>
                <w:rFonts w:ascii="Arial" w:cs="Arial" w:eastAsia="Arial" w:hAnsi="Arial"/>
                <w:sz w:val="11"/>
                <w:szCs w:val="11"/>
                <w:b w:val="1"/>
                <w:bCs w:val="1"/>
                <w:color w:val="050505"/>
              </w:rPr>
              <w:t>2019</w:t>
            </w:r>
          </w:p>
        </w:tc>
        <w:tc>
          <w:tcPr>
            <w:tcW w:w="40" w:type="dxa"/>
            <w:vAlign w:val="bottom"/>
          </w:tcPr>
          <w:p>
            <w:pPr>
              <w:spacing w:after="0"/>
              <w:rPr>
                <w:sz w:val="10"/>
                <w:szCs w:val="10"/>
                <w:color w:val="auto"/>
              </w:rPr>
            </w:pPr>
          </w:p>
        </w:tc>
      </w:tr>
      <w:tr>
        <w:trPr>
          <w:trHeight w:val="115"/>
        </w:trPr>
        <w:tc>
          <w:tcPr>
            <w:tcW w:w="254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80" w:type="dxa"/>
            <w:vAlign w:val="bottom"/>
          </w:tcPr>
          <w:p>
            <w:pPr>
              <w:jc w:val="center"/>
              <w:ind w:right="426"/>
              <w:spacing w:after="0" w:line="115" w:lineRule="exact"/>
              <w:rPr>
                <w:sz w:val="20"/>
                <w:szCs w:val="20"/>
                <w:color w:val="auto"/>
              </w:rPr>
            </w:pPr>
            <w:r>
              <w:rPr>
                <w:rFonts w:ascii="Arial" w:cs="Arial" w:eastAsia="Arial" w:hAnsi="Arial"/>
                <w:sz w:val="11"/>
                <w:szCs w:val="11"/>
                <w:b w:val="1"/>
                <w:bCs w:val="1"/>
                <w:color w:val="050505"/>
                <w:w w:val="97"/>
              </w:rPr>
              <w:t>(in millions)</w:t>
            </w:r>
          </w:p>
        </w:tc>
        <w:tc>
          <w:tcPr>
            <w:tcW w:w="2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0" w:type="dxa"/>
            <w:vAlign w:val="bottom"/>
          </w:tcPr>
          <w:p>
            <w:pPr>
              <w:spacing w:after="0"/>
              <w:rPr>
                <w:sz w:val="10"/>
                <w:szCs w:val="10"/>
                <w:color w:val="auto"/>
              </w:rPr>
            </w:pPr>
          </w:p>
        </w:tc>
      </w:tr>
      <w:tr>
        <w:trPr>
          <w:trHeight w:val="126"/>
        </w:trPr>
        <w:tc>
          <w:tcPr>
            <w:tcW w:w="2540" w:type="dxa"/>
            <w:vAlign w:val="bottom"/>
            <w:shd w:val="clear" w:color="auto" w:fill="CCEEFF"/>
          </w:tcPr>
          <w:p>
            <w:pPr>
              <w:ind w:left="60"/>
              <w:spacing w:after="0" w:line="126" w:lineRule="exact"/>
              <w:rPr>
                <w:sz w:val="20"/>
                <w:szCs w:val="20"/>
                <w:color w:val="auto"/>
              </w:rPr>
            </w:pPr>
            <w:r>
              <w:rPr>
                <w:rFonts w:ascii="Arial" w:cs="Arial" w:eastAsia="Arial" w:hAnsi="Arial"/>
                <w:sz w:val="9"/>
                <w:szCs w:val="9"/>
                <w:color w:val="050505"/>
              </w:rPr>
              <w:t>Content costs for past use</w:t>
            </w:r>
            <w:r>
              <w:rPr>
                <w:rFonts w:ascii="Arial" w:cs="Arial" w:eastAsia="Arial" w:hAnsi="Arial"/>
                <w:sz w:val="14"/>
                <w:szCs w:val="14"/>
                <w:color w:val="050505"/>
                <w:vertAlign w:val="superscript"/>
              </w:rPr>
              <w:t>(1)</w:t>
            </w: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050505"/>
              </w:rPr>
              <w:t>$</w:t>
            </w:r>
          </w:p>
        </w:tc>
        <w:tc>
          <w:tcPr>
            <w:tcW w:w="660" w:type="dxa"/>
            <w:vAlign w:val="bottom"/>
            <w:shd w:val="clear" w:color="auto" w:fill="CCEEFF"/>
          </w:tcPr>
          <w:p>
            <w:pPr>
              <w:jc w:val="right"/>
              <w:ind w:right="26"/>
              <w:spacing w:after="0"/>
              <w:rPr>
                <w:sz w:val="20"/>
                <w:szCs w:val="20"/>
                <w:color w:val="auto"/>
              </w:rPr>
            </w:pPr>
            <w:r>
              <w:rPr>
                <w:rFonts w:ascii="Arial" w:cs="Arial" w:eastAsia="Arial" w:hAnsi="Arial"/>
                <w:sz w:val="11"/>
                <w:szCs w:val="11"/>
                <w:color w:val="050505"/>
              </w:rPr>
              <w:t>15.5</w:t>
            </w:r>
          </w:p>
        </w:tc>
        <w:tc>
          <w:tcPr>
            <w:tcW w:w="480" w:type="dxa"/>
            <w:vAlign w:val="bottom"/>
            <w:shd w:val="clear" w:color="auto" w:fill="CCEEFF"/>
          </w:tcPr>
          <w:p>
            <w:pPr>
              <w:jc w:val="right"/>
              <w:spacing w:after="0"/>
              <w:rPr>
                <w:sz w:val="20"/>
                <w:szCs w:val="20"/>
                <w:color w:val="auto"/>
              </w:rPr>
            </w:pPr>
            <w:r>
              <w:rPr>
                <w:rFonts w:ascii="Arial" w:cs="Arial" w:eastAsia="Arial" w:hAnsi="Arial"/>
                <w:sz w:val="11"/>
                <w:szCs w:val="11"/>
                <w:color w:val="050505"/>
              </w:rPr>
              <w:t>$</w:t>
            </w:r>
          </w:p>
        </w:tc>
        <w:tc>
          <w:tcPr>
            <w:tcW w:w="1080" w:type="dxa"/>
            <w:vAlign w:val="bottom"/>
            <w:shd w:val="clear" w:color="auto" w:fill="CCEEFF"/>
          </w:tcPr>
          <w:p>
            <w:pPr>
              <w:jc w:val="right"/>
              <w:ind w:right="366"/>
              <w:spacing w:after="0"/>
              <w:rPr>
                <w:sz w:val="20"/>
                <w:szCs w:val="20"/>
                <w:color w:val="auto"/>
              </w:rPr>
            </w:pPr>
            <w:r>
              <w:rPr>
                <w:rFonts w:ascii="Arial" w:cs="Arial" w:eastAsia="Arial" w:hAnsi="Arial"/>
                <w:sz w:val="11"/>
                <w:szCs w:val="11"/>
                <w:color w:val="050505"/>
              </w:rPr>
              <w:t>14.5</w:t>
            </w:r>
          </w:p>
        </w:tc>
        <w:tc>
          <w:tcPr>
            <w:tcW w:w="240" w:type="dxa"/>
            <w:vAlign w:val="bottom"/>
            <w:shd w:val="clear" w:color="auto" w:fill="CCEEFF"/>
          </w:tcPr>
          <w:p>
            <w:pPr>
              <w:jc w:val="right"/>
              <w:ind w:right="26"/>
              <w:spacing w:after="0"/>
              <w:rPr>
                <w:sz w:val="20"/>
                <w:szCs w:val="20"/>
                <w:color w:val="auto"/>
              </w:rPr>
            </w:pPr>
            <w:r>
              <w:rPr>
                <w:rFonts w:ascii="Arial" w:cs="Arial" w:eastAsia="Arial" w:hAnsi="Arial"/>
                <w:sz w:val="11"/>
                <w:szCs w:val="11"/>
                <w:color w:val="050505"/>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1"/>
                <w:szCs w:val="11"/>
                <w:color w:val="050505"/>
              </w:rPr>
              <w:t>16.4</w:t>
            </w:r>
          </w:p>
        </w:tc>
        <w:tc>
          <w:tcPr>
            <w:tcW w:w="40" w:type="dxa"/>
            <w:vAlign w:val="bottom"/>
            <w:shd w:val="clear" w:color="auto" w:fill="CCEEFF"/>
          </w:tcPr>
          <w:p>
            <w:pPr>
              <w:spacing w:after="0"/>
              <w:rPr>
                <w:sz w:val="10"/>
                <w:szCs w:val="10"/>
                <w:color w:val="auto"/>
              </w:rPr>
            </w:pPr>
          </w:p>
        </w:tc>
      </w:tr>
    </w:tbl>
    <w:p>
      <w:pPr>
        <w:spacing w:after="0" w:line="122" w:lineRule="exact"/>
        <w:rPr>
          <w:sz w:val="20"/>
          <w:szCs w:val="20"/>
          <w:color w:val="auto"/>
        </w:rPr>
      </w:pPr>
    </w:p>
    <w:p>
      <w:pPr>
        <w:jc w:val="both"/>
        <w:ind w:left="2680" w:right="1059" w:hanging="197"/>
        <w:spacing w:after="0" w:line="245" w:lineRule="auto"/>
        <w:tabs>
          <w:tab w:leader="none" w:pos="2680" w:val="left"/>
        </w:tabs>
        <w:numPr>
          <w:ilvl w:val="0"/>
          <w:numId w:val="11"/>
        </w:numPr>
        <w:rPr>
          <w:rFonts w:ascii="Arial" w:cs="Arial" w:eastAsia="Arial" w:hAnsi="Arial"/>
          <w:sz w:val="8"/>
          <w:szCs w:val="8"/>
          <w:color w:val="050505"/>
        </w:rPr>
      </w:pPr>
      <w:r>
        <w:rPr>
          <w:rFonts w:ascii="Arial" w:cs="Arial" w:eastAsia="Arial" w:hAnsi="Arial"/>
          <w:sz w:val="8"/>
          <w:szCs w:val="8"/>
          <w:color w:val="050505"/>
        </w:rPr>
        <w:t>From time-to-time, we execute music royalty agreements with various music rights holders. As part of these go-forward license agreements, we may also enter into agreements whereby we are released from all potential licensor claims regarding our alleged past use of copyrighted material in our content in exchange for a mutually-agreed payment. We refer to these payments as content costs for past use.</w:t>
      </w:r>
    </w:p>
    <w:p>
      <w:pPr>
        <w:spacing w:after="0" w:line="354" w:lineRule="exact"/>
        <w:rPr>
          <w:sz w:val="20"/>
          <w:szCs w:val="20"/>
          <w:color w:val="auto"/>
        </w:rPr>
      </w:pPr>
    </w:p>
    <w:p>
      <w:pPr>
        <w:ind w:left="5680"/>
        <w:spacing w:after="0"/>
        <w:rPr>
          <w:sz w:val="20"/>
          <w:szCs w:val="20"/>
          <w:color w:val="auto"/>
        </w:rPr>
      </w:pPr>
      <w:r>
        <w:rPr>
          <w:rFonts w:ascii="Arial" w:cs="Arial" w:eastAsia="Arial" w:hAnsi="Arial"/>
          <w:sz w:val="11"/>
          <w:szCs w:val="11"/>
          <w:color w:val="050505"/>
        </w:rPr>
        <w:t>13</w:t>
      </w:r>
    </w:p>
    <w:p>
      <w:pPr>
        <w:sectPr>
          <w:pgSz w:w="11900" w:h="16838" w:orient="portrait"/>
          <w:cols w:equalWidth="0" w:num="1">
            <w:col w:w="10239"/>
          </w:cols>
          <w:pgMar w:left="220" w:top="354" w:right="1440" w:bottom="1440" w:gutter="0" w:footer="0" w:header="0"/>
        </w:sectPr>
      </w:pPr>
    </w:p>
    <w:bookmarkStart w:id="18" w:name="page19"/>
    <w:bookmarkEnd w:id="18"/>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hyperlink w:anchor="page5">
        <w:r>
          <w:rPr>
            <w:rFonts w:ascii="Arial" w:cs="Arial" w:eastAsia="Arial" w:hAnsi="Arial"/>
            <w:sz w:val="12"/>
            <w:szCs w:val="12"/>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1306830</wp:posOffset>
            </wp:positionH>
            <wp:positionV relativeFrom="paragraph">
              <wp:posOffset>132715</wp:posOffset>
            </wp:positionV>
            <wp:extent cx="4674235" cy="175133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4674235" cy="1751330"/>
                    </a:xfrm>
                    <a:prstGeom prst="rect">
                      <a:avLst/>
                    </a:prstGeom>
                    <a:noFill/>
                  </pic:spPr>
                </pic:pic>
              </a:graphicData>
            </a:graphic>
          </wp:anchor>
        </w:drawing>
      </w:r>
    </w:p>
    <w:p>
      <w:pPr>
        <w:spacing w:after="0" w:line="317" w:lineRule="exact"/>
        <w:rPr>
          <w:sz w:val="20"/>
          <w:szCs w:val="20"/>
          <w:color w:val="auto"/>
        </w:rPr>
      </w:pPr>
    </w:p>
    <w:p>
      <w:pPr>
        <w:ind w:left="2480" w:right="1059" w:hanging="195"/>
        <w:spacing w:after="0" w:line="256" w:lineRule="auto"/>
        <w:tabs>
          <w:tab w:leader="none" w:pos="2480" w:val="left"/>
        </w:tabs>
        <w:numPr>
          <w:ilvl w:val="0"/>
          <w:numId w:val="12"/>
        </w:numPr>
        <w:rPr>
          <w:rFonts w:ascii="Arial" w:cs="Arial" w:eastAsia="Arial" w:hAnsi="Arial"/>
          <w:sz w:val="8"/>
          <w:szCs w:val="8"/>
          <w:color w:val="050505"/>
        </w:rPr>
      </w:pPr>
      <w:r>
        <w:rPr>
          <w:rFonts w:ascii="Arial" w:cs="Arial" w:eastAsia="Arial" w:hAnsi="Arial"/>
          <w:sz w:val="8"/>
          <w:szCs w:val="8"/>
          <w:color w:val="050505"/>
        </w:rPr>
        <w:t>See Note 16 of the notes to our audited consolidated financial statements included elsewhere in this prospectus for an explanation of the calculations of our net loss per share attributable to common stockholders, basic and diluted, and pro forma net loss per share attributable to common stockholders, basic and diluted.</w:t>
      </w:r>
    </w:p>
    <w:p>
      <w:pPr>
        <w:spacing w:after="0" w:line="22" w:lineRule="exact"/>
        <w:rPr>
          <w:sz w:val="20"/>
          <w:szCs w:val="20"/>
          <w:color w:val="auto"/>
        </w:rPr>
      </w:pPr>
    </w:p>
    <w:tbl>
      <w:tblPr>
        <w:tblLayout w:type="fixed"/>
        <w:tblInd w:w="2500" w:type="dxa"/>
        <w:tblCellMar>
          <w:top w:w="0" w:type="dxa"/>
          <w:left w:w="0" w:type="dxa"/>
          <w:bottom w:w="0" w:type="dxa"/>
          <w:right w:w="0" w:type="dxa"/>
        </w:tblCellMar>
      </w:tblPr>
      <w:tr>
        <w:trPr>
          <w:trHeight w:val="137"/>
        </w:trPr>
        <w:tc>
          <w:tcPr>
            <w:tcW w:w="3980" w:type="dxa"/>
            <w:vAlign w:val="bottom"/>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1240" w:type="dxa"/>
            <w:vAlign w:val="bottom"/>
            <w:tcBorders>
              <w:bottom w:val="single" w:sz="8" w:color="auto"/>
            </w:tcBorders>
            <w:gridSpan w:val="2"/>
          </w:tcPr>
          <w:p>
            <w:pPr>
              <w:ind w:left="200"/>
              <w:spacing w:after="0"/>
              <w:rPr>
                <w:sz w:val="20"/>
                <w:szCs w:val="20"/>
                <w:color w:val="auto"/>
              </w:rPr>
            </w:pPr>
            <w:r>
              <w:rPr>
                <w:rFonts w:ascii="Arial" w:cs="Arial" w:eastAsia="Arial" w:hAnsi="Arial"/>
                <w:sz w:val="11"/>
                <w:szCs w:val="11"/>
                <w:b w:val="1"/>
                <w:bCs w:val="1"/>
                <w:color w:val="050505"/>
                <w:w w:val="99"/>
              </w:rPr>
              <w:t>As of June 30, 2019</w:t>
            </w:r>
          </w:p>
        </w:tc>
        <w:tc>
          <w:tcPr>
            <w:tcW w:w="14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3"/>
        </w:trPr>
        <w:tc>
          <w:tcPr>
            <w:tcW w:w="3980" w:type="dxa"/>
            <w:vAlign w:val="bottom"/>
          </w:tcPr>
          <w:p>
            <w:pPr>
              <w:spacing w:after="0"/>
              <w:rPr>
                <w:sz w:val="8"/>
                <w:szCs w:val="8"/>
                <w:color w:val="auto"/>
              </w:rPr>
            </w:pPr>
          </w:p>
        </w:tc>
        <w:tc>
          <w:tcPr>
            <w:tcW w:w="640" w:type="dxa"/>
            <w:vAlign w:val="bottom"/>
          </w:tcPr>
          <w:p>
            <w:pPr>
              <w:spacing w:after="0"/>
              <w:rPr>
                <w:sz w:val="8"/>
                <w:szCs w:val="8"/>
                <w:color w:val="auto"/>
              </w:rPr>
            </w:pPr>
          </w:p>
        </w:tc>
        <w:tc>
          <w:tcPr>
            <w:tcW w:w="340" w:type="dxa"/>
            <w:vAlign w:val="bottom"/>
          </w:tcPr>
          <w:p>
            <w:pPr>
              <w:spacing w:after="0"/>
              <w:rPr>
                <w:sz w:val="8"/>
                <w:szCs w:val="8"/>
                <w:color w:val="auto"/>
              </w:rPr>
            </w:pPr>
          </w:p>
        </w:tc>
        <w:tc>
          <w:tcPr>
            <w:tcW w:w="9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ind w:left="20"/>
              <w:spacing w:after="0" w:line="103" w:lineRule="exact"/>
              <w:rPr>
                <w:sz w:val="20"/>
                <w:szCs w:val="20"/>
                <w:color w:val="auto"/>
              </w:rPr>
            </w:pPr>
            <w:r>
              <w:rPr>
                <w:rFonts w:ascii="Arial" w:cs="Arial" w:eastAsia="Arial" w:hAnsi="Arial"/>
                <w:sz w:val="11"/>
                <w:szCs w:val="11"/>
                <w:b w:val="1"/>
                <w:bCs w:val="1"/>
                <w:color w:val="050505"/>
              </w:rPr>
              <w:t>Pro Forma</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8"/>
        </w:trPr>
        <w:tc>
          <w:tcPr>
            <w:tcW w:w="3980" w:type="dxa"/>
            <w:vAlign w:val="bottom"/>
            <w:vMerge w:val="restart"/>
          </w:tcPr>
          <w:p>
            <w:pPr>
              <w:ind w:left="40"/>
              <w:spacing w:after="0"/>
              <w:rPr>
                <w:sz w:val="20"/>
                <w:szCs w:val="20"/>
                <w:color w:val="auto"/>
              </w:rPr>
            </w:pPr>
            <w:r>
              <w:rPr>
                <w:rFonts w:ascii="Arial" w:cs="Arial" w:eastAsia="Arial" w:hAnsi="Arial"/>
                <w:sz w:val="11"/>
                <w:szCs w:val="11"/>
                <w:b w:val="1"/>
                <w:bCs w:val="1"/>
                <w:color w:val="050505"/>
              </w:rPr>
              <w:t>Consolidated Balance Sheet Data:</w:t>
            </w:r>
          </w:p>
        </w:tc>
        <w:tc>
          <w:tcPr>
            <w:tcW w:w="640" w:type="dxa"/>
            <w:vAlign w:val="bottom"/>
          </w:tcPr>
          <w:p>
            <w:pPr>
              <w:jc w:val="right"/>
              <w:ind w:right="226"/>
              <w:spacing w:after="0"/>
              <w:rPr>
                <w:sz w:val="20"/>
                <w:szCs w:val="20"/>
                <w:color w:val="auto"/>
              </w:rPr>
            </w:pPr>
            <w:r>
              <w:rPr>
                <w:rFonts w:ascii="Arial" w:cs="Arial" w:eastAsia="Arial" w:hAnsi="Arial"/>
                <w:sz w:val="11"/>
                <w:szCs w:val="11"/>
                <w:b w:val="1"/>
                <w:bCs w:val="1"/>
                <w:color w:val="050505"/>
              </w:rPr>
              <w:t>Actual</w:t>
            </w:r>
          </w:p>
        </w:tc>
        <w:tc>
          <w:tcPr>
            <w:tcW w:w="1240" w:type="dxa"/>
            <w:vAlign w:val="bottom"/>
            <w:gridSpan w:val="2"/>
          </w:tcPr>
          <w:p>
            <w:pPr>
              <w:ind w:left="220"/>
              <w:spacing w:after="0" w:line="138" w:lineRule="exact"/>
              <w:rPr>
                <w:sz w:val="20"/>
                <w:szCs w:val="20"/>
                <w:color w:val="auto"/>
              </w:rPr>
            </w:pPr>
            <w:r>
              <w:rPr>
                <w:rFonts w:ascii="Arial" w:cs="Arial" w:eastAsia="Arial" w:hAnsi="Arial"/>
                <w:sz w:val="10"/>
                <w:szCs w:val="10"/>
                <w:b w:val="1"/>
                <w:bCs w:val="1"/>
                <w:color w:val="050505"/>
              </w:rPr>
              <w:t>Pro Forma</w:t>
            </w:r>
            <w:r>
              <w:rPr>
                <w:rFonts w:ascii="Arial" w:cs="Arial" w:eastAsia="Arial" w:hAnsi="Arial"/>
                <w:sz w:val="16"/>
                <w:szCs w:val="16"/>
                <w:b w:val="1"/>
                <w:bCs w:val="1"/>
                <w:color w:val="050505"/>
                <w:vertAlign w:val="superscript"/>
              </w:rPr>
              <w:t>(1)</w:t>
            </w:r>
          </w:p>
        </w:tc>
        <w:tc>
          <w:tcPr>
            <w:tcW w:w="820" w:type="dxa"/>
            <w:vAlign w:val="bottom"/>
            <w:gridSpan w:val="3"/>
          </w:tcPr>
          <w:p>
            <w:pPr>
              <w:ind w:left="60"/>
              <w:spacing w:after="0" w:line="138" w:lineRule="exact"/>
              <w:rPr>
                <w:sz w:val="20"/>
                <w:szCs w:val="20"/>
                <w:color w:val="auto"/>
              </w:rPr>
            </w:pPr>
            <w:r>
              <w:rPr>
                <w:rFonts w:ascii="Arial" w:cs="Arial" w:eastAsia="Arial" w:hAnsi="Arial"/>
                <w:sz w:val="10"/>
                <w:szCs w:val="10"/>
                <w:b w:val="1"/>
                <w:bCs w:val="1"/>
                <w:color w:val="050505"/>
              </w:rPr>
              <w:t>as Adjusted</w:t>
            </w:r>
            <w:r>
              <w:rPr>
                <w:rFonts w:ascii="Arial" w:cs="Arial" w:eastAsia="Arial" w:hAnsi="Arial"/>
                <w:sz w:val="16"/>
                <w:szCs w:val="16"/>
                <w:b w:val="1"/>
                <w:bCs w:val="1"/>
                <w:color w:val="050505"/>
                <w:vertAlign w:val="superscript"/>
              </w:rPr>
              <w:t>(2)</w:t>
            </w:r>
          </w:p>
        </w:tc>
        <w:tc>
          <w:tcPr>
            <w:tcW w:w="0" w:type="dxa"/>
            <w:vAlign w:val="bottom"/>
          </w:tcPr>
          <w:p>
            <w:pPr>
              <w:spacing w:after="0"/>
              <w:rPr>
                <w:sz w:val="1"/>
                <w:szCs w:val="1"/>
                <w:color w:val="auto"/>
              </w:rPr>
            </w:pPr>
          </w:p>
        </w:tc>
      </w:tr>
      <w:tr>
        <w:trPr>
          <w:trHeight w:val="115"/>
        </w:trPr>
        <w:tc>
          <w:tcPr>
            <w:tcW w:w="3980" w:type="dxa"/>
            <w:vAlign w:val="bottom"/>
            <w:vMerge w:val="continue"/>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34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tcPr>
          <w:p>
            <w:pPr>
              <w:jc w:val="right"/>
              <w:ind w:right="186"/>
              <w:spacing w:after="0" w:line="115" w:lineRule="exact"/>
              <w:rPr>
                <w:sz w:val="20"/>
                <w:szCs w:val="20"/>
                <w:color w:val="auto"/>
              </w:rPr>
            </w:pPr>
            <w:r>
              <w:rPr>
                <w:rFonts w:ascii="Arial" w:cs="Arial" w:eastAsia="Arial" w:hAnsi="Arial"/>
                <w:sz w:val="11"/>
                <w:szCs w:val="11"/>
                <w:b w:val="1"/>
                <w:bCs w:val="1"/>
                <w:color w:val="050505"/>
              </w:rPr>
              <w:t>(in millions)</w:t>
            </w:r>
          </w:p>
        </w:tc>
        <w:tc>
          <w:tcPr>
            <w:tcW w:w="14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3980" w:type="dxa"/>
            <w:vAlign w:val="bottom"/>
            <w:shd w:val="clear" w:color="auto" w:fill="CCEEFF"/>
          </w:tcPr>
          <w:p>
            <w:pPr>
              <w:ind w:left="40"/>
              <w:spacing w:after="0"/>
              <w:rPr>
                <w:sz w:val="20"/>
                <w:szCs w:val="20"/>
                <w:color w:val="auto"/>
              </w:rPr>
            </w:pPr>
            <w:r>
              <w:rPr>
                <w:rFonts w:ascii="Arial" w:cs="Arial" w:eastAsia="Arial" w:hAnsi="Arial"/>
                <w:sz w:val="11"/>
                <w:szCs w:val="11"/>
                <w:color w:val="050505"/>
              </w:rPr>
              <w:t>Cash and cash equivalents</w:t>
            </w:r>
          </w:p>
        </w:tc>
        <w:tc>
          <w:tcPr>
            <w:tcW w:w="640" w:type="dxa"/>
            <w:vAlign w:val="bottom"/>
            <w:shd w:val="clear" w:color="auto" w:fill="CCEEFF"/>
          </w:tcPr>
          <w:p>
            <w:pPr>
              <w:jc w:val="right"/>
              <w:ind w:right="206"/>
              <w:spacing w:after="0"/>
              <w:rPr>
                <w:sz w:val="20"/>
                <w:szCs w:val="20"/>
                <w:color w:val="auto"/>
              </w:rPr>
            </w:pPr>
            <w:r>
              <w:rPr>
                <w:rFonts w:ascii="Arial" w:cs="Arial" w:eastAsia="Arial" w:hAnsi="Arial"/>
                <w:sz w:val="11"/>
                <w:szCs w:val="11"/>
                <w:color w:val="050505"/>
                <w:w w:val="97"/>
              </w:rPr>
              <w:t>$ 162.1</w:t>
            </w:r>
          </w:p>
        </w:tc>
        <w:tc>
          <w:tcPr>
            <w:tcW w:w="340" w:type="dxa"/>
            <w:vAlign w:val="bottom"/>
            <w:shd w:val="clear" w:color="auto" w:fill="CCEEFF"/>
          </w:tcPr>
          <w:p>
            <w:pPr>
              <w:ind w:left="200"/>
              <w:spacing w:after="0"/>
              <w:rPr>
                <w:sz w:val="20"/>
                <w:szCs w:val="20"/>
                <w:color w:val="auto"/>
              </w:rPr>
            </w:pPr>
            <w:r>
              <w:rPr>
                <w:rFonts w:ascii="Arial" w:cs="Arial" w:eastAsia="Arial" w:hAnsi="Arial"/>
                <w:sz w:val="11"/>
                <w:szCs w:val="11"/>
                <w:color w:val="050505"/>
              </w:rPr>
              <w:t>$</w:t>
            </w:r>
          </w:p>
        </w:tc>
        <w:tc>
          <w:tcPr>
            <w:tcW w:w="900" w:type="dxa"/>
            <w:vAlign w:val="bottom"/>
            <w:shd w:val="clear" w:color="auto" w:fill="CCEEFF"/>
          </w:tcPr>
          <w:p>
            <w:pPr>
              <w:jc w:val="right"/>
              <w:ind w:right="326"/>
              <w:spacing w:after="0"/>
              <w:rPr>
                <w:sz w:val="20"/>
                <w:szCs w:val="20"/>
                <w:color w:val="auto"/>
              </w:rPr>
            </w:pPr>
            <w:r>
              <w:rPr>
                <w:rFonts w:ascii="Arial" w:cs="Arial" w:eastAsia="Arial" w:hAnsi="Arial"/>
                <w:sz w:val="11"/>
                <w:szCs w:val="11"/>
                <w:color w:val="050505"/>
              </w:rPr>
              <w:t>162.1</w:t>
            </w:r>
          </w:p>
        </w:tc>
        <w:tc>
          <w:tcPr>
            <w:tcW w:w="140" w:type="dxa"/>
            <w:vAlign w:val="bottom"/>
            <w:shd w:val="clear" w:color="auto" w:fill="CCEEFF"/>
          </w:tcPr>
          <w:p>
            <w:pPr>
              <w:ind w:left="60"/>
              <w:spacing w:after="0"/>
              <w:rPr>
                <w:sz w:val="20"/>
                <w:szCs w:val="20"/>
                <w:color w:val="auto"/>
              </w:rPr>
            </w:pPr>
            <w:r>
              <w:rPr>
                <w:rFonts w:ascii="Arial" w:cs="Arial" w:eastAsia="Arial" w:hAnsi="Arial"/>
                <w:sz w:val="11"/>
                <w:szCs w:val="11"/>
                <w:color w:val="050505"/>
                <w:w w:val="97"/>
              </w:rPr>
              <w:t>$</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050505"/>
              </w:rPr>
              <w:t>1,358.1</w:t>
            </w:r>
          </w:p>
        </w:tc>
        <w:tc>
          <w:tcPr>
            <w:tcW w:w="0" w:type="dxa"/>
            <w:vAlign w:val="bottom"/>
          </w:tcPr>
          <w:p>
            <w:pPr>
              <w:spacing w:after="0"/>
              <w:rPr>
                <w:sz w:val="1"/>
                <w:szCs w:val="1"/>
                <w:color w:val="auto"/>
              </w:rPr>
            </w:pPr>
          </w:p>
        </w:tc>
      </w:tr>
      <w:tr>
        <w:trPr>
          <w:trHeight w:val="126"/>
        </w:trPr>
        <w:tc>
          <w:tcPr>
            <w:tcW w:w="3980" w:type="dxa"/>
            <w:vAlign w:val="bottom"/>
          </w:tcPr>
          <w:p>
            <w:pPr>
              <w:ind w:left="40"/>
              <w:spacing w:after="0"/>
              <w:rPr>
                <w:sz w:val="20"/>
                <w:szCs w:val="20"/>
                <w:color w:val="auto"/>
              </w:rPr>
            </w:pPr>
            <w:r>
              <w:rPr>
                <w:rFonts w:ascii="Arial" w:cs="Arial" w:eastAsia="Arial" w:hAnsi="Arial"/>
                <w:sz w:val="11"/>
                <w:szCs w:val="11"/>
                <w:color w:val="050505"/>
              </w:rPr>
              <w:t>Working capital</w:t>
            </w:r>
          </w:p>
        </w:tc>
        <w:tc>
          <w:tcPr>
            <w:tcW w:w="640" w:type="dxa"/>
            <w:vAlign w:val="bottom"/>
          </w:tcPr>
          <w:p>
            <w:pPr>
              <w:jc w:val="right"/>
              <w:ind w:right="206"/>
              <w:spacing w:after="0"/>
              <w:rPr>
                <w:sz w:val="20"/>
                <w:szCs w:val="20"/>
                <w:color w:val="auto"/>
              </w:rPr>
            </w:pPr>
            <w:r>
              <w:rPr>
                <w:rFonts w:ascii="Arial" w:cs="Arial" w:eastAsia="Arial" w:hAnsi="Arial"/>
                <w:sz w:val="11"/>
                <w:szCs w:val="11"/>
                <w:color w:val="050505"/>
              </w:rPr>
              <w:t>290.9</w:t>
            </w:r>
          </w:p>
        </w:tc>
        <w:tc>
          <w:tcPr>
            <w:tcW w:w="340" w:type="dxa"/>
            <w:vAlign w:val="bottom"/>
          </w:tcPr>
          <w:p>
            <w:pPr>
              <w:spacing w:after="0"/>
              <w:rPr>
                <w:sz w:val="10"/>
                <w:szCs w:val="10"/>
                <w:color w:val="auto"/>
              </w:rPr>
            </w:pPr>
          </w:p>
        </w:tc>
        <w:tc>
          <w:tcPr>
            <w:tcW w:w="900" w:type="dxa"/>
            <w:vAlign w:val="bottom"/>
          </w:tcPr>
          <w:p>
            <w:pPr>
              <w:jc w:val="right"/>
              <w:ind w:right="326"/>
              <w:spacing w:after="0"/>
              <w:rPr>
                <w:sz w:val="20"/>
                <w:szCs w:val="20"/>
                <w:color w:val="auto"/>
              </w:rPr>
            </w:pPr>
            <w:r>
              <w:rPr>
                <w:rFonts w:ascii="Arial" w:cs="Arial" w:eastAsia="Arial" w:hAnsi="Arial"/>
                <w:sz w:val="11"/>
                <w:szCs w:val="11"/>
                <w:color w:val="050505"/>
              </w:rPr>
              <w:t>290.9</w:t>
            </w:r>
          </w:p>
        </w:tc>
        <w:tc>
          <w:tcPr>
            <w:tcW w:w="140" w:type="dxa"/>
            <w:vAlign w:val="bottom"/>
          </w:tcPr>
          <w:p>
            <w:pPr>
              <w:spacing w:after="0"/>
              <w:rPr>
                <w:sz w:val="10"/>
                <w:szCs w:val="10"/>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1"/>
                <w:szCs w:val="11"/>
                <w:color w:val="050505"/>
              </w:rPr>
              <w:t>1,486.9</w:t>
            </w:r>
          </w:p>
        </w:tc>
        <w:tc>
          <w:tcPr>
            <w:tcW w:w="0" w:type="dxa"/>
            <w:vAlign w:val="bottom"/>
          </w:tcPr>
          <w:p>
            <w:pPr>
              <w:spacing w:after="0"/>
              <w:rPr>
                <w:sz w:val="1"/>
                <w:szCs w:val="1"/>
                <w:color w:val="auto"/>
              </w:rPr>
            </w:pPr>
          </w:p>
        </w:tc>
      </w:tr>
      <w:tr>
        <w:trPr>
          <w:trHeight w:val="126"/>
        </w:trPr>
        <w:tc>
          <w:tcPr>
            <w:tcW w:w="3980" w:type="dxa"/>
            <w:vAlign w:val="bottom"/>
            <w:shd w:val="clear" w:color="auto" w:fill="CCEEFF"/>
          </w:tcPr>
          <w:p>
            <w:pPr>
              <w:ind w:left="40"/>
              <w:spacing w:after="0"/>
              <w:rPr>
                <w:sz w:val="20"/>
                <w:szCs w:val="20"/>
                <w:color w:val="auto"/>
              </w:rPr>
            </w:pPr>
            <w:r>
              <w:rPr>
                <w:rFonts w:ascii="Arial" w:cs="Arial" w:eastAsia="Arial" w:hAnsi="Arial"/>
                <w:sz w:val="11"/>
                <w:szCs w:val="11"/>
                <w:color w:val="050505"/>
              </w:rPr>
              <w:t>Total assets</w:t>
            </w:r>
          </w:p>
        </w:tc>
        <w:tc>
          <w:tcPr>
            <w:tcW w:w="640" w:type="dxa"/>
            <w:vAlign w:val="bottom"/>
            <w:shd w:val="clear" w:color="auto" w:fill="CCEEFF"/>
          </w:tcPr>
          <w:p>
            <w:pPr>
              <w:jc w:val="right"/>
              <w:ind w:right="206"/>
              <w:spacing w:after="0"/>
              <w:rPr>
                <w:sz w:val="20"/>
                <w:szCs w:val="20"/>
                <w:color w:val="auto"/>
              </w:rPr>
            </w:pPr>
            <w:r>
              <w:rPr>
                <w:rFonts w:ascii="Arial" w:cs="Arial" w:eastAsia="Arial" w:hAnsi="Arial"/>
                <w:sz w:val="11"/>
                <w:szCs w:val="11"/>
                <w:color w:val="050505"/>
              </w:rPr>
              <w:t>864.5</w:t>
            </w:r>
          </w:p>
        </w:tc>
        <w:tc>
          <w:tcPr>
            <w:tcW w:w="340" w:type="dxa"/>
            <w:vAlign w:val="bottom"/>
            <w:shd w:val="clear" w:color="auto" w:fill="CCEEFF"/>
          </w:tcPr>
          <w:p>
            <w:pPr>
              <w:spacing w:after="0"/>
              <w:rPr>
                <w:sz w:val="10"/>
                <w:szCs w:val="10"/>
                <w:color w:val="auto"/>
              </w:rPr>
            </w:pPr>
          </w:p>
        </w:tc>
        <w:tc>
          <w:tcPr>
            <w:tcW w:w="900" w:type="dxa"/>
            <w:vAlign w:val="bottom"/>
            <w:shd w:val="clear" w:color="auto" w:fill="CCEEFF"/>
          </w:tcPr>
          <w:p>
            <w:pPr>
              <w:jc w:val="right"/>
              <w:ind w:right="326"/>
              <w:spacing w:after="0"/>
              <w:rPr>
                <w:sz w:val="20"/>
                <w:szCs w:val="20"/>
                <w:color w:val="auto"/>
              </w:rPr>
            </w:pPr>
            <w:r>
              <w:rPr>
                <w:rFonts w:ascii="Arial" w:cs="Arial" w:eastAsia="Arial" w:hAnsi="Arial"/>
                <w:sz w:val="11"/>
                <w:szCs w:val="11"/>
                <w:color w:val="050505"/>
              </w:rPr>
              <w:t>864.5</w:t>
            </w:r>
          </w:p>
        </w:tc>
        <w:tc>
          <w:tcPr>
            <w:tcW w:w="140" w:type="dxa"/>
            <w:vAlign w:val="bottom"/>
            <w:shd w:val="clear" w:color="auto" w:fill="CCEEFF"/>
          </w:tcPr>
          <w:p>
            <w:pPr>
              <w:spacing w:after="0"/>
              <w:rPr>
                <w:sz w:val="10"/>
                <w:szCs w:val="10"/>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050505"/>
              </w:rPr>
              <w:t>2,060.5</w:t>
            </w:r>
          </w:p>
        </w:tc>
        <w:tc>
          <w:tcPr>
            <w:tcW w:w="0" w:type="dxa"/>
            <w:vAlign w:val="bottom"/>
          </w:tcPr>
          <w:p>
            <w:pPr>
              <w:spacing w:after="0"/>
              <w:rPr>
                <w:sz w:val="1"/>
                <w:szCs w:val="1"/>
                <w:color w:val="auto"/>
              </w:rPr>
            </w:pPr>
          </w:p>
        </w:tc>
      </w:tr>
      <w:tr>
        <w:trPr>
          <w:trHeight w:val="126"/>
        </w:trPr>
        <w:tc>
          <w:tcPr>
            <w:tcW w:w="3980" w:type="dxa"/>
            <w:vAlign w:val="bottom"/>
          </w:tcPr>
          <w:p>
            <w:pPr>
              <w:ind w:left="40"/>
              <w:spacing w:after="0"/>
              <w:rPr>
                <w:sz w:val="20"/>
                <w:szCs w:val="20"/>
                <w:color w:val="auto"/>
              </w:rPr>
            </w:pPr>
            <w:r>
              <w:rPr>
                <w:rFonts w:ascii="Arial" w:cs="Arial" w:eastAsia="Arial" w:hAnsi="Arial"/>
                <w:sz w:val="11"/>
                <w:szCs w:val="11"/>
                <w:color w:val="050505"/>
              </w:rPr>
              <w:t>Customer deposits and deferred revenue</w:t>
            </w:r>
          </w:p>
        </w:tc>
        <w:tc>
          <w:tcPr>
            <w:tcW w:w="640" w:type="dxa"/>
            <w:vAlign w:val="bottom"/>
          </w:tcPr>
          <w:p>
            <w:pPr>
              <w:jc w:val="right"/>
              <w:ind w:right="206"/>
              <w:spacing w:after="0"/>
              <w:rPr>
                <w:sz w:val="20"/>
                <w:szCs w:val="20"/>
                <w:color w:val="auto"/>
              </w:rPr>
            </w:pPr>
            <w:r>
              <w:rPr>
                <w:rFonts w:ascii="Arial" w:cs="Arial" w:eastAsia="Arial" w:hAnsi="Arial"/>
                <w:sz w:val="11"/>
                <w:szCs w:val="11"/>
                <w:color w:val="050505"/>
              </w:rPr>
              <w:t>90.8</w:t>
            </w:r>
          </w:p>
        </w:tc>
        <w:tc>
          <w:tcPr>
            <w:tcW w:w="340" w:type="dxa"/>
            <w:vAlign w:val="bottom"/>
          </w:tcPr>
          <w:p>
            <w:pPr>
              <w:spacing w:after="0"/>
              <w:rPr>
                <w:sz w:val="10"/>
                <w:szCs w:val="10"/>
                <w:color w:val="auto"/>
              </w:rPr>
            </w:pPr>
          </w:p>
        </w:tc>
        <w:tc>
          <w:tcPr>
            <w:tcW w:w="900" w:type="dxa"/>
            <w:vAlign w:val="bottom"/>
          </w:tcPr>
          <w:p>
            <w:pPr>
              <w:jc w:val="right"/>
              <w:ind w:right="326"/>
              <w:spacing w:after="0"/>
              <w:rPr>
                <w:sz w:val="20"/>
                <w:szCs w:val="20"/>
                <w:color w:val="auto"/>
              </w:rPr>
            </w:pPr>
            <w:r>
              <w:rPr>
                <w:rFonts w:ascii="Arial" w:cs="Arial" w:eastAsia="Arial" w:hAnsi="Arial"/>
                <w:sz w:val="11"/>
                <w:szCs w:val="11"/>
                <w:color w:val="050505"/>
              </w:rPr>
              <w:t>90.8</w:t>
            </w:r>
          </w:p>
        </w:tc>
        <w:tc>
          <w:tcPr>
            <w:tcW w:w="140" w:type="dxa"/>
            <w:vAlign w:val="bottom"/>
          </w:tcPr>
          <w:p>
            <w:pPr>
              <w:spacing w:after="0"/>
              <w:rPr>
                <w:sz w:val="10"/>
                <w:szCs w:val="10"/>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1"/>
                <w:szCs w:val="11"/>
                <w:color w:val="050505"/>
              </w:rPr>
              <w:t>90.8</w:t>
            </w:r>
          </w:p>
        </w:tc>
        <w:tc>
          <w:tcPr>
            <w:tcW w:w="0" w:type="dxa"/>
            <w:vAlign w:val="bottom"/>
          </w:tcPr>
          <w:p>
            <w:pPr>
              <w:spacing w:after="0"/>
              <w:rPr>
                <w:sz w:val="1"/>
                <w:szCs w:val="1"/>
                <w:color w:val="auto"/>
              </w:rPr>
            </w:pPr>
          </w:p>
        </w:tc>
      </w:tr>
      <w:tr>
        <w:trPr>
          <w:trHeight w:val="126"/>
        </w:trPr>
        <w:tc>
          <w:tcPr>
            <w:tcW w:w="3980" w:type="dxa"/>
            <w:vAlign w:val="bottom"/>
            <w:shd w:val="clear" w:color="auto" w:fill="CCEEFF"/>
          </w:tcPr>
          <w:p>
            <w:pPr>
              <w:ind w:left="40"/>
              <w:spacing w:after="0"/>
              <w:rPr>
                <w:sz w:val="20"/>
                <w:szCs w:val="20"/>
                <w:color w:val="auto"/>
              </w:rPr>
            </w:pPr>
            <w:r>
              <w:rPr>
                <w:rFonts w:ascii="Arial" w:cs="Arial" w:eastAsia="Arial" w:hAnsi="Arial"/>
                <w:sz w:val="11"/>
                <w:szCs w:val="11"/>
                <w:color w:val="050505"/>
              </w:rPr>
              <w:t>Redeemable convertible preferred stock</w:t>
            </w:r>
          </w:p>
        </w:tc>
        <w:tc>
          <w:tcPr>
            <w:tcW w:w="640" w:type="dxa"/>
            <w:vAlign w:val="bottom"/>
            <w:shd w:val="clear" w:color="auto" w:fill="CCEEFF"/>
          </w:tcPr>
          <w:p>
            <w:pPr>
              <w:jc w:val="right"/>
              <w:ind w:right="206"/>
              <w:spacing w:after="0"/>
              <w:rPr>
                <w:sz w:val="20"/>
                <w:szCs w:val="20"/>
                <w:color w:val="auto"/>
              </w:rPr>
            </w:pPr>
            <w:r>
              <w:rPr>
                <w:rFonts w:ascii="Arial" w:cs="Arial" w:eastAsia="Arial" w:hAnsi="Arial"/>
                <w:sz w:val="11"/>
                <w:szCs w:val="11"/>
                <w:color w:val="050505"/>
              </w:rPr>
              <w:t>941.1</w:t>
            </w:r>
          </w:p>
        </w:tc>
        <w:tc>
          <w:tcPr>
            <w:tcW w:w="340" w:type="dxa"/>
            <w:vAlign w:val="bottom"/>
            <w:shd w:val="clear" w:color="auto" w:fill="CCEEFF"/>
          </w:tcPr>
          <w:p>
            <w:pPr>
              <w:spacing w:after="0"/>
              <w:rPr>
                <w:sz w:val="10"/>
                <w:szCs w:val="10"/>
                <w:color w:val="auto"/>
              </w:rPr>
            </w:pPr>
          </w:p>
        </w:tc>
        <w:tc>
          <w:tcPr>
            <w:tcW w:w="900" w:type="dxa"/>
            <w:vAlign w:val="bottom"/>
            <w:shd w:val="clear" w:color="auto" w:fill="CCEEFF"/>
          </w:tcPr>
          <w:p>
            <w:pPr>
              <w:jc w:val="right"/>
              <w:ind w:right="326"/>
              <w:spacing w:after="0"/>
              <w:rPr>
                <w:sz w:val="20"/>
                <w:szCs w:val="20"/>
                <w:color w:val="auto"/>
              </w:rPr>
            </w:pPr>
            <w:r>
              <w:rPr>
                <w:rFonts w:ascii="Arial" w:cs="Arial" w:eastAsia="Arial" w:hAnsi="Arial"/>
                <w:sz w:val="11"/>
                <w:szCs w:val="11"/>
                <w:color w:val="050505"/>
              </w:rPr>
              <w:t>—</w:t>
            </w:r>
          </w:p>
        </w:tc>
        <w:tc>
          <w:tcPr>
            <w:tcW w:w="140" w:type="dxa"/>
            <w:vAlign w:val="bottom"/>
            <w:shd w:val="clear" w:color="auto" w:fill="CCEEFF"/>
          </w:tcPr>
          <w:p>
            <w:pPr>
              <w:spacing w:after="0"/>
              <w:rPr>
                <w:sz w:val="10"/>
                <w:szCs w:val="10"/>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050505"/>
              </w:rPr>
              <w:t>—</w:t>
            </w:r>
          </w:p>
        </w:tc>
        <w:tc>
          <w:tcPr>
            <w:tcW w:w="0" w:type="dxa"/>
            <w:vAlign w:val="bottom"/>
          </w:tcPr>
          <w:p>
            <w:pPr>
              <w:spacing w:after="0"/>
              <w:rPr>
                <w:sz w:val="1"/>
                <w:szCs w:val="1"/>
                <w:color w:val="auto"/>
              </w:rPr>
            </w:pPr>
          </w:p>
        </w:tc>
      </w:tr>
      <w:tr>
        <w:trPr>
          <w:trHeight w:val="131"/>
        </w:trPr>
        <w:tc>
          <w:tcPr>
            <w:tcW w:w="3980" w:type="dxa"/>
            <w:vAlign w:val="bottom"/>
          </w:tcPr>
          <w:p>
            <w:pPr>
              <w:ind w:left="40"/>
              <w:spacing w:after="0"/>
              <w:rPr>
                <w:sz w:val="20"/>
                <w:szCs w:val="20"/>
                <w:color w:val="auto"/>
              </w:rPr>
            </w:pPr>
            <w:r>
              <w:rPr>
                <w:rFonts w:ascii="Arial" w:cs="Arial" w:eastAsia="Arial" w:hAnsi="Arial"/>
                <w:sz w:val="11"/>
                <w:szCs w:val="11"/>
                <w:color w:val="050505"/>
              </w:rPr>
              <w:t>Total stockholders’ (deficit) equity</w:t>
            </w:r>
          </w:p>
        </w:tc>
        <w:tc>
          <w:tcPr>
            <w:tcW w:w="640" w:type="dxa"/>
            <w:vAlign w:val="bottom"/>
          </w:tcPr>
          <w:p>
            <w:pPr>
              <w:jc w:val="right"/>
              <w:ind w:right="166"/>
              <w:spacing w:after="0"/>
              <w:rPr>
                <w:sz w:val="20"/>
                <w:szCs w:val="20"/>
                <w:color w:val="auto"/>
              </w:rPr>
            </w:pPr>
            <w:r>
              <w:rPr>
                <w:rFonts w:ascii="Arial" w:cs="Arial" w:eastAsia="Arial" w:hAnsi="Arial"/>
                <w:sz w:val="11"/>
                <w:szCs w:val="11"/>
                <w:color w:val="050505"/>
              </w:rPr>
              <w:t>(538.6)</w:t>
            </w:r>
          </w:p>
        </w:tc>
        <w:tc>
          <w:tcPr>
            <w:tcW w:w="340" w:type="dxa"/>
            <w:vAlign w:val="bottom"/>
          </w:tcPr>
          <w:p>
            <w:pPr>
              <w:spacing w:after="0"/>
              <w:rPr>
                <w:sz w:val="11"/>
                <w:szCs w:val="11"/>
                <w:color w:val="auto"/>
              </w:rPr>
            </w:pPr>
          </w:p>
        </w:tc>
        <w:tc>
          <w:tcPr>
            <w:tcW w:w="900" w:type="dxa"/>
            <w:vAlign w:val="bottom"/>
          </w:tcPr>
          <w:p>
            <w:pPr>
              <w:jc w:val="right"/>
              <w:ind w:right="326"/>
              <w:spacing w:after="0"/>
              <w:rPr>
                <w:sz w:val="20"/>
                <w:szCs w:val="20"/>
                <w:color w:val="auto"/>
              </w:rPr>
            </w:pPr>
            <w:r>
              <w:rPr>
                <w:rFonts w:ascii="Arial" w:cs="Arial" w:eastAsia="Arial" w:hAnsi="Arial"/>
                <w:sz w:val="11"/>
                <w:szCs w:val="11"/>
                <w:color w:val="050505"/>
              </w:rPr>
              <w:t>402.5</w:t>
            </w:r>
          </w:p>
        </w:tc>
        <w:tc>
          <w:tcPr>
            <w:tcW w:w="140" w:type="dxa"/>
            <w:vAlign w:val="bottom"/>
          </w:tcPr>
          <w:p>
            <w:pPr>
              <w:spacing w:after="0"/>
              <w:rPr>
                <w:sz w:val="11"/>
                <w:szCs w:val="11"/>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1"/>
                <w:szCs w:val="11"/>
                <w:color w:val="050505"/>
              </w:rPr>
              <w:t>1,598.5</w:t>
            </w:r>
          </w:p>
        </w:tc>
        <w:tc>
          <w:tcPr>
            <w:tcW w:w="0" w:type="dxa"/>
            <w:vAlign w:val="bottom"/>
          </w:tcPr>
          <w:p>
            <w:pPr>
              <w:spacing w:after="0"/>
              <w:rPr>
                <w:sz w:val="1"/>
                <w:szCs w:val="1"/>
                <w:color w:val="auto"/>
              </w:rPr>
            </w:pPr>
          </w:p>
        </w:tc>
      </w:tr>
    </w:tbl>
    <w:p>
      <w:pPr>
        <w:spacing w:after="0" w:line="108" w:lineRule="exact"/>
        <w:rPr>
          <w:sz w:val="20"/>
          <w:szCs w:val="20"/>
          <w:color w:val="auto"/>
        </w:rPr>
      </w:pPr>
    </w:p>
    <w:p>
      <w:pPr>
        <w:ind w:left="2680" w:right="1059" w:hanging="197"/>
        <w:spacing w:after="0" w:line="256" w:lineRule="auto"/>
        <w:tabs>
          <w:tab w:leader="none" w:pos="2680" w:val="left"/>
        </w:tabs>
        <w:numPr>
          <w:ilvl w:val="0"/>
          <w:numId w:val="13"/>
        </w:numPr>
        <w:rPr>
          <w:rFonts w:ascii="Arial" w:cs="Arial" w:eastAsia="Arial" w:hAnsi="Arial"/>
          <w:sz w:val="8"/>
          <w:szCs w:val="8"/>
          <w:color w:val="050505"/>
        </w:rPr>
      </w:pPr>
      <w:r>
        <w:rPr>
          <w:rFonts w:ascii="Arial" w:cs="Arial" w:eastAsia="Arial" w:hAnsi="Arial"/>
          <w:sz w:val="8"/>
          <w:szCs w:val="8"/>
          <w:color w:val="050505"/>
        </w:rPr>
        <w:t>The pro forma column reflects the automatic conversion of all outstanding shares of our redeemable convertible preferred stock as of June 30, 2019 into 210,640,629 shares of our Class B common stock.</w:t>
      </w:r>
    </w:p>
    <w:p>
      <w:pPr>
        <w:spacing w:after="0" w:line="28" w:lineRule="exact"/>
        <w:rPr>
          <w:rFonts w:ascii="Arial" w:cs="Arial" w:eastAsia="Arial" w:hAnsi="Arial"/>
          <w:sz w:val="8"/>
          <w:szCs w:val="8"/>
          <w:color w:val="050505"/>
        </w:rPr>
      </w:pPr>
    </w:p>
    <w:p>
      <w:pPr>
        <w:ind w:left="2680" w:right="1079" w:hanging="197"/>
        <w:spacing w:after="0" w:line="256" w:lineRule="auto"/>
        <w:tabs>
          <w:tab w:leader="none" w:pos="2680" w:val="left"/>
        </w:tabs>
        <w:numPr>
          <w:ilvl w:val="0"/>
          <w:numId w:val="13"/>
        </w:numPr>
        <w:rPr>
          <w:rFonts w:ascii="Arial" w:cs="Arial" w:eastAsia="Arial" w:hAnsi="Arial"/>
          <w:sz w:val="8"/>
          <w:szCs w:val="8"/>
          <w:color w:val="050505"/>
        </w:rPr>
      </w:pPr>
      <w:r>
        <w:rPr>
          <w:rFonts w:ascii="Arial" w:cs="Arial" w:eastAsia="Arial" w:hAnsi="Arial"/>
          <w:sz w:val="8"/>
          <w:szCs w:val="8"/>
          <w:color w:val="050505"/>
        </w:rPr>
        <w:t>The pro forma as adjusted column reflects the items described in footnote (1) and the sale of shares of our Class A common stock in this offering and the private placement at the initial public offering price of $29.00 per share and after deducting the underwriting discount and estimated offering expenses.</w:t>
      </w:r>
    </w:p>
    <w:p>
      <w:pPr>
        <w:spacing w:after="0" w:line="349" w:lineRule="exact"/>
        <w:rPr>
          <w:sz w:val="20"/>
          <w:szCs w:val="20"/>
          <w:color w:val="auto"/>
        </w:rPr>
      </w:pPr>
    </w:p>
    <w:p>
      <w:pPr>
        <w:ind w:left="5680"/>
        <w:spacing w:after="0"/>
        <w:rPr>
          <w:sz w:val="20"/>
          <w:szCs w:val="20"/>
          <w:color w:val="auto"/>
        </w:rPr>
      </w:pPr>
      <w:r>
        <w:rPr>
          <w:rFonts w:ascii="Arial" w:cs="Arial" w:eastAsia="Arial" w:hAnsi="Arial"/>
          <w:sz w:val="11"/>
          <w:szCs w:val="11"/>
          <w:color w:val="050505"/>
        </w:rPr>
        <w:t>14</w:t>
      </w:r>
    </w:p>
    <w:p>
      <w:pPr>
        <w:sectPr>
          <w:pgSz w:w="11900" w:h="16838" w:orient="portrait"/>
          <w:cols w:equalWidth="0" w:num="1">
            <w:col w:w="10239"/>
          </w:cols>
          <w:pgMar w:left="220" w:top="354" w:right="1440" w:bottom="1440" w:gutter="0" w:footer="0" w:header="0"/>
        </w:sectPr>
      </w:pPr>
    </w:p>
    <w:bookmarkStart w:id="19" w:name="page20"/>
    <w:bookmarkEnd w:id="19"/>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hyperlink w:anchor="page5">
        <w:r>
          <w:rPr>
            <w:rFonts w:ascii="Arial" w:cs="Arial" w:eastAsia="Arial" w:hAnsi="Arial"/>
            <w:sz w:val="12"/>
            <w:szCs w:val="12"/>
            <w:b w:val="1"/>
            <w:bCs w:val="1"/>
            <w:u w:val="single" w:color="auto"/>
            <w:color w:val="0000EE"/>
          </w:rPr>
          <w:t>Table of Contents</w:t>
        </w:r>
      </w:hyperlink>
    </w:p>
    <w:p>
      <w:pPr>
        <w:spacing w:after="0" w:line="200" w:lineRule="exact"/>
        <w:rPr>
          <w:sz w:val="20"/>
          <w:szCs w:val="20"/>
          <w:color w:val="auto"/>
        </w:rPr>
      </w:pPr>
    </w:p>
    <w:p>
      <w:pPr>
        <w:jc w:val="center"/>
        <w:ind w:right="-1220"/>
        <w:spacing w:after="0"/>
        <w:rPr>
          <w:sz w:val="20"/>
          <w:szCs w:val="20"/>
          <w:color w:val="auto"/>
        </w:rPr>
      </w:pPr>
      <w:r>
        <w:rPr>
          <w:rFonts w:ascii="Arial" w:cs="Arial" w:eastAsia="Arial" w:hAnsi="Arial"/>
          <w:sz w:val="12"/>
          <w:szCs w:val="12"/>
          <w:b w:val="1"/>
          <w:bCs w:val="1"/>
          <w:color w:val="auto"/>
        </w:rPr>
        <w:t>RISK FACTORS</w:t>
      </w:r>
    </w:p>
    <w:p>
      <w:pPr>
        <w:spacing w:after="0" w:line="147" w:lineRule="exact"/>
        <w:rPr>
          <w:sz w:val="20"/>
          <w:szCs w:val="20"/>
          <w:color w:val="auto"/>
        </w:rPr>
      </w:pPr>
    </w:p>
    <w:p>
      <w:pPr>
        <w:jc w:val="both"/>
        <w:ind w:left="2060" w:right="839"/>
        <w:spacing w:after="0" w:line="243" w:lineRule="auto"/>
        <w:rPr>
          <w:sz w:val="20"/>
          <w:szCs w:val="20"/>
          <w:color w:val="auto"/>
        </w:rPr>
      </w:pPr>
      <w:r>
        <w:rPr>
          <w:rFonts w:ascii="Arial" w:cs="Arial" w:eastAsia="Arial" w:hAnsi="Arial"/>
          <w:sz w:val="11"/>
          <w:szCs w:val="11"/>
          <w:i w:val="1"/>
          <w:iCs w:val="1"/>
          <w:color w:val="050505"/>
        </w:rPr>
        <w:t>Investing in our Class A common stock involves a high degree of risk. You should consider carefully the risks and uncertainties described below, together with all of the other information in this prospectus, including the section titled “Management’s Discussion and Analysis of Financial Condition and Results of Operations” and our consolidated financial statements and the accompanying notes included elsewhere in this prospectus before deciding whether to invest in shares of our Class A common stock. The risks and uncertainties described below are not the only ones we face. Additional risks and uncertainties that we are unaware of or that we deem immaterial may also become important factors that adversely affect our business. If any of the following risks occur, our business, financial condition, operating results, and future prospects could be materially and adversely affected. In that event, the market price of our Class A common stock could decline, and you could lose part or all of your investment.</w:t>
      </w:r>
    </w:p>
    <w:p>
      <w:pPr>
        <w:spacing w:after="0" w:line="128" w:lineRule="exact"/>
        <w:rPr>
          <w:sz w:val="20"/>
          <w:szCs w:val="20"/>
          <w:color w:val="auto"/>
        </w:rPr>
      </w:pPr>
    </w:p>
    <w:p>
      <w:pPr>
        <w:ind w:left="2060"/>
        <w:spacing w:after="0"/>
        <w:rPr>
          <w:sz w:val="20"/>
          <w:szCs w:val="20"/>
          <w:color w:val="auto"/>
        </w:rPr>
      </w:pPr>
      <w:r>
        <w:rPr>
          <w:rFonts w:ascii="Arial" w:cs="Arial" w:eastAsia="Arial" w:hAnsi="Arial"/>
          <w:sz w:val="11"/>
          <w:szCs w:val="11"/>
          <w:b w:val="1"/>
          <w:bCs w:val="1"/>
          <w:u w:val="single" w:color="auto"/>
          <w:color w:val="auto"/>
        </w:rPr>
        <w:t>Risks Related to Our Business</w:t>
      </w:r>
    </w:p>
    <w:p>
      <w:pPr>
        <w:spacing w:after="0" w:line="144" w:lineRule="exact"/>
        <w:rPr>
          <w:sz w:val="20"/>
          <w:szCs w:val="20"/>
          <w:color w:val="auto"/>
        </w:rPr>
      </w:pPr>
    </w:p>
    <w:p>
      <w:pPr>
        <w:jc w:val="both"/>
        <w:ind w:left="2060" w:right="839"/>
        <w:spacing w:after="0" w:line="268" w:lineRule="auto"/>
        <w:rPr>
          <w:sz w:val="20"/>
          <w:szCs w:val="20"/>
          <w:color w:val="auto"/>
        </w:rPr>
      </w:pPr>
      <w:r>
        <w:rPr>
          <w:rFonts w:ascii="Arial" w:cs="Arial" w:eastAsia="Arial" w:hAnsi="Arial"/>
          <w:sz w:val="11"/>
          <w:szCs w:val="11"/>
          <w:b w:val="1"/>
          <w:bCs w:val="1"/>
          <w:i w:val="1"/>
          <w:iCs w:val="1"/>
          <w:color w:val="auto"/>
        </w:rPr>
        <w:t>We have incurred operating losses in the past, expect to incur operating losses in the future, and may not achieve or maintain profitability in the future.</w:t>
      </w:r>
    </w:p>
    <w:p>
      <w:pPr>
        <w:spacing w:after="0" w:line="126" w:lineRule="exact"/>
        <w:rPr>
          <w:sz w:val="20"/>
          <w:szCs w:val="20"/>
          <w:color w:val="auto"/>
        </w:rPr>
      </w:pPr>
    </w:p>
    <w:p>
      <w:pPr>
        <w:jc w:val="both"/>
        <w:ind w:left="2060" w:right="839"/>
        <w:spacing w:after="0" w:line="239" w:lineRule="auto"/>
        <w:rPr>
          <w:sz w:val="20"/>
          <w:szCs w:val="20"/>
          <w:color w:val="auto"/>
        </w:rPr>
      </w:pPr>
      <w:r>
        <w:rPr>
          <w:rFonts w:ascii="Arial" w:cs="Arial" w:eastAsia="Arial" w:hAnsi="Arial"/>
          <w:sz w:val="11"/>
          <w:szCs w:val="11"/>
          <w:color w:val="050505"/>
        </w:rPr>
        <w:t>We have incurred operating losses each year since our inception in 2012, including net losses of $(71.1) million, $(47.9) million, and $(195.6) million for fiscal 2017, 2018, and 2019, respectively, and expect to continue to incur net losses for the foreseeable future. As a result, we had a total stockholders’ deficit of $(538.6) million at June 30, 2019. We expect our operating expenses to increase in the future as we increase our sales and marketing efforts, continue to invest in research and development, expand our operating and retail infrastructure, add content and software features to our platform, expand into new geographies, and develop new Connected Fitness Products. Further, as a public company, we will incur additional legal, accounting, and other expenses that we did not incur as a private company. These efforts and additional expenses may be more costly than we expect, and we cannot guarantee that we will be able to increase our revenue to offset our operating expenses. Our revenue growth may slow or our revenue may decline for a number of other reasons, including reduced demand for our products and services, increased competition, a decrease in the growth or reduction in size of our overall market, or if we cannot capitalize on growth opportunities. If our revenue does not grow at a greater rate than our operating expenses, we will not be able to achieve and maintain profitability.</w:t>
      </w:r>
    </w:p>
    <w:p>
      <w:pPr>
        <w:spacing w:after="0" w:line="134" w:lineRule="exact"/>
        <w:rPr>
          <w:sz w:val="20"/>
          <w:szCs w:val="20"/>
          <w:color w:val="auto"/>
        </w:rPr>
      </w:pPr>
    </w:p>
    <w:p>
      <w:pPr>
        <w:ind w:left="2060"/>
        <w:spacing w:after="0"/>
        <w:rPr>
          <w:sz w:val="20"/>
          <w:szCs w:val="20"/>
          <w:color w:val="auto"/>
        </w:rPr>
      </w:pPr>
      <w:r>
        <w:rPr>
          <w:rFonts w:ascii="Arial" w:cs="Arial" w:eastAsia="Arial" w:hAnsi="Arial"/>
          <w:sz w:val="11"/>
          <w:szCs w:val="11"/>
          <w:b w:val="1"/>
          <w:bCs w:val="1"/>
          <w:i w:val="1"/>
          <w:iCs w:val="1"/>
          <w:color w:val="auto"/>
        </w:rPr>
        <w:t>We may be unable to attract and retain Subscribers, which could have an adverse effect on our business and rate of growth.</w:t>
      </w:r>
    </w:p>
    <w:p>
      <w:pPr>
        <w:spacing w:after="0" w:line="156" w:lineRule="exact"/>
        <w:rPr>
          <w:sz w:val="20"/>
          <w:szCs w:val="20"/>
          <w:color w:val="auto"/>
        </w:rPr>
      </w:pPr>
    </w:p>
    <w:p>
      <w:pPr>
        <w:jc w:val="both"/>
        <w:ind w:left="2060" w:right="839"/>
        <w:spacing w:after="0" w:line="241" w:lineRule="auto"/>
        <w:rPr>
          <w:sz w:val="20"/>
          <w:szCs w:val="20"/>
          <w:color w:val="auto"/>
        </w:rPr>
      </w:pPr>
      <w:r>
        <w:rPr>
          <w:rFonts w:ascii="Arial" w:cs="Arial" w:eastAsia="Arial" w:hAnsi="Arial"/>
          <w:sz w:val="11"/>
          <w:szCs w:val="11"/>
          <w:color w:val="050505"/>
        </w:rPr>
        <w:t>We have experienced significant Subscriber growth over the past several years. Our continued business and revenue growth is dependent on our ability to continuously attract and retain Subscribers, and we cannot be sure that we will be successful in these efforts, or that Subscriber retention levels will not materially decline. There are a number of factors that could lead to a decline in Subscriber levels or that could prevent us from increasing our Subscriber levels, including:</w:t>
      </w:r>
    </w:p>
    <w:p>
      <w:pPr>
        <w:spacing w:after="0" w:line="158" w:lineRule="exact"/>
        <w:rPr>
          <w:sz w:val="20"/>
          <w:szCs w:val="20"/>
          <w:color w:val="auto"/>
        </w:rPr>
      </w:pPr>
    </w:p>
    <w:p>
      <w:pPr>
        <w:ind w:left="2420" w:right="839" w:hanging="217"/>
        <w:spacing w:after="0" w:line="245" w:lineRule="auto"/>
        <w:tabs>
          <w:tab w:leader="none" w:pos="2420" w:val="left"/>
        </w:tabs>
        <w:numPr>
          <w:ilvl w:val="0"/>
          <w:numId w:val="14"/>
        </w:numPr>
        <w:rPr>
          <w:rFonts w:ascii="Arial" w:cs="Arial" w:eastAsia="Arial" w:hAnsi="Arial"/>
          <w:sz w:val="11"/>
          <w:szCs w:val="11"/>
          <w:color w:val="F7323F"/>
        </w:rPr>
      </w:pPr>
      <w:r>
        <w:rPr>
          <w:rFonts w:ascii="Arial" w:cs="Arial" w:eastAsia="Arial" w:hAnsi="Arial"/>
          <w:sz w:val="11"/>
          <w:szCs w:val="11"/>
          <w:color w:val="050505"/>
        </w:rPr>
        <w:t>our failure to introduce new features, products, or services that Members find engaging or our introduction of new products or services, or changes to existing products and services that are not favorably received;</w:t>
      </w:r>
    </w:p>
    <w:p>
      <w:pPr>
        <w:spacing w:after="0" w:line="38" w:lineRule="exact"/>
        <w:rPr>
          <w:rFonts w:ascii="Arial" w:cs="Arial" w:eastAsia="Arial" w:hAnsi="Arial"/>
          <w:sz w:val="11"/>
          <w:szCs w:val="11"/>
          <w:color w:val="F7323F"/>
        </w:rPr>
      </w:pPr>
    </w:p>
    <w:p>
      <w:pPr>
        <w:ind w:left="2420" w:hanging="217"/>
        <w:spacing w:after="0"/>
        <w:tabs>
          <w:tab w:leader="none" w:pos="2420" w:val="left"/>
        </w:tabs>
        <w:numPr>
          <w:ilvl w:val="0"/>
          <w:numId w:val="14"/>
        </w:numPr>
        <w:rPr>
          <w:rFonts w:ascii="Arial" w:cs="Arial" w:eastAsia="Arial" w:hAnsi="Arial"/>
          <w:sz w:val="11"/>
          <w:szCs w:val="11"/>
          <w:color w:val="F7323F"/>
        </w:rPr>
      </w:pPr>
      <w:r>
        <w:rPr>
          <w:rFonts w:ascii="Arial" w:cs="Arial" w:eastAsia="Arial" w:hAnsi="Arial"/>
          <w:sz w:val="11"/>
          <w:szCs w:val="11"/>
          <w:color w:val="050505"/>
        </w:rPr>
        <w:t>harm to our brand and reputation;</w:t>
      </w:r>
    </w:p>
    <w:p>
      <w:pPr>
        <w:spacing w:after="0" w:line="44" w:lineRule="exact"/>
        <w:rPr>
          <w:rFonts w:ascii="Arial" w:cs="Arial" w:eastAsia="Arial" w:hAnsi="Arial"/>
          <w:sz w:val="11"/>
          <w:szCs w:val="11"/>
          <w:color w:val="F7323F"/>
        </w:rPr>
      </w:pPr>
    </w:p>
    <w:p>
      <w:pPr>
        <w:ind w:left="2420" w:hanging="217"/>
        <w:spacing w:after="0"/>
        <w:tabs>
          <w:tab w:leader="none" w:pos="2420" w:val="left"/>
        </w:tabs>
        <w:numPr>
          <w:ilvl w:val="0"/>
          <w:numId w:val="14"/>
        </w:numPr>
        <w:rPr>
          <w:rFonts w:ascii="Arial" w:cs="Arial" w:eastAsia="Arial" w:hAnsi="Arial"/>
          <w:sz w:val="11"/>
          <w:szCs w:val="11"/>
          <w:color w:val="F7323F"/>
        </w:rPr>
      </w:pPr>
      <w:r>
        <w:rPr>
          <w:rFonts w:ascii="Arial" w:cs="Arial" w:eastAsia="Arial" w:hAnsi="Arial"/>
          <w:sz w:val="11"/>
          <w:szCs w:val="11"/>
          <w:color w:val="050505"/>
        </w:rPr>
        <w:t>pricing and perceived value of our offerings;</w:t>
      </w:r>
    </w:p>
    <w:p>
      <w:pPr>
        <w:spacing w:after="0" w:line="44" w:lineRule="exact"/>
        <w:rPr>
          <w:rFonts w:ascii="Arial" w:cs="Arial" w:eastAsia="Arial" w:hAnsi="Arial"/>
          <w:sz w:val="11"/>
          <w:szCs w:val="11"/>
          <w:color w:val="F7323F"/>
        </w:rPr>
      </w:pPr>
    </w:p>
    <w:p>
      <w:pPr>
        <w:ind w:left="2420" w:hanging="217"/>
        <w:spacing w:after="0"/>
        <w:tabs>
          <w:tab w:leader="none" w:pos="2420" w:val="left"/>
        </w:tabs>
        <w:numPr>
          <w:ilvl w:val="0"/>
          <w:numId w:val="14"/>
        </w:numPr>
        <w:rPr>
          <w:rFonts w:ascii="Arial" w:cs="Arial" w:eastAsia="Arial" w:hAnsi="Arial"/>
          <w:sz w:val="11"/>
          <w:szCs w:val="11"/>
          <w:color w:val="F7323F"/>
        </w:rPr>
      </w:pPr>
      <w:r>
        <w:rPr>
          <w:rFonts w:ascii="Arial" w:cs="Arial" w:eastAsia="Arial" w:hAnsi="Arial"/>
          <w:sz w:val="11"/>
          <w:szCs w:val="11"/>
          <w:color w:val="050505"/>
        </w:rPr>
        <w:t>our inability to deliver quality products, content, and services;</w:t>
      </w:r>
    </w:p>
    <w:p>
      <w:pPr>
        <w:spacing w:after="0" w:line="44" w:lineRule="exact"/>
        <w:rPr>
          <w:rFonts w:ascii="Arial" w:cs="Arial" w:eastAsia="Arial" w:hAnsi="Arial"/>
          <w:sz w:val="11"/>
          <w:szCs w:val="11"/>
          <w:color w:val="F7323F"/>
        </w:rPr>
      </w:pPr>
    </w:p>
    <w:p>
      <w:pPr>
        <w:ind w:left="2420" w:hanging="217"/>
        <w:spacing w:after="0"/>
        <w:tabs>
          <w:tab w:leader="none" w:pos="2420" w:val="left"/>
        </w:tabs>
        <w:numPr>
          <w:ilvl w:val="0"/>
          <w:numId w:val="14"/>
        </w:numPr>
        <w:rPr>
          <w:rFonts w:ascii="Arial" w:cs="Arial" w:eastAsia="Arial" w:hAnsi="Arial"/>
          <w:sz w:val="11"/>
          <w:szCs w:val="11"/>
          <w:color w:val="F7323F"/>
        </w:rPr>
      </w:pPr>
      <w:r>
        <w:rPr>
          <w:rFonts w:ascii="Arial" w:cs="Arial" w:eastAsia="Arial" w:hAnsi="Arial"/>
          <w:sz w:val="11"/>
          <w:szCs w:val="11"/>
          <w:color w:val="050505"/>
        </w:rPr>
        <w:t>our Members engaging with competitive products and services;</w:t>
      </w:r>
    </w:p>
    <w:p>
      <w:pPr>
        <w:spacing w:after="0" w:line="44" w:lineRule="exact"/>
        <w:rPr>
          <w:rFonts w:ascii="Arial" w:cs="Arial" w:eastAsia="Arial" w:hAnsi="Arial"/>
          <w:sz w:val="11"/>
          <w:szCs w:val="11"/>
          <w:color w:val="F7323F"/>
        </w:rPr>
      </w:pPr>
    </w:p>
    <w:p>
      <w:pPr>
        <w:ind w:left="2420" w:right="839" w:hanging="217"/>
        <w:spacing w:after="0" w:line="245" w:lineRule="auto"/>
        <w:tabs>
          <w:tab w:leader="none" w:pos="2420" w:val="left"/>
        </w:tabs>
        <w:numPr>
          <w:ilvl w:val="0"/>
          <w:numId w:val="14"/>
        </w:numPr>
        <w:rPr>
          <w:rFonts w:ascii="Arial" w:cs="Arial" w:eastAsia="Arial" w:hAnsi="Arial"/>
          <w:sz w:val="11"/>
          <w:szCs w:val="11"/>
          <w:color w:val="F7323F"/>
        </w:rPr>
      </w:pPr>
      <w:r>
        <w:rPr>
          <w:rFonts w:ascii="Arial" w:cs="Arial" w:eastAsia="Arial" w:hAnsi="Arial"/>
          <w:sz w:val="11"/>
          <w:szCs w:val="11"/>
          <w:color w:val="050505"/>
        </w:rPr>
        <w:t>technical or other problems preventing Members from accessing our content and services in a rapid and reliable manner or otherwise affecting the Member experience;</w:t>
      </w:r>
    </w:p>
    <w:p>
      <w:pPr>
        <w:spacing w:after="0" w:line="38" w:lineRule="exact"/>
        <w:rPr>
          <w:rFonts w:ascii="Arial" w:cs="Arial" w:eastAsia="Arial" w:hAnsi="Arial"/>
          <w:sz w:val="11"/>
          <w:szCs w:val="11"/>
          <w:color w:val="F7323F"/>
        </w:rPr>
      </w:pPr>
    </w:p>
    <w:p>
      <w:pPr>
        <w:ind w:left="2420" w:hanging="217"/>
        <w:spacing w:after="0"/>
        <w:tabs>
          <w:tab w:leader="none" w:pos="2420" w:val="left"/>
        </w:tabs>
        <w:numPr>
          <w:ilvl w:val="0"/>
          <w:numId w:val="14"/>
        </w:numPr>
        <w:rPr>
          <w:rFonts w:ascii="Arial" w:cs="Arial" w:eastAsia="Arial" w:hAnsi="Arial"/>
          <w:sz w:val="11"/>
          <w:szCs w:val="11"/>
          <w:color w:val="F7323F"/>
        </w:rPr>
      </w:pPr>
      <w:r>
        <w:rPr>
          <w:rFonts w:ascii="Arial" w:cs="Arial" w:eastAsia="Arial" w:hAnsi="Arial"/>
          <w:sz w:val="11"/>
          <w:szCs w:val="11"/>
          <w:color w:val="050505"/>
        </w:rPr>
        <w:t>unsatisfactory experiences with the delivery, installation, or service of our Connected Fitness Products;</w:t>
      </w:r>
    </w:p>
    <w:p>
      <w:pPr>
        <w:spacing w:after="0" w:line="44" w:lineRule="exact"/>
        <w:rPr>
          <w:rFonts w:ascii="Arial" w:cs="Arial" w:eastAsia="Arial" w:hAnsi="Arial"/>
          <w:sz w:val="11"/>
          <w:szCs w:val="11"/>
          <w:color w:val="F7323F"/>
        </w:rPr>
      </w:pPr>
    </w:p>
    <w:p>
      <w:pPr>
        <w:ind w:left="2420" w:hanging="217"/>
        <w:spacing w:after="0"/>
        <w:tabs>
          <w:tab w:leader="none" w:pos="2420" w:val="left"/>
        </w:tabs>
        <w:numPr>
          <w:ilvl w:val="0"/>
          <w:numId w:val="14"/>
        </w:numPr>
        <w:rPr>
          <w:rFonts w:ascii="Arial" w:cs="Arial" w:eastAsia="Arial" w:hAnsi="Arial"/>
          <w:sz w:val="11"/>
          <w:szCs w:val="11"/>
          <w:color w:val="F7323F"/>
        </w:rPr>
      </w:pPr>
      <w:r>
        <w:rPr>
          <w:rFonts w:ascii="Arial" w:cs="Arial" w:eastAsia="Arial" w:hAnsi="Arial"/>
          <w:sz w:val="11"/>
          <w:szCs w:val="11"/>
          <w:color w:val="050505"/>
        </w:rPr>
        <w:t>a decline in the public’s interest in indoor cycling or running, or other fitness disciplines that we invest most heavily in; and</w:t>
      </w:r>
    </w:p>
    <w:p>
      <w:pPr>
        <w:spacing w:after="0" w:line="44" w:lineRule="exact"/>
        <w:rPr>
          <w:rFonts w:ascii="Arial" w:cs="Arial" w:eastAsia="Arial" w:hAnsi="Arial"/>
          <w:sz w:val="11"/>
          <w:szCs w:val="11"/>
          <w:color w:val="F7323F"/>
        </w:rPr>
      </w:pPr>
    </w:p>
    <w:p>
      <w:pPr>
        <w:ind w:left="2420" w:hanging="217"/>
        <w:spacing w:after="0"/>
        <w:tabs>
          <w:tab w:leader="none" w:pos="2420" w:val="left"/>
        </w:tabs>
        <w:numPr>
          <w:ilvl w:val="0"/>
          <w:numId w:val="14"/>
        </w:numPr>
        <w:rPr>
          <w:rFonts w:ascii="Arial" w:cs="Arial" w:eastAsia="Arial" w:hAnsi="Arial"/>
          <w:sz w:val="11"/>
          <w:szCs w:val="11"/>
          <w:color w:val="F7323F"/>
        </w:rPr>
      </w:pPr>
      <w:r>
        <w:rPr>
          <w:rFonts w:ascii="Arial" w:cs="Arial" w:eastAsia="Arial" w:hAnsi="Arial"/>
          <w:sz w:val="11"/>
          <w:szCs w:val="11"/>
          <w:color w:val="050505"/>
        </w:rPr>
        <w:t>deteriorating general economic conditions or a change in consumer spending preferences or buying trends.</w:t>
      </w:r>
    </w:p>
    <w:p>
      <w:pPr>
        <w:spacing w:after="0" w:line="144" w:lineRule="exact"/>
        <w:rPr>
          <w:sz w:val="20"/>
          <w:szCs w:val="20"/>
          <w:color w:val="auto"/>
        </w:rPr>
      </w:pPr>
    </w:p>
    <w:p>
      <w:pPr>
        <w:jc w:val="both"/>
        <w:ind w:left="2060" w:right="839"/>
        <w:spacing w:after="0" w:line="241" w:lineRule="auto"/>
        <w:rPr>
          <w:sz w:val="20"/>
          <w:szCs w:val="20"/>
          <w:color w:val="auto"/>
        </w:rPr>
      </w:pPr>
      <w:r>
        <w:rPr>
          <w:rFonts w:ascii="Arial" w:cs="Arial" w:eastAsia="Arial" w:hAnsi="Arial"/>
          <w:sz w:val="11"/>
          <w:szCs w:val="11"/>
          <w:color w:val="050505"/>
        </w:rPr>
        <w:t>Additionally, further expansion into international markets such as Canada, the United Kingdom, and Germany will create new challenges in attracting and retaining Subscribers that we may not successfully address. As a result of these factors, we cannot be sure that our Subscriber levels will be adequate to maintain or permit the expansion of our operations. A decline in Subscriber levels could have an adverse effect on our business, financial condition, and operating results.</w:t>
      </w:r>
    </w:p>
    <w:p>
      <w:pPr>
        <w:spacing w:after="0" w:line="95" w:lineRule="exact"/>
        <w:rPr>
          <w:sz w:val="20"/>
          <w:szCs w:val="20"/>
          <w:color w:val="auto"/>
        </w:rPr>
      </w:pPr>
    </w:p>
    <w:p>
      <w:pPr>
        <w:ind w:left="5680"/>
        <w:spacing w:after="0"/>
        <w:rPr>
          <w:sz w:val="20"/>
          <w:szCs w:val="20"/>
          <w:color w:val="auto"/>
        </w:rPr>
      </w:pPr>
      <w:r>
        <w:rPr>
          <w:rFonts w:ascii="Arial" w:cs="Arial" w:eastAsia="Arial" w:hAnsi="Arial"/>
          <w:sz w:val="11"/>
          <w:szCs w:val="11"/>
          <w:color w:val="050505"/>
        </w:rPr>
        <w:t>15</w:t>
      </w:r>
    </w:p>
    <w:p>
      <w:pPr>
        <w:sectPr>
          <w:pgSz w:w="11900" w:h="16838" w:orient="portrait"/>
          <w:cols w:equalWidth="0" w:num="1">
            <w:col w:w="10239"/>
          </w:cols>
          <w:pgMar w:left="220" w:top="354" w:right="1440" w:bottom="1440" w:gutter="0" w:footer="0" w:header="0"/>
        </w:sectPr>
      </w:pPr>
    </w:p>
    <w:bookmarkStart w:id="20" w:name="page21"/>
    <w:bookmarkEnd w:id="20"/>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hyperlink w:anchor="page5">
        <w:r>
          <w:rPr>
            <w:rFonts w:ascii="Arial" w:cs="Arial" w:eastAsia="Arial" w:hAnsi="Arial"/>
            <w:sz w:val="12"/>
            <w:szCs w:val="12"/>
            <w:b w:val="1"/>
            <w:bCs w:val="1"/>
            <w:u w:val="single" w:color="auto"/>
            <w:color w:val="0000EE"/>
          </w:rPr>
          <w:t>Table of Contents</w:t>
        </w:r>
      </w:hyperlink>
    </w:p>
    <w:p>
      <w:pPr>
        <w:spacing w:after="0" w:line="204" w:lineRule="exact"/>
        <w:rPr>
          <w:sz w:val="20"/>
          <w:szCs w:val="20"/>
          <w:color w:val="auto"/>
        </w:rPr>
      </w:pPr>
    </w:p>
    <w:p>
      <w:pPr>
        <w:jc w:val="both"/>
        <w:ind w:left="2060" w:right="839"/>
        <w:spacing w:after="0" w:line="253" w:lineRule="auto"/>
        <w:rPr>
          <w:sz w:val="20"/>
          <w:szCs w:val="20"/>
          <w:color w:val="auto"/>
        </w:rPr>
      </w:pPr>
      <w:r>
        <w:rPr>
          <w:rFonts w:ascii="Arial" w:cs="Arial" w:eastAsia="Arial" w:hAnsi="Arial"/>
          <w:sz w:val="11"/>
          <w:szCs w:val="11"/>
          <w:b w:val="1"/>
          <w:bCs w:val="1"/>
          <w:i w:val="1"/>
          <w:iCs w:val="1"/>
          <w:color w:val="auto"/>
        </w:rPr>
        <w:t>If we are unable to anticipate consumer preferences and successfully develop and introduce new, innovative, and updated products and services in a timely manner or effectively manage the introduction of new or enhanced products and services, our business may be adversely affected.</w:t>
      </w:r>
    </w:p>
    <w:p>
      <w:pPr>
        <w:spacing w:after="0" w:line="134" w:lineRule="exact"/>
        <w:rPr>
          <w:sz w:val="20"/>
          <w:szCs w:val="20"/>
          <w:color w:val="auto"/>
        </w:rPr>
      </w:pPr>
    </w:p>
    <w:p>
      <w:pPr>
        <w:jc w:val="both"/>
        <w:ind w:left="2060" w:right="839"/>
        <w:spacing w:after="0" w:line="239" w:lineRule="auto"/>
        <w:rPr>
          <w:sz w:val="20"/>
          <w:szCs w:val="20"/>
          <w:color w:val="auto"/>
        </w:rPr>
      </w:pPr>
      <w:r>
        <w:rPr>
          <w:rFonts w:ascii="Arial" w:cs="Arial" w:eastAsia="Arial" w:hAnsi="Arial"/>
          <w:sz w:val="11"/>
          <w:szCs w:val="11"/>
          <w:color w:val="050505"/>
        </w:rPr>
        <w:t>Our success in maintaining and increasing our Subscriber base depends on our ability to identify and originate trends as well as to anticipate and react to changing consumer demands in a timely manner. Our products and services are subject to changing consumer preferences that cannot be predicted with certainty. If we are unable to introduce new or enhanced offerings in a timely manner, or our new or enhanced offerings are not accepted by our Subscribers, our competitors may introduce similar offerings faster than us, which could negatively affect our rate of growth. Moreover, our new offerings may not receive consumer acceptance as preferences could shift rapidly to different types of fitness and wellness offerings or away from these types of offerings altogether, and our future success depends in part on our ability to anticipate and respond to these changes. Failure to anticipate and respond in a timely manner to changing consumer preferences could lead to, among other things, lower subscription rates, lower sales, pricing pressure, lower gross margins, discounting of our existing Connected Fitness Products, and excess inventory levels. Even if we are successful in anticipating consumer preferences, our ability to adequately react to and address them will partially depend upon our continued ability to develop and introduce innovative, high-quality offerings. Development of new or enhanced products and services may require significant time and financial investment, which could result in increased costs and a reduction in our profit margins. For example, we have historically incurred higher levels of sales and marketing expenses accompanying each product and service introduction.</w:t>
      </w:r>
    </w:p>
    <w:p>
      <w:pPr>
        <w:spacing w:after="0" w:line="146" w:lineRule="exact"/>
        <w:rPr>
          <w:sz w:val="20"/>
          <w:szCs w:val="20"/>
          <w:color w:val="auto"/>
        </w:rPr>
      </w:pPr>
    </w:p>
    <w:p>
      <w:pPr>
        <w:jc w:val="both"/>
        <w:ind w:left="2060" w:right="839"/>
        <w:spacing w:after="0" w:line="242" w:lineRule="auto"/>
        <w:rPr>
          <w:sz w:val="20"/>
          <w:szCs w:val="20"/>
          <w:color w:val="auto"/>
        </w:rPr>
      </w:pPr>
      <w:r>
        <w:rPr>
          <w:rFonts w:ascii="Arial" w:cs="Arial" w:eastAsia="Arial" w:hAnsi="Arial"/>
          <w:sz w:val="11"/>
          <w:szCs w:val="11"/>
          <w:color w:val="050505"/>
        </w:rPr>
        <w:t>Moreover, we must successfully manage introductions of new or enhanced products and services, which could adversely impact the sales of our existing products and services. For instance, consumers may decide to purchase new or enhanced products and services instead of our existing products and services, which could lead to excess product inventory and discounting of our existing products and services.</w:t>
      </w:r>
    </w:p>
    <w:p>
      <w:pPr>
        <w:spacing w:after="0" w:line="128" w:lineRule="exact"/>
        <w:rPr>
          <w:sz w:val="20"/>
          <w:szCs w:val="20"/>
          <w:color w:val="auto"/>
        </w:rPr>
      </w:pPr>
    </w:p>
    <w:p>
      <w:pPr>
        <w:jc w:val="both"/>
        <w:ind w:left="2060" w:right="839"/>
        <w:spacing w:after="0" w:line="268" w:lineRule="auto"/>
        <w:rPr>
          <w:sz w:val="20"/>
          <w:szCs w:val="20"/>
          <w:color w:val="auto"/>
        </w:rPr>
      </w:pPr>
      <w:r>
        <w:rPr>
          <w:rFonts w:ascii="Arial" w:cs="Arial" w:eastAsia="Arial" w:hAnsi="Arial"/>
          <w:sz w:val="11"/>
          <w:szCs w:val="11"/>
          <w:b w:val="1"/>
          <w:bCs w:val="1"/>
          <w:i w:val="1"/>
          <w:iCs w:val="1"/>
          <w:color w:val="auto"/>
        </w:rPr>
        <w:t>The market for our products and services is still in the early stages of growth and if it does not continue to grow, grows more slowly than we expect, or fails to grow as large as we expect, our business, financial condition, and operating results may be adversely affected.</w:t>
      </w:r>
    </w:p>
    <w:p>
      <w:pPr>
        <w:spacing w:after="0" w:line="126" w:lineRule="exact"/>
        <w:rPr>
          <w:sz w:val="20"/>
          <w:szCs w:val="20"/>
          <w:color w:val="auto"/>
        </w:rPr>
      </w:pPr>
    </w:p>
    <w:p>
      <w:pPr>
        <w:jc w:val="both"/>
        <w:ind w:left="2060" w:right="839"/>
        <w:spacing w:after="0"/>
        <w:rPr>
          <w:sz w:val="20"/>
          <w:szCs w:val="20"/>
          <w:color w:val="auto"/>
        </w:rPr>
      </w:pPr>
      <w:r>
        <w:rPr>
          <w:rFonts w:ascii="Arial" w:cs="Arial" w:eastAsia="Arial" w:hAnsi="Arial"/>
          <w:sz w:val="11"/>
          <w:szCs w:val="11"/>
          <w:color w:val="050505"/>
        </w:rPr>
        <w:t>The connected fitness and wellness market is relatively new, rapidly growing, largely unproven, and it is uncertain whether it will sustain high levels of demand and achieve wide market acceptance. Our success depends substantially on the willingness of consumers to widely adopt our products and services. To be successful, we will have to educate consumers about our products and services through significant investment, and provide quality content that is superior to the content and experiences provided by our competitors. Additionally, the fitness and wellness market at large is heavily saturated, and the demand for and market acceptance of new products and services in the market is uncertain. It is difficult to predict the future growth rates, if any, and size of our market. We cannot assure you that our market will develop, that the public’s interest in connected fitness and wellness will continue, or that our products and services will be widely adopted. If our market does not develop, develops more slowly than expected, or becomes saturated with competitors, or if our products and services do not achieve market acceptance, our business, financial condition, and operating results could be adversely affected.</w:t>
      </w:r>
    </w:p>
    <w:p>
      <w:pPr>
        <w:spacing w:after="0" w:line="129" w:lineRule="exact"/>
        <w:rPr>
          <w:sz w:val="20"/>
          <w:szCs w:val="20"/>
          <w:color w:val="auto"/>
        </w:rPr>
      </w:pPr>
    </w:p>
    <w:p>
      <w:pPr>
        <w:jc w:val="both"/>
        <w:ind w:left="2060" w:right="839"/>
        <w:spacing w:after="0" w:line="268" w:lineRule="auto"/>
        <w:rPr>
          <w:sz w:val="20"/>
          <w:szCs w:val="20"/>
          <w:color w:val="auto"/>
        </w:rPr>
      </w:pPr>
      <w:r>
        <w:rPr>
          <w:rFonts w:ascii="Arial" w:cs="Arial" w:eastAsia="Arial" w:hAnsi="Arial"/>
          <w:sz w:val="11"/>
          <w:szCs w:val="11"/>
          <w:b w:val="1"/>
          <w:bCs w:val="1"/>
          <w:i w:val="1"/>
          <w:iCs w:val="1"/>
          <w:color w:val="auto"/>
        </w:rPr>
        <w:t>We have a limited operating history and our past financial results may not be indicative of our future performance. Further, our revenue growth rate is likely to slow as our business matures.</w:t>
      </w:r>
    </w:p>
    <w:p>
      <w:pPr>
        <w:spacing w:after="0" w:line="126" w:lineRule="exact"/>
        <w:rPr>
          <w:sz w:val="20"/>
          <w:szCs w:val="20"/>
          <w:color w:val="auto"/>
        </w:rPr>
      </w:pPr>
    </w:p>
    <w:p>
      <w:pPr>
        <w:jc w:val="both"/>
        <w:ind w:left="2060" w:right="839"/>
        <w:spacing w:after="0" w:line="267" w:lineRule="auto"/>
        <w:rPr>
          <w:sz w:val="20"/>
          <w:szCs w:val="20"/>
          <w:color w:val="auto"/>
        </w:rPr>
      </w:pPr>
      <w:r>
        <w:rPr>
          <w:rFonts w:ascii="Arial" w:cs="Arial" w:eastAsia="Arial" w:hAnsi="Arial"/>
          <w:sz w:val="10"/>
          <w:szCs w:val="10"/>
          <w:color w:val="050505"/>
        </w:rPr>
        <w:t>We began operations in 2012, shipped our first Bike in 2014, and shipped our first Tread in 2018. We have a limited history of generating revenue. As a result of our short operating history, we have limited financial data that can be used to evaluate our current business. Therefore, our historical revenue growth should not be considered indicative of our future performance. In particular, we have experienced periods of high revenue growth since we began selling our Bike that we do not expect to continue as our business matures. Estimates of future revenue growth are subject to many risks and uncertainties and our future revenue may differ materially from our projections. We have encountered, and will continue to encounter, risks and difficulties frequently experienced by growing companies in rapidly changing industries, including market acceptance of our products and services, attracting and retaining Subscribers, and increasing competition and expenses as we expand our business. We cannot be sure that we will be successful in addressing these and other challenges we may face in the future, and our business may be adversely affected if we do not manage these risks</w:t>
      </w:r>
    </w:p>
    <w:p>
      <w:pPr>
        <w:spacing w:after="0" w:line="84" w:lineRule="exact"/>
        <w:rPr>
          <w:sz w:val="20"/>
          <w:szCs w:val="20"/>
          <w:color w:val="auto"/>
        </w:rPr>
      </w:pPr>
    </w:p>
    <w:p>
      <w:pPr>
        <w:ind w:left="5680"/>
        <w:spacing w:after="0"/>
        <w:rPr>
          <w:sz w:val="20"/>
          <w:szCs w:val="20"/>
          <w:color w:val="auto"/>
        </w:rPr>
      </w:pPr>
      <w:r>
        <w:rPr>
          <w:rFonts w:ascii="Arial" w:cs="Arial" w:eastAsia="Arial" w:hAnsi="Arial"/>
          <w:sz w:val="11"/>
          <w:szCs w:val="11"/>
          <w:color w:val="050505"/>
        </w:rPr>
        <w:t>16</w:t>
      </w:r>
    </w:p>
    <w:p>
      <w:pPr>
        <w:sectPr>
          <w:pgSz w:w="11900" w:h="16838" w:orient="portrait"/>
          <w:cols w:equalWidth="0" w:num="1">
            <w:col w:w="10239"/>
          </w:cols>
          <w:pgMar w:left="220" w:top="354" w:right="1440" w:bottom="1440" w:gutter="0" w:footer="0" w:header="0"/>
        </w:sectPr>
      </w:pPr>
    </w:p>
    <w:bookmarkStart w:id="21" w:name="page22"/>
    <w:bookmarkEnd w:id="21"/>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hyperlink w:anchor="page5">
        <w:r>
          <w:rPr>
            <w:rFonts w:ascii="Arial" w:cs="Arial" w:eastAsia="Arial" w:hAnsi="Arial"/>
            <w:sz w:val="12"/>
            <w:szCs w:val="12"/>
            <w:b w:val="1"/>
            <w:bCs w:val="1"/>
            <w:u w:val="single" w:color="auto"/>
            <w:color w:val="0000EE"/>
          </w:rPr>
          <w:t>Table of Contents</w:t>
        </w:r>
      </w:hyperlink>
    </w:p>
    <w:p>
      <w:pPr>
        <w:spacing w:after="0" w:line="216" w:lineRule="exact"/>
        <w:rPr>
          <w:sz w:val="20"/>
          <w:szCs w:val="20"/>
          <w:color w:val="auto"/>
        </w:rPr>
      </w:pPr>
    </w:p>
    <w:p>
      <w:pPr>
        <w:jc w:val="both"/>
        <w:ind w:left="2060" w:right="839"/>
        <w:spacing w:after="0" w:line="245" w:lineRule="auto"/>
        <w:rPr>
          <w:sz w:val="20"/>
          <w:szCs w:val="20"/>
          <w:color w:val="auto"/>
        </w:rPr>
      </w:pPr>
      <w:r>
        <w:rPr>
          <w:rFonts w:ascii="Arial" w:cs="Arial" w:eastAsia="Arial" w:hAnsi="Arial"/>
          <w:sz w:val="11"/>
          <w:szCs w:val="11"/>
          <w:color w:val="050505"/>
        </w:rPr>
        <w:t>successfully. In addition, we may not achieve sufficient revenue to attain or maintain positive cash flows from operations or profitability in any given period, or at all.</w:t>
      </w:r>
    </w:p>
    <w:p>
      <w:pPr>
        <w:spacing w:after="0" w:line="126" w:lineRule="exact"/>
        <w:rPr>
          <w:sz w:val="20"/>
          <w:szCs w:val="20"/>
          <w:color w:val="auto"/>
        </w:rPr>
      </w:pPr>
    </w:p>
    <w:p>
      <w:pPr>
        <w:ind w:left="2060"/>
        <w:spacing w:after="0"/>
        <w:rPr>
          <w:sz w:val="20"/>
          <w:szCs w:val="20"/>
          <w:color w:val="auto"/>
        </w:rPr>
      </w:pPr>
      <w:r>
        <w:rPr>
          <w:rFonts w:ascii="Arial" w:cs="Arial" w:eastAsia="Arial" w:hAnsi="Arial"/>
          <w:sz w:val="11"/>
          <w:szCs w:val="11"/>
          <w:b w:val="1"/>
          <w:bCs w:val="1"/>
          <w:i w:val="1"/>
          <w:iCs w:val="1"/>
          <w:color w:val="auto"/>
        </w:rPr>
        <w:t>We operate in a highly competitive market and we may be unable to compete successfully against existing and future competitors.</w:t>
      </w:r>
    </w:p>
    <w:p>
      <w:pPr>
        <w:spacing w:after="0" w:line="156" w:lineRule="exact"/>
        <w:rPr>
          <w:sz w:val="20"/>
          <w:szCs w:val="20"/>
          <w:color w:val="auto"/>
        </w:rPr>
      </w:pPr>
    </w:p>
    <w:p>
      <w:pPr>
        <w:jc w:val="both"/>
        <w:ind w:left="2060" w:right="839"/>
        <w:spacing w:after="0" w:line="242" w:lineRule="auto"/>
        <w:rPr>
          <w:sz w:val="20"/>
          <w:szCs w:val="20"/>
          <w:color w:val="auto"/>
        </w:rPr>
      </w:pPr>
      <w:r>
        <w:rPr>
          <w:rFonts w:ascii="Arial" w:cs="Arial" w:eastAsia="Arial" w:hAnsi="Arial"/>
          <w:sz w:val="11"/>
          <w:szCs w:val="11"/>
          <w:color w:val="050505"/>
        </w:rPr>
        <w:t>Our products and services are offered in a highly competitive market. We face significant competition in every aspect of our business, including at-home fitness equipment and content, fitness clubs, in-studio fitness classes, and health and wellness apps. Moreover, we expect the competition in our market to intensify in the future as new and existing competitors introduce new or enhanced products and services that compete with ours.</w:t>
      </w:r>
    </w:p>
    <w:p>
      <w:pPr>
        <w:spacing w:after="0" w:line="140" w:lineRule="exact"/>
        <w:rPr>
          <w:sz w:val="20"/>
          <w:szCs w:val="20"/>
          <w:color w:val="auto"/>
        </w:rPr>
      </w:pPr>
    </w:p>
    <w:p>
      <w:pPr>
        <w:jc w:val="both"/>
        <w:ind w:left="2060" w:right="839"/>
        <w:spacing w:after="0"/>
        <w:rPr>
          <w:sz w:val="20"/>
          <w:szCs w:val="20"/>
          <w:color w:val="auto"/>
        </w:rPr>
      </w:pPr>
      <w:r>
        <w:rPr>
          <w:rFonts w:ascii="Arial" w:cs="Arial" w:eastAsia="Arial" w:hAnsi="Arial"/>
          <w:sz w:val="11"/>
          <w:szCs w:val="11"/>
          <w:color w:val="050505"/>
        </w:rPr>
        <w:t>Our competitors may develop, or have already developed, products, features, content, services, or technologies that are similar to ours or that achieve greater acceptance, may undertake more successful product development efforts, create more compelling employment opportunities, or marketing campaigns, or may adopt more aggressive pricing policies. Our competitors may develop or acquire, or have already developed or acquired, intellectual property rights that significantly limit or prevent our ability to compete effectively in the public marketplace. In addition, our competitors may have significantly greater resources than us, allowing them to identify and capitalize more efficiently upon opportunities in new markets and consumer preferences and trends, quickly transition and adapt their products and services, devote greater resources to marketing and advertising, or be better positioned to withstand substantial price competition. If we are not able to compete effectively against our competitors, they may acquire and engage customers or generate revenue at the expense of our efforts, which could have an adverse effect on our business, financial condition, and operating results.</w:t>
      </w:r>
    </w:p>
    <w:p>
      <w:pPr>
        <w:spacing w:after="0" w:line="129" w:lineRule="exact"/>
        <w:rPr>
          <w:sz w:val="20"/>
          <w:szCs w:val="20"/>
          <w:color w:val="auto"/>
        </w:rPr>
      </w:pPr>
    </w:p>
    <w:p>
      <w:pPr>
        <w:jc w:val="both"/>
        <w:ind w:left="2060" w:right="839"/>
        <w:spacing w:after="0" w:line="268" w:lineRule="auto"/>
        <w:rPr>
          <w:sz w:val="20"/>
          <w:szCs w:val="20"/>
          <w:color w:val="auto"/>
        </w:rPr>
      </w:pPr>
      <w:r>
        <w:rPr>
          <w:rFonts w:ascii="Arial" w:cs="Arial" w:eastAsia="Arial" w:hAnsi="Arial"/>
          <w:sz w:val="11"/>
          <w:szCs w:val="11"/>
          <w:b w:val="1"/>
          <w:bCs w:val="1"/>
          <w:i w:val="1"/>
          <w:iCs w:val="1"/>
          <w:color w:val="auto"/>
        </w:rPr>
        <w:t>We derive a significant majority of our revenue from sales of our Bike. A decline in sales of our Bike would negatively affect our future revenue and operating results.</w:t>
      </w:r>
    </w:p>
    <w:p>
      <w:pPr>
        <w:spacing w:after="0" w:line="126" w:lineRule="exact"/>
        <w:rPr>
          <w:sz w:val="20"/>
          <w:szCs w:val="20"/>
          <w:color w:val="auto"/>
        </w:rPr>
      </w:pPr>
    </w:p>
    <w:p>
      <w:pPr>
        <w:jc w:val="both"/>
        <w:ind w:left="2060" w:right="839"/>
        <w:spacing w:after="0"/>
        <w:rPr>
          <w:sz w:val="20"/>
          <w:szCs w:val="20"/>
          <w:color w:val="auto"/>
        </w:rPr>
      </w:pPr>
      <w:r>
        <w:rPr>
          <w:rFonts w:ascii="Arial" w:cs="Arial" w:eastAsia="Arial" w:hAnsi="Arial"/>
          <w:sz w:val="11"/>
          <w:szCs w:val="11"/>
          <w:color w:val="050505"/>
        </w:rPr>
        <w:t>Our Connected Fitness Products are sold in highly competitive markets with limited barriers to entry. Introduction by competitors of comparable products at lower price points, a maturing product lifecycle, a decline in consumer spending, or other factors could result in a decline in our revenue derived from our Connected Fitness Products, which may have an adverse effect on our business, financial condition, and operating results. Because we derive a significant majority of our revenue from the sales of our Bike, any material decline in sales of our Bike would have a pronounced impact on our future revenue and operating results.</w:t>
      </w:r>
    </w:p>
    <w:p>
      <w:pPr>
        <w:spacing w:after="0" w:line="130" w:lineRule="exact"/>
        <w:rPr>
          <w:sz w:val="20"/>
          <w:szCs w:val="20"/>
          <w:color w:val="auto"/>
        </w:rPr>
      </w:pPr>
    </w:p>
    <w:p>
      <w:pPr>
        <w:jc w:val="both"/>
        <w:ind w:left="2060" w:right="839"/>
        <w:spacing w:after="0" w:line="268" w:lineRule="auto"/>
        <w:rPr>
          <w:sz w:val="20"/>
          <w:szCs w:val="20"/>
          <w:color w:val="auto"/>
        </w:rPr>
      </w:pPr>
      <w:r>
        <w:rPr>
          <w:rFonts w:ascii="Arial" w:cs="Arial" w:eastAsia="Arial" w:hAnsi="Arial"/>
          <w:sz w:val="11"/>
          <w:szCs w:val="11"/>
          <w:b w:val="1"/>
          <w:bCs w:val="1"/>
          <w:i w:val="1"/>
          <w:iCs w:val="1"/>
          <w:color w:val="auto"/>
        </w:rPr>
        <w:t>We rely on a limited number of suppliers, manufacturers, and logistics partners for our Connected Fitness Products. A loss of any of these partners could negatively affect our business.</w:t>
      </w:r>
    </w:p>
    <w:p>
      <w:pPr>
        <w:spacing w:after="0" w:line="126" w:lineRule="exact"/>
        <w:rPr>
          <w:sz w:val="20"/>
          <w:szCs w:val="20"/>
          <w:color w:val="auto"/>
        </w:rPr>
      </w:pPr>
    </w:p>
    <w:p>
      <w:pPr>
        <w:jc w:val="both"/>
        <w:ind w:left="2060" w:right="839"/>
        <w:spacing w:after="0"/>
        <w:rPr>
          <w:sz w:val="20"/>
          <w:szCs w:val="20"/>
          <w:color w:val="auto"/>
        </w:rPr>
      </w:pPr>
      <w:r>
        <w:rPr>
          <w:rFonts w:ascii="Arial" w:cs="Arial" w:eastAsia="Arial" w:hAnsi="Arial"/>
          <w:sz w:val="11"/>
          <w:szCs w:val="11"/>
          <w:color w:val="050505"/>
        </w:rPr>
        <w:t>We rely on a limited number of suppliers to manufacture and transport our Connected Fitness Products, including in some cases only a single supplier for some of our products and components. Our reliance on a limited number of manufacturers for each of our Connected Fitness Products increases our risks, since we do not currently have alternative or replacement manufacturers beyond these key parties. In the event of interruption from any of our manufacturers, we may not be able to increase capacity from other sources or develop alternate or secondary sources without incurring material additional costs and substantial delays. Furthermore, all of these manufacturers’ primary facilities are located in Taiwan. Thus, our business could be adversely affected if one or more of our suppliers is impacted by a natural disaster or other interruption at a particular location.</w:t>
      </w:r>
    </w:p>
    <w:p>
      <w:pPr>
        <w:spacing w:after="0" w:line="142" w:lineRule="exact"/>
        <w:rPr>
          <w:sz w:val="20"/>
          <w:szCs w:val="20"/>
          <w:color w:val="auto"/>
        </w:rPr>
      </w:pPr>
    </w:p>
    <w:p>
      <w:pPr>
        <w:jc w:val="both"/>
        <w:ind w:left="2060" w:right="839"/>
        <w:spacing w:after="0"/>
        <w:rPr>
          <w:sz w:val="20"/>
          <w:szCs w:val="20"/>
          <w:color w:val="auto"/>
        </w:rPr>
      </w:pPr>
      <w:r>
        <w:rPr>
          <w:rFonts w:ascii="Arial" w:cs="Arial" w:eastAsia="Arial" w:hAnsi="Arial"/>
          <w:sz w:val="11"/>
          <w:szCs w:val="11"/>
          <w:color w:val="050505"/>
        </w:rPr>
        <w:t>If we experience a significant increase in demand for our Connected Fitness Products, or if we need to replace an existing supplier or partner, we may be unable to supplement or replace them on terms that are acceptable to us, which may undermine our ability to deliver our products to Members in a timely manner. For example, it may take a significant amount of time to identify a manufacturer that has the capability and resources to build our products to our specifications in sufficient volume. Identifying suitable suppliers, manufacturers, and logistics partners is an extensive process that requires us to become satisfied with their quality control, technical capabilities, responsiveness and service, financial stability, regulatory compliance, and labor and other ethical practices. Accordingly, a loss of any of our significant suppliers, manufactures, or logistics partners could have an adverse effect on our business, financial condition and operating results.</w:t>
      </w:r>
    </w:p>
    <w:p>
      <w:pPr>
        <w:spacing w:after="0" w:line="96" w:lineRule="exact"/>
        <w:rPr>
          <w:sz w:val="20"/>
          <w:szCs w:val="20"/>
          <w:color w:val="auto"/>
        </w:rPr>
      </w:pPr>
    </w:p>
    <w:p>
      <w:pPr>
        <w:ind w:left="5680"/>
        <w:spacing w:after="0"/>
        <w:rPr>
          <w:sz w:val="20"/>
          <w:szCs w:val="20"/>
          <w:color w:val="auto"/>
        </w:rPr>
      </w:pPr>
      <w:r>
        <w:rPr>
          <w:rFonts w:ascii="Arial" w:cs="Arial" w:eastAsia="Arial" w:hAnsi="Arial"/>
          <w:sz w:val="11"/>
          <w:szCs w:val="11"/>
          <w:color w:val="050505"/>
        </w:rPr>
        <w:t>17</w:t>
      </w:r>
    </w:p>
    <w:p>
      <w:pPr>
        <w:sectPr>
          <w:pgSz w:w="11900" w:h="16838" w:orient="portrait"/>
          <w:cols w:equalWidth="0" w:num="1">
            <w:col w:w="10239"/>
          </w:cols>
          <w:pgMar w:left="220" w:top="354" w:right="1440" w:bottom="1440" w:gutter="0" w:footer="0" w:header="0"/>
        </w:sectPr>
      </w:pPr>
    </w:p>
    <w:bookmarkStart w:id="22" w:name="page23"/>
    <w:bookmarkEnd w:id="22"/>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hyperlink w:anchor="page5">
        <w:r>
          <w:rPr>
            <w:rFonts w:ascii="Arial" w:cs="Arial" w:eastAsia="Arial" w:hAnsi="Arial"/>
            <w:sz w:val="12"/>
            <w:szCs w:val="12"/>
            <w:b w:val="1"/>
            <w:bCs w:val="1"/>
            <w:u w:val="single" w:color="auto"/>
            <w:color w:val="0000EE"/>
          </w:rPr>
          <w:t>Table of Contents</w:t>
        </w:r>
      </w:hyperlink>
    </w:p>
    <w:p>
      <w:pPr>
        <w:spacing w:after="0" w:line="204" w:lineRule="exact"/>
        <w:rPr>
          <w:sz w:val="20"/>
          <w:szCs w:val="20"/>
          <w:color w:val="auto"/>
        </w:rPr>
      </w:pPr>
    </w:p>
    <w:p>
      <w:pPr>
        <w:ind w:left="2060" w:right="839"/>
        <w:spacing w:after="0" w:line="268" w:lineRule="auto"/>
        <w:rPr>
          <w:sz w:val="20"/>
          <w:szCs w:val="20"/>
          <w:color w:val="auto"/>
        </w:rPr>
      </w:pPr>
      <w:r>
        <w:rPr>
          <w:rFonts w:ascii="Arial" w:cs="Arial" w:eastAsia="Arial" w:hAnsi="Arial"/>
          <w:sz w:val="11"/>
          <w:szCs w:val="11"/>
          <w:b w:val="1"/>
          <w:bCs w:val="1"/>
          <w:i w:val="1"/>
          <w:iCs w:val="1"/>
          <w:color w:val="auto"/>
        </w:rPr>
        <w:t>We have limited control over our suppliers, manufacturers, and logistics partners, which may subject us to significant risks, including the potential inability to produce or obtain quality products and services on a timely basis or in sufficient quantity.</w:t>
      </w:r>
    </w:p>
    <w:p>
      <w:pPr>
        <w:spacing w:after="0" w:line="126" w:lineRule="exact"/>
        <w:rPr>
          <w:sz w:val="20"/>
          <w:szCs w:val="20"/>
          <w:color w:val="auto"/>
        </w:rPr>
      </w:pPr>
    </w:p>
    <w:p>
      <w:pPr>
        <w:jc w:val="center"/>
        <w:ind w:right="-80"/>
        <w:spacing w:after="0"/>
        <w:rPr>
          <w:sz w:val="20"/>
          <w:szCs w:val="20"/>
          <w:color w:val="auto"/>
        </w:rPr>
      </w:pPr>
      <w:r>
        <w:rPr>
          <w:rFonts w:ascii="Arial" w:cs="Arial" w:eastAsia="Arial" w:hAnsi="Arial"/>
          <w:sz w:val="11"/>
          <w:szCs w:val="11"/>
          <w:color w:val="050505"/>
        </w:rPr>
        <w:t>We have limited control over our suppliers, manufacturers, and logistics partners, which subjects us to risks, such as the following:</w:t>
      </w:r>
    </w:p>
    <w:p>
      <w:pPr>
        <w:spacing w:after="0" w:line="162" w:lineRule="exact"/>
        <w:rPr>
          <w:sz w:val="20"/>
          <w:szCs w:val="20"/>
          <w:color w:val="auto"/>
        </w:rPr>
      </w:pPr>
    </w:p>
    <w:p>
      <w:pPr>
        <w:ind w:left="2420" w:hanging="217"/>
        <w:spacing w:after="0"/>
        <w:tabs>
          <w:tab w:leader="none" w:pos="2420" w:val="left"/>
        </w:tabs>
        <w:numPr>
          <w:ilvl w:val="0"/>
          <w:numId w:val="15"/>
        </w:numPr>
        <w:rPr>
          <w:rFonts w:ascii="Arial" w:cs="Arial" w:eastAsia="Arial" w:hAnsi="Arial"/>
          <w:sz w:val="11"/>
          <w:szCs w:val="11"/>
          <w:color w:val="F7323F"/>
        </w:rPr>
      </w:pPr>
      <w:r>
        <w:rPr>
          <w:rFonts w:ascii="Arial" w:cs="Arial" w:eastAsia="Arial" w:hAnsi="Arial"/>
          <w:sz w:val="11"/>
          <w:szCs w:val="11"/>
          <w:color w:val="050505"/>
        </w:rPr>
        <w:t>inability to satisfy demand for our Connected Fitness Products;</w:t>
      </w:r>
    </w:p>
    <w:p>
      <w:pPr>
        <w:spacing w:after="0" w:line="44" w:lineRule="exact"/>
        <w:rPr>
          <w:rFonts w:ascii="Arial" w:cs="Arial" w:eastAsia="Arial" w:hAnsi="Arial"/>
          <w:sz w:val="11"/>
          <w:szCs w:val="11"/>
          <w:color w:val="F7323F"/>
        </w:rPr>
      </w:pPr>
    </w:p>
    <w:p>
      <w:pPr>
        <w:ind w:left="2420" w:hanging="217"/>
        <w:spacing w:after="0"/>
        <w:tabs>
          <w:tab w:leader="none" w:pos="2420" w:val="left"/>
        </w:tabs>
        <w:numPr>
          <w:ilvl w:val="0"/>
          <w:numId w:val="15"/>
        </w:numPr>
        <w:rPr>
          <w:rFonts w:ascii="Arial" w:cs="Arial" w:eastAsia="Arial" w:hAnsi="Arial"/>
          <w:sz w:val="11"/>
          <w:szCs w:val="11"/>
          <w:color w:val="F7323F"/>
        </w:rPr>
      </w:pPr>
      <w:r>
        <w:rPr>
          <w:rFonts w:ascii="Arial" w:cs="Arial" w:eastAsia="Arial" w:hAnsi="Arial"/>
          <w:sz w:val="11"/>
          <w:szCs w:val="11"/>
          <w:color w:val="050505"/>
        </w:rPr>
        <w:t>reduced control over delivery timing and product reliability;</w:t>
      </w:r>
    </w:p>
    <w:p>
      <w:pPr>
        <w:spacing w:after="0" w:line="44" w:lineRule="exact"/>
        <w:rPr>
          <w:rFonts w:ascii="Arial" w:cs="Arial" w:eastAsia="Arial" w:hAnsi="Arial"/>
          <w:sz w:val="11"/>
          <w:szCs w:val="11"/>
          <w:color w:val="F7323F"/>
        </w:rPr>
      </w:pPr>
    </w:p>
    <w:p>
      <w:pPr>
        <w:ind w:left="2420" w:hanging="217"/>
        <w:spacing w:after="0"/>
        <w:tabs>
          <w:tab w:leader="none" w:pos="2420" w:val="left"/>
        </w:tabs>
        <w:numPr>
          <w:ilvl w:val="0"/>
          <w:numId w:val="15"/>
        </w:numPr>
        <w:rPr>
          <w:rFonts w:ascii="Arial" w:cs="Arial" w:eastAsia="Arial" w:hAnsi="Arial"/>
          <w:sz w:val="11"/>
          <w:szCs w:val="11"/>
          <w:color w:val="F7323F"/>
        </w:rPr>
      </w:pPr>
      <w:r>
        <w:rPr>
          <w:rFonts w:ascii="Arial" w:cs="Arial" w:eastAsia="Arial" w:hAnsi="Arial"/>
          <w:sz w:val="11"/>
          <w:szCs w:val="11"/>
          <w:color w:val="050505"/>
        </w:rPr>
        <w:t>reduced ability to monitor the manufacturing process and components used in our Connected Fitness Products;</w:t>
      </w:r>
    </w:p>
    <w:p>
      <w:pPr>
        <w:spacing w:after="0" w:line="44" w:lineRule="exact"/>
        <w:rPr>
          <w:rFonts w:ascii="Arial" w:cs="Arial" w:eastAsia="Arial" w:hAnsi="Arial"/>
          <w:sz w:val="11"/>
          <w:szCs w:val="11"/>
          <w:color w:val="F7323F"/>
        </w:rPr>
      </w:pPr>
    </w:p>
    <w:p>
      <w:pPr>
        <w:ind w:left="2420" w:hanging="217"/>
        <w:spacing w:after="0"/>
        <w:tabs>
          <w:tab w:leader="none" w:pos="2420" w:val="left"/>
        </w:tabs>
        <w:numPr>
          <w:ilvl w:val="0"/>
          <w:numId w:val="15"/>
        </w:numPr>
        <w:rPr>
          <w:rFonts w:ascii="Arial" w:cs="Arial" w:eastAsia="Arial" w:hAnsi="Arial"/>
          <w:sz w:val="11"/>
          <w:szCs w:val="11"/>
          <w:color w:val="F7323F"/>
        </w:rPr>
      </w:pPr>
      <w:r>
        <w:rPr>
          <w:rFonts w:ascii="Arial" w:cs="Arial" w:eastAsia="Arial" w:hAnsi="Arial"/>
          <w:sz w:val="11"/>
          <w:szCs w:val="11"/>
          <w:color w:val="050505"/>
        </w:rPr>
        <w:t>limited ability to develop comprehensive manufacturing specifications that take into account any materials shortages or substitutions;</w:t>
      </w:r>
    </w:p>
    <w:p>
      <w:pPr>
        <w:spacing w:after="0" w:line="44" w:lineRule="exact"/>
        <w:rPr>
          <w:rFonts w:ascii="Arial" w:cs="Arial" w:eastAsia="Arial" w:hAnsi="Arial"/>
          <w:sz w:val="11"/>
          <w:szCs w:val="11"/>
          <w:color w:val="F7323F"/>
        </w:rPr>
      </w:pPr>
    </w:p>
    <w:p>
      <w:pPr>
        <w:ind w:left="2420" w:hanging="217"/>
        <w:spacing w:after="0"/>
        <w:tabs>
          <w:tab w:leader="none" w:pos="2420" w:val="left"/>
        </w:tabs>
        <w:numPr>
          <w:ilvl w:val="0"/>
          <w:numId w:val="15"/>
        </w:numPr>
        <w:rPr>
          <w:rFonts w:ascii="Arial" w:cs="Arial" w:eastAsia="Arial" w:hAnsi="Arial"/>
          <w:sz w:val="11"/>
          <w:szCs w:val="11"/>
          <w:color w:val="F7323F"/>
        </w:rPr>
      </w:pPr>
      <w:r>
        <w:rPr>
          <w:rFonts w:ascii="Arial" w:cs="Arial" w:eastAsia="Arial" w:hAnsi="Arial"/>
          <w:sz w:val="11"/>
          <w:szCs w:val="11"/>
          <w:color w:val="050505"/>
        </w:rPr>
        <w:t>variance in the manufacturing capability of our third-party manufacturers;</w:t>
      </w:r>
    </w:p>
    <w:p>
      <w:pPr>
        <w:spacing w:after="0" w:line="44" w:lineRule="exact"/>
        <w:rPr>
          <w:rFonts w:ascii="Arial" w:cs="Arial" w:eastAsia="Arial" w:hAnsi="Arial"/>
          <w:sz w:val="11"/>
          <w:szCs w:val="11"/>
          <w:color w:val="F7323F"/>
        </w:rPr>
      </w:pPr>
    </w:p>
    <w:p>
      <w:pPr>
        <w:ind w:left="2420" w:hanging="217"/>
        <w:spacing w:after="0"/>
        <w:tabs>
          <w:tab w:leader="none" w:pos="2420" w:val="left"/>
        </w:tabs>
        <w:numPr>
          <w:ilvl w:val="0"/>
          <w:numId w:val="15"/>
        </w:numPr>
        <w:rPr>
          <w:rFonts w:ascii="Arial" w:cs="Arial" w:eastAsia="Arial" w:hAnsi="Arial"/>
          <w:sz w:val="11"/>
          <w:szCs w:val="11"/>
          <w:color w:val="F7323F"/>
        </w:rPr>
      </w:pPr>
      <w:r>
        <w:rPr>
          <w:rFonts w:ascii="Arial" w:cs="Arial" w:eastAsia="Arial" w:hAnsi="Arial"/>
          <w:sz w:val="11"/>
          <w:szCs w:val="11"/>
          <w:color w:val="050505"/>
        </w:rPr>
        <w:t>price increases;</w:t>
      </w:r>
    </w:p>
    <w:p>
      <w:pPr>
        <w:spacing w:after="0" w:line="44" w:lineRule="exact"/>
        <w:rPr>
          <w:rFonts w:ascii="Arial" w:cs="Arial" w:eastAsia="Arial" w:hAnsi="Arial"/>
          <w:sz w:val="11"/>
          <w:szCs w:val="11"/>
          <w:color w:val="F7323F"/>
        </w:rPr>
      </w:pPr>
    </w:p>
    <w:p>
      <w:pPr>
        <w:ind w:left="2420" w:hanging="217"/>
        <w:spacing w:after="0"/>
        <w:tabs>
          <w:tab w:leader="none" w:pos="2420" w:val="left"/>
        </w:tabs>
        <w:numPr>
          <w:ilvl w:val="0"/>
          <w:numId w:val="15"/>
        </w:numPr>
        <w:rPr>
          <w:rFonts w:ascii="Arial" w:cs="Arial" w:eastAsia="Arial" w:hAnsi="Arial"/>
          <w:sz w:val="11"/>
          <w:szCs w:val="11"/>
          <w:color w:val="F7323F"/>
        </w:rPr>
      </w:pPr>
      <w:r>
        <w:rPr>
          <w:rFonts w:ascii="Arial" w:cs="Arial" w:eastAsia="Arial" w:hAnsi="Arial"/>
          <w:sz w:val="11"/>
          <w:szCs w:val="11"/>
          <w:color w:val="050505"/>
        </w:rPr>
        <w:t>failure of a significant supplier, manufacturer, or logistics partner to perform its obligations to us for technical, market, or other reasons;</w:t>
      </w:r>
    </w:p>
    <w:p>
      <w:pPr>
        <w:spacing w:after="0" w:line="44" w:lineRule="exact"/>
        <w:rPr>
          <w:rFonts w:ascii="Arial" w:cs="Arial" w:eastAsia="Arial" w:hAnsi="Arial"/>
          <w:sz w:val="11"/>
          <w:szCs w:val="11"/>
          <w:color w:val="F7323F"/>
        </w:rPr>
      </w:pPr>
    </w:p>
    <w:p>
      <w:pPr>
        <w:ind w:left="2420" w:hanging="217"/>
        <w:spacing w:after="0"/>
        <w:tabs>
          <w:tab w:leader="none" w:pos="2420" w:val="left"/>
        </w:tabs>
        <w:numPr>
          <w:ilvl w:val="0"/>
          <w:numId w:val="15"/>
        </w:numPr>
        <w:rPr>
          <w:rFonts w:ascii="Arial" w:cs="Arial" w:eastAsia="Arial" w:hAnsi="Arial"/>
          <w:sz w:val="11"/>
          <w:szCs w:val="11"/>
          <w:color w:val="F7323F"/>
        </w:rPr>
      </w:pPr>
      <w:r>
        <w:rPr>
          <w:rFonts w:ascii="Arial" w:cs="Arial" w:eastAsia="Arial" w:hAnsi="Arial"/>
          <w:sz w:val="11"/>
          <w:szCs w:val="11"/>
          <w:color w:val="050505"/>
        </w:rPr>
        <w:t>variance in the quality of last mile services provided by our third-party logistics partners;</w:t>
      </w:r>
    </w:p>
    <w:p>
      <w:pPr>
        <w:spacing w:after="0" w:line="44" w:lineRule="exact"/>
        <w:rPr>
          <w:rFonts w:ascii="Arial" w:cs="Arial" w:eastAsia="Arial" w:hAnsi="Arial"/>
          <w:sz w:val="11"/>
          <w:szCs w:val="11"/>
          <w:color w:val="F7323F"/>
        </w:rPr>
      </w:pPr>
    </w:p>
    <w:p>
      <w:pPr>
        <w:ind w:left="2420" w:right="839" w:hanging="217"/>
        <w:spacing w:after="0" w:line="245" w:lineRule="auto"/>
        <w:tabs>
          <w:tab w:leader="none" w:pos="2420" w:val="left"/>
        </w:tabs>
        <w:numPr>
          <w:ilvl w:val="0"/>
          <w:numId w:val="15"/>
        </w:numPr>
        <w:rPr>
          <w:rFonts w:ascii="Arial" w:cs="Arial" w:eastAsia="Arial" w:hAnsi="Arial"/>
          <w:sz w:val="11"/>
          <w:szCs w:val="11"/>
          <w:color w:val="F7323F"/>
        </w:rPr>
      </w:pPr>
      <w:r>
        <w:rPr>
          <w:rFonts w:ascii="Arial" w:cs="Arial" w:eastAsia="Arial" w:hAnsi="Arial"/>
          <w:sz w:val="11"/>
          <w:szCs w:val="11"/>
          <w:color w:val="050505"/>
        </w:rPr>
        <w:t>difficulties in establishing additional supplier, manufacturer, or logistics partner relationships if we experience difficulties with our existing suppliers, manufacturers, or logistics partners;</w:t>
      </w:r>
    </w:p>
    <w:p>
      <w:pPr>
        <w:spacing w:after="0" w:line="38" w:lineRule="exact"/>
        <w:rPr>
          <w:rFonts w:ascii="Arial" w:cs="Arial" w:eastAsia="Arial" w:hAnsi="Arial"/>
          <w:sz w:val="11"/>
          <w:szCs w:val="11"/>
          <w:color w:val="F7323F"/>
        </w:rPr>
      </w:pPr>
    </w:p>
    <w:p>
      <w:pPr>
        <w:ind w:left="2420" w:hanging="217"/>
        <w:spacing w:after="0"/>
        <w:tabs>
          <w:tab w:leader="none" w:pos="2420" w:val="left"/>
        </w:tabs>
        <w:numPr>
          <w:ilvl w:val="0"/>
          <w:numId w:val="15"/>
        </w:numPr>
        <w:rPr>
          <w:rFonts w:ascii="Arial" w:cs="Arial" w:eastAsia="Arial" w:hAnsi="Arial"/>
          <w:sz w:val="11"/>
          <w:szCs w:val="11"/>
          <w:color w:val="F7323F"/>
        </w:rPr>
      </w:pPr>
      <w:r>
        <w:rPr>
          <w:rFonts w:ascii="Arial" w:cs="Arial" w:eastAsia="Arial" w:hAnsi="Arial"/>
          <w:sz w:val="11"/>
          <w:szCs w:val="11"/>
          <w:color w:val="050505"/>
        </w:rPr>
        <w:t>shortages of materials or components;</w:t>
      </w:r>
    </w:p>
    <w:p>
      <w:pPr>
        <w:spacing w:after="0" w:line="44" w:lineRule="exact"/>
        <w:rPr>
          <w:rFonts w:ascii="Arial" w:cs="Arial" w:eastAsia="Arial" w:hAnsi="Arial"/>
          <w:sz w:val="11"/>
          <w:szCs w:val="11"/>
          <w:color w:val="F7323F"/>
        </w:rPr>
      </w:pPr>
    </w:p>
    <w:p>
      <w:pPr>
        <w:ind w:left="2420" w:hanging="217"/>
        <w:spacing w:after="0"/>
        <w:tabs>
          <w:tab w:leader="none" w:pos="2420" w:val="left"/>
        </w:tabs>
        <w:numPr>
          <w:ilvl w:val="0"/>
          <w:numId w:val="15"/>
        </w:numPr>
        <w:rPr>
          <w:rFonts w:ascii="Arial" w:cs="Arial" w:eastAsia="Arial" w:hAnsi="Arial"/>
          <w:sz w:val="11"/>
          <w:szCs w:val="11"/>
          <w:color w:val="F7323F"/>
        </w:rPr>
      </w:pPr>
      <w:r>
        <w:rPr>
          <w:rFonts w:ascii="Arial" w:cs="Arial" w:eastAsia="Arial" w:hAnsi="Arial"/>
          <w:sz w:val="11"/>
          <w:szCs w:val="11"/>
          <w:color w:val="050505"/>
        </w:rPr>
        <w:t>misappropriation of our intellectual property;</w:t>
      </w:r>
    </w:p>
    <w:p>
      <w:pPr>
        <w:spacing w:after="0" w:line="44" w:lineRule="exact"/>
        <w:rPr>
          <w:rFonts w:ascii="Arial" w:cs="Arial" w:eastAsia="Arial" w:hAnsi="Arial"/>
          <w:sz w:val="11"/>
          <w:szCs w:val="11"/>
          <w:color w:val="F7323F"/>
        </w:rPr>
      </w:pPr>
    </w:p>
    <w:p>
      <w:pPr>
        <w:ind w:left="2420" w:right="839" w:hanging="217"/>
        <w:spacing w:after="0" w:line="245" w:lineRule="auto"/>
        <w:tabs>
          <w:tab w:leader="none" w:pos="2420" w:val="left"/>
        </w:tabs>
        <w:numPr>
          <w:ilvl w:val="0"/>
          <w:numId w:val="15"/>
        </w:numPr>
        <w:rPr>
          <w:rFonts w:ascii="Arial" w:cs="Arial" w:eastAsia="Arial" w:hAnsi="Arial"/>
          <w:sz w:val="11"/>
          <w:szCs w:val="11"/>
          <w:color w:val="F7323F"/>
        </w:rPr>
      </w:pPr>
      <w:r>
        <w:rPr>
          <w:rFonts w:ascii="Arial" w:cs="Arial" w:eastAsia="Arial" w:hAnsi="Arial"/>
          <w:sz w:val="11"/>
          <w:szCs w:val="11"/>
          <w:color w:val="050505"/>
        </w:rPr>
        <w:t>exposure to natural catastrophes, political unrest, terrorism, labor disputes, and economic instability resulting in the disruption of trade from foreign countries in which our Connected Fitness Products are manufactured or the components thereof are sourced;</w:t>
      </w:r>
    </w:p>
    <w:p>
      <w:pPr>
        <w:spacing w:after="0" w:line="38" w:lineRule="exact"/>
        <w:rPr>
          <w:rFonts w:ascii="Arial" w:cs="Arial" w:eastAsia="Arial" w:hAnsi="Arial"/>
          <w:sz w:val="11"/>
          <w:szCs w:val="11"/>
          <w:color w:val="F7323F"/>
        </w:rPr>
      </w:pPr>
    </w:p>
    <w:p>
      <w:pPr>
        <w:ind w:left="2420" w:hanging="217"/>
        <w:spacing w:after="0"/>
        <w:tabs>
          <w:tab w:leader="none" w:pos="2420" w:val="left"/>
        </w:tabs>
        <w:numPr>
          <w:ilvl w:val="0"/>
          <w:numId w:val="15"/>
        </w:numPr>
        <w:rPr>
          <w:rFonts w:ascii="Arial" w:cs="Arial" w:eastAsia="Arial" w:hAnsi="Arial"/>
          <w:sz w:val="11"/>
          <w:szCs w:val="11"/>
          <w:color w:val="F7323F"/>
        </w:rPr>
      </w:pPr>
      <w:r>
        <w:rPr>
          <w:rFonts w:ascii="Arial" w:cs="Arial" w:eastAsia="Arial" w:hAnsi="Arial"/>
          <w:sz w:val="11"/>
          <w:szCs w:val="11"/>
          <w:color w:val="050505"/>
        </w:rPr>
        <w:t>changes in local economic conditions in the jurisdictions where our suppliers, manufacturers, and logistics partners are located;</w:t>
      </w:r>
    </w:p>
    <w:p>
      <w:pPr>
        <w:spacing w:after="0" w:line="44" w:lineRule="exact"/>
        <w:rPr>
          <w:rFonts w:ascii="Arial" w:cs="Arial" w:eastAsia="Arial" w:hAnsi="Arial"/>
          <w:sz w:val="11"/>
          <w:szCs w:val="11"/>
          <w:color w:val="F7323F"/>
        </w:rPr>
      </w:pPr>
    </w:p>
    <w:p>
      <w:pPr>
        <w:ind w:left="2420" w:right="839" w:hanging="217"/>
        <w:spacing w:after="0" w:line="245" w:lineRule="auto"/>
        <w:tabs>
          <w:tab w:leader="none" w:pos="2420" w:val="left"/>
        </w:tabs>
        <w:numPr>
          <w:ilvl w:val="0"/>
          <w:numId w:val="15"/>
        </w:numPr>
        <w:rPr>
          <w:rFonts w:ascii="Arial" w:cs="Arial" w:eastAsia="Arial" w:hAnsi="Arial"/>
          <w:sz w:val="11"/>
          <w:szCs w:val="11"/>
          <w:color w:val="F7323F"/>
        </w:rPr>
      </w:pPr>
      <w:r>
        <w:rPr>
          <w:rFonts w:ascii="Arial" w:cs="Arial" w:eastAsia="Arial" w:hAnsi="Arial"/>
          <w:sz w:val="11"/>
          <w:szCs w:val="11"/>
          <w:color w:val="050505"/>
        </w:rPr>
        <w:t>the imposition of new laws and regulations, including those relating to labor conditions, quality and safety standards, imports, duties, tariffs, taxes, and other charges on imports, as well as trade restrictions and restrictions on currency exchange or the transfer of funds; and</w:t>
      </w:r>
    </w:p>
    <w:p>
      <w:pPr>
        <w:spacing w:after="0" w:line="38" w:lineRule="exact"/>
        <w:rPr>
          <w:rFonts w:ascii="Arial" w:cs="Arial" w:eastAsia="Arial" w:hAnsi="Arial"/>
          <w:sz w:val="11"/>
          <w:szCs w:val="11"/>
          <w:color w:val="F7323F"/>
        </w:rPr>
      </w:pPr>
    </w:p>
    <w:p>
      <w:pPr>
        <w:ind w:left="2420" w:hanging="217"/>
        <w:spacing w:after="0"/>
        <w:tabs>
          <w:tab w:leader="none" w:pos="2420" w:val="left"/>
        </w:tabs>
        <w:numPr>
          <w:ilvl w:val="0"/>
          <w:numId w:val="15"/>
        </w:numPr>
        <w:rPr>
          <w:rFonts w:ascii="Arial" w:cs="Arial" w:eastAsia="Arial" w:hAnsi="Arial"/>
          <w:sz w:val="11"/>
          <w:szCs w:val="11"/>
          <w:color w:val="F7323F"/>
        </w:rPr>
      </w:pPr>
      <w:r>
        <w:rPr>
          <w:rFonts w:ascii="Arial" w:cs="Arial" w:eastAsia="Arial" w:hAnsi="Arial"/>
          <w:sz w:val="11"/>
          <w:szCs w:val="11"/>
          <w:color w:val="050505"/>
        </w:rPr>
        <w:t>insufficient warranties and indemnities on components supplied to our manufacturers or performance by our partners.</w:t>
      </w:r>
    </w:p>
    <w:p>
      <w:pPr>
        <w:spacing w:after="0" w:line="144" w:lineRule="exact"/>
        <w:rPr>
          <w:sz w:val="20"/>
          <w:szCs w:val="20"/>
          <w:color w:val="auto"/>
        </w:rPr>
      </w:pPr>
    </w:p>
    <w:p>
      <w:pPr>
        <w:jc w:val="both"/>
        <w:ind w:left="2060" w:right="839"/>
        <w:spacing w:after="0" w:line="241" w:lineRule="auto"/>
        <w:rPr>
          <w:sz w:val="20"/>
          <w:szCs w:val="20"/>
          <w:color w:val="auto"/>
        </w:rPr>
      </w:pPr>
      <w:r>
        <w:rPr>
          <w:rFonts w:ascii="Arial" w:cs="Arial" w:eastAsia="Arial" w:hAnsi="Arial"/>
          <w:sz w:val="11"/>
          <w:szCs w:val="11"/>
          <w:color w:val="050505"/>
        </w:rPr>
        <w:t>We also rely on our logistics partners, including last mile warehouse and delivery partners, to complete a substantial percentage of our deliveries to customers, with the rest of the deliveries handled by our own last mile team. Our primary last mile partner relies on a network of independent contractors to perform last mile services for us in many markets. If any of these independent contractors, or the last mile partner as a whole, do not perform their obligations or meet the expectations of us or our Members, our reputation and business could suffer.</w:t>
      </w:r>
    </w:p>
    <w:p>
      <w:pPr>
        <w:spacing w:after="0" w:line="140" w:lineRule="exact"/>
        <w:rPr>
          <w:sz w:val="20"/>
          <w:szCs w:val="20"/>
          <w:color w:val="auto"/>
        </w:rPr>
      </w:pPr>
    </w:p>
    <w:p>
      <w:pPr>
        <w:jc w:val="both"/>
        <w:ind w:left="2060" w:right="839"/>
        <w:spacing w:after="0" w:line="245" w:lineRule="auto"/>
        <w:rPr>
          <w:sz w:val="20"/>
          <w:szCs w:val="20"/>
          <w:color w:val="auto"/>
        </w:rPr>
      </w:pPr>
      <w:r>
        <w:rPr>
          <w:rFonts w:ascii="Arial" w:cs="Arial" w:eastAsia="Arial" w:hAnsi="Arial"/>
          <w:sz w:val="11"/>
          <w:szCs w:val="11"/>
          <w:color w:val="050505"/>
        </w:rPr>
        <w:t>The occurrence of any of these risks, especially during seasons of peak demand, could cause us to experience a significant disruption in our ability to produce and deliver our products to our customers.</w:t>
      </w:r>
    </w:p>
    <w:p>
      <w:pPr>
        <w:spacing w:after="0" w:line="126" w:lineRule="exact"/>
        <w:rPr>
          <w:sz w:val="20"/>
          <w:szCs w:val="20"/>
          <w:color w:val="auto"/>
        </w:rPr>
      </w:pPr>
    </w:p>
    <w:p>
      <w:pPr>
        <w:jc w:val="both"/>
        <w:ind w:left="2060" w:right="839"/>
        <w:spacing w:after="0" w:line="268" w:lineRule="auto"/>
        <w:rPr>
          <w:sz w:val="20"/>
          <w:szCs w:val="20"/>
          <w:color w:val="auto"/>
        </w:rPr>
      </w:pPr>
      <w:r>
        <w:rPr>
          <w:rFonts w:ascii="Arial" w:cs="Arial" w:eastAsia="Arial" w:hAnsi="Arial"/>
          <w:sz w:val="11"/>
          <w:szCs w:val="11"/>
          <w:b w:val="1"/>
          <w:bCs w:val="1"/>
          <w:i w:val="1"/>
          <w:iCs w:val="1"/>
          <w:color w:val="auto"/>
        </w:rPr>
        <w:t>We depend upon third-party licenses for the use of music in our content. An adverse change to, loss of, or claim that we do not hold necessary licenses may have an adverse effect on our business, operating results, and financial condition.</w:t>
      </w:r>
    </w:p>
    <w:p>
      <w:pPr>
        <w:spacing w:after="0" w:line="126" w:lineRule="exact"/>
        <w:rPr>
          <w:sz w:val="20"/>
          <w:szCs w:val="20"/>
          <w:color w:val="auto"/>
        </w:rPr>
      </w:pPr>
    </w:p>
    <w:p>
      <w:pPr>
        <w:jc w:val="both"/>
        <w:ind w:left="2060" w:right="839"/>
        <w:spacing w:after="0" w:line="242" w:lineRule="auto"/>
        <w:rPr>
          <w:sz w:val="20"/>
          <w:szCs w:val="20"/>
          <w:color w:val="auto"/>
        </w:rPr>
      </w:pPr>
      <w:r>
        <w:rPr>
          <w:rFonts w:ascii="Arial" w:cs="Arial" w:eastAsia="Arial" w:hAnsi="Arial"/>
          <w:sz w:val="11"/>
          <w:szCs w:val="11"/>
          <w:color w:val="050505"/>
        </w:rPr>
        <w:t>Music is an important element of the overall content that we make available to our Members. To secure the rights to use music in our content, we enter into agreements to obtain licenses from rights holders such as record labels, music publishers, performing rights organizations, collecting societies, artists, and other copyright owners or their agents. We pay royalties to such parties or their agents around the world.</w:t>
      </w:r>
    </w:p>
    <w:p>
      <w:pPr>
        <w:spacing w:after="0" w:line="140" w:lineRule="exact"/>
        <w:rPr>
          <w:sz w:val="20"/>
          <w:szCs w:val="20"/>
          <w:color w:val="auto"/>
        </w:rPr>
      </w:pPr>
    </w:p>
    <w:p>
      <w:pPr>
        <w:jc w:val="both"/>
        <w:ind w:left="2060" w:right="839"/>
        <w:spacing w:after="0" w:line="242" w:lineRule="auto"/>
        <w:rPr>
          <w:sz w:val="20"/>
          <w:szCs w:val="20"/>
          <w:color w:val="auto"/>
        </w:rPr>
      </w:pPr>
      <w:r>
        <w:rPr>
          <w:rFonts w:ascii="Arial" w:cs="Arial" w:eastAsia="Arial" w:hAnsi="Arial"/>
          <w:sz w:val="11"/>
          <w:szCs w:val="11"/>
          <w:color w:val="050505"/>
        </w:rPr>
        <w:t>The process of obtaining licenses involves identifying and negotiating with many rights holders, some of whom are unknown or difficult to identify, and implicates a myriad of complex and evolving legal issues across many jurisdictions, including open questions of law as to when and whether particular licenses are needed. Rights holders also may attempt to</w:t>
      </w:r>
    </w:p>
    <w:p>
      <w:pPr>
        <w:spacing w:after="0" w:line="95" w:lineRule="exact"/>
        <w:rPr>
          <w:sz w:val="20"/>
          <w:szCs w:val="20"/>
          <w:color w:val="auto"/>
        </w:rPr>
      </w:pPr>
    </w:p>
    <w:p>
      <w:pPr>
        <w:ind w:left="5680"/>
        <w:spacing w:after="0"/>
        <w:rPr>
          <w:sz w:val="20"/>
          <w:szCs w:val="20"/>
          <w:color w:val="auto"/>
        </w:rPr>
      </w:pPr>
      <w:r>
        <w:rPr>
          <w:rFonts w:ascii="Arial" w:cs="Arial" w:eastAsia="Arial" w:hAnsi="Arial"/>
          <w:sz w:val="11"/>
          <w:szCs w:val="11"/>
          <w:color w:val="050505"/>
        </w:rPr>
        <w:t>18</w:t>
      </w:r>
    </w:p>
    <w:p>
      <w:pPr>
        <w:sectPr>
          <w:pgSz w:w="11900" w:h="16838" w:orient="portrait"/>
          <w:cols w:equalWidth="0" w:num="1">
            <w:col w:w="10239"/>
          </w:cols>
          <w:pgMar w:left="220" w:top="354" w:right="1440" w:bottom="1440" w:gutter="0" w:footer="0" w:header="0"/>
        </w:sectPr>
      </w:pPr>
    </w:p>
    <w:bookmarkStart w:id="23" w:name="page24"/>
    <w:bookmarkEnd w:id="23"/>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hyperlink w:anchor="page5">
        <w:r>
          <w:rPr>
            <w:rFonts w:ascii="Arial" w:cs="Arial" w:eastAsia="Arial" w:hAnsi="Arial"/>
            <w:sz w:val="12"/>
            <w:szCs w:val="12"/>
            <w:b w:val="1"/>
            <w:bCs w:val="1"/>
            <w:u w:val="single" w:color="auto"/>
            <w:color w:val="0000EE"/>
          </w:rPr>
          <w:t>Table of Contents</w:t>
        </w:r>
      </w:hyperlink>
    </w:p>
    <w:p>
      <w:pPr>
        <w:spacing w:after="0" w:line="216" w:lineRule="exact"/>
        <w:rPr>
          <w:sz w:val="20"/>
          <w:szCs w:val="20"/>
          <w:color w:val="auto"/>
        </w:rPr>
      </w:pPr>
    </w:p>
    <w:p>
      <w:pPr>
        <w:jc w:val="both"/>
        <w:ind w:left="2060" w:right="839"/>
        <w:spacing w:after="0" w:line="273" w:lineRule="auto"/>
        <w:rPr>
          <w:sz w:val="20"/>
          <w:szCs w:val="20"/>
          <w:color w:val="auto"/>
        </w:rPr>
      </w:pPr>
      <w:r>
        <w:rPr>
          <w:rFonts w:ascii="Arial" w:cs="Arial" w:eastAsia="Arial" w:hAnsi="Arial"/>
          <w:sz w:val="10"/>
          <w:szCs w:val="10"/>
          <w:color w:val="050505"/>
        </w:rPr>
        <w:t>take advantage of their market power to seek onerous financial terms from us. Our relationship with certain rights holders may deteriorate. Artists and/or artist groups may object and may exert public or private pressure on rights holders to discontinue or to modify license terms. Additionally, there is a risk that aspiring rights holders, their agents, or legislative or regulatory bodies will create or attempt to create new rights that could require us to enter into new license agreements with, and pay royalties to, newly defined groups of rights holders, some of which may be difficult or impossible to identify.</w:t>
      </w:r>
    </w:p>
    <w:p>
      <w:pPr>
        <w:spacing w:after="0" w:line="125" w:lineRule="exact"/>
        <w:rPr>
          <w:sz w:val="20"/>
          <w:szCs w:val="20"/>
          <w:color w:val="auto"/>
        </w:rPr>
      </w:pPr>
    </w:p>
    <w:p>
      <w:pPr>
        <w:jc w:val="both"/>
        <w:ind w:left="2060" w:right="839"/>
        <w:spacing w:after="0" w:line="239" w:lineRule="auto"/>
        <w:rPr>
          <w:sz w:val="20"/>
          <w:szCs w:val="20"/>
          <w:color w:val="auto"/>
        </w:rPr>
      </w:pPr>
      <w:r>
        <w:rPr>
          <w:rFonts w:ascii="Arial" w:cs="Arial" w:eastAsia="Arial" w:hAnsi="Arial"/>
          <w:sz w:val="11"/>
          <w:szCs w:val="11"/>
          <w:color w:val="050505"/>
        </w:rPr>
        <w:t>With respect to musical compositions, in addition to obtaining publishing rights, we generally need to obtain separate public performance rights. In the United States, public performance rights are typically obtained through intermediaries known as performing rights organizations, or PROs, which (a) issue blanket licenses with copyright users for the public performance of compositions in their repertory, (b) collect royalties under those licenses, and</w:t>
      </w:r>
    </w:p>
    <w:p>
      <w:pPr>
        <w:jc w:val="both"/>
        <w:ind w:left="2060" w:right="839" w:hanging="1"/>
        <w:spacing w:after="0"/>
        <w:tabs>
          <w:tab w:leader="none" w:pos="2228" w:val="left"/>
        </w:tabs>
        <w:numPr>
          <w:ilvl w:val="0"/>
          <w:numId w:val="16"/>
        </w:numPr>
        <w:rPr>
          <w:rFonts w:ascii="Arial" w:cs="Arial" w:eastAsia="Arial" w:hAnsi="Arial"/>
          <w:sz w:val="11"/>
          <w:szCs w:val="11"/>
          <w:color w:val="050505"/>
        </w:rPr>
      </w:pPr>
      <w:r>
        <w:rPr>
          <w:rFonts w:ascii="Arial" w:cs="Arial" w:eastAsia="Arial" w:hAnsi="Arial"/>
          <w:sz w:val="11"/>
          <w:szCs w:val="11"/>
          <w:color w:val="050505"/>
        </w:rPr>
        <w:t>distribute such royalties to copyright owners. We have agreements with each of the following PROs in the United States: the American Society of Composers, Authors and Publishers, or ASCAP, and Broadcast Music, Inc., or BMI, Global Music Rights, and SESAC. The royalty rates available to us from the PROs today may not be available to us in the future. Licenses provided by ASCAP and BMI currently are governed by consent decrees, which were issued by the U.S. Department of Justice in an effort to curb anti-competitive conduct. Removal of or changes to the terms or interpretation of these agreements could affect our ability to obtain licenses from these PROs on current and/or otherwise favorable terms, which could harm our business, operating results, and financial condition.</w:t>
      </w:r>
    </w:p>
    <w:p>
      <w:pPr>
        <w:spacing w:after="0" w:line="142" w:lineRule="exact"/>
        <w:rPr>
          <w:sz w:val="20"/>
          <w:szCs w:val="20"/>
          <w:color w:val="auto"/>
        </w:rPr>
      </w:pPr>
    </w:p>
    <w:p>
      <w:pPr>
        <w:jc w:val="both"/>
        <w:ind w:left="2060" w:right="839"/>
        <w:spacing w:after="0"/>
        <w:rPr>
          <w:sz w:val="20"/>
          <w:szCs w:val="20"/>
          <w:color w:val="auto"/>
        </w:rPr>
      </w:pPr>
      <w:r>
        <w:rPr>
          <w:rFonts w:ascii="Arial" w:cs="Arial" w:eastAsia="Arial" w:hAnsi="Arial"/>
          <w:sz w:val="11"/>
          <w:szCs w:val="11"/>
          <w:color w:val="050505"/>
        </w:rPr>
        <w:t>In other parts of the world, including in Canada and Europe, we obtain licenses for musical compositions either through local collecting societies representing publishers, or from publishers directly, or a combination thereof. We cannot guarantee that our licenses with collecting societies and our direct licenses with publishers provide full coverage for all of the musical compositions we use in our service in the countries in which we operate, or that we may enter in the future. Publishers, songwriters, and other rights holders who choose not to be represented by major or independent publishing companies or collecting societies have, and could in the future, adversely impact our ability to secure licensing arrangements in connection with musical compositions that such rights holders own or control, and could increase the risk of liability for copyright infringement.</w:t>
      </w:r>
    </w:p>
    <w:p>
      <w:pPr>
        <w:spacing w:after="0" w:line="142" w:lineRule="exact"/>
        <w:rPr>
          <w:sz w:val="20"/>
          <w:szCs w:val="20"/>
          <w:color w:val="auto"/>
        </w:rPr>
      </w:pPr>
    </w:p>
    <w:p>
      <w:pPr>
        <w:jc w:val="both"/>
        <w:ind w:left="2060" w:right="839"/>
        <w:spacing w:after="0" w:line="242" w:lineRule="auto"/>
        <w:rPr>
          <w:sz w:val="20"/>
          <w:szCs w:val="20"/>
          <w:color w:val="auto"/>
        </w:rPr>
      </w:pPr>
      <w:r>
        <w:rPr>
          <w:rFonts w:ascii="Arial" w:cs="Arial" w:eastAsia="Arial" w:hAnsi="Arial"/>
          <w:sz w:val="11"/>
          <w:szCs w:val="11"/>
          <w:color w:val="050505"/>
        </w:rPr>
        <w:t>Although we expend significant resources to seek to comply with the statutory, regulatory, and judicial frameworks, we cannot guarantee that we currently hold, or will always hold, every necessary right to use all of the music that is used on our service, and we cannot assure you that we are not infringing or violating any third-party intellectual property rights, or that we will not do so in the future.</w:t>
      </w:r>
    </w:p>
    <w:p>
      <w:pPr>
        <w:spacing w:after="0" w:line="140" w:lineRule="exact"/>
        <w:rPr>
          <w:sz w:val="20"/>
          <w:szCs w:val="20"/>
          <w:color w:val="auto"/>
        </w:rPr>
      </w:pPr>
    </w:p>
    <w:p>
      <w:pPr>
        <w:jc w:val="both"/>
        <w:ind w:left="2060" w:right="839"/>
        <w:spacing w:after="0" w:line="245" w:lineRule="auto"/>
        <w:rPr>
          <w:sz w:val="20"/>
          <w:szCs w:val="20"/>
          <w:color w:val="auto"/>
        </w:rPr>
      </w:pPr>
      <w:r>
        <w:rPr>
          <w:rFonts w:ascii="Arial" w:cs="Arial" w:eastAsia="Arial" w:hAnsi="Arial"/>
          <w:sz w:val="11"/>
          <w:szCs w:val="11"/>
          <w:color w:val="050505"/>
        </w:rPr>
        <w:t>These challenges, and others concerning the licensing of music on our platform, may subject us to significant liability for copyright infringement, breach of contract, or other claims. For additional information, see the section titled “Business—Legal Proceedings.”</w:t>
      </w:r>
    </w:p>
    <w:p>
      <w:pPr>
        <w:spacing w:after="0" w:line="126" w:lineRule="exact"/>
        <w:rPr>
          <w:sz w:val="20"/>
          <w:szCs w:val="20"/>
          <w:color w:val="auto"/>
        </w:rPr>
      </w:pPr>
    </w:p>
    <w:p>
      <w:pPr>
        <w:ind w:left="2060"/>
        <w:spacing w:after="0"/>
        <w:rPr>
          <w:sz w:val="20"/>
          <w:szCs w:val="20"/>
          <w:color w:val="auto"/>
        </w:rPr>
      </w:pPr>
      <w:r>
        <w:rPr>
          <w:rFonts w:ascii="Arial" w:cs="Arial" w:eastAsia="Arial" w:hAnsi="Arial"/>
          <w:sz w:val="11"/>
          <w:szCs w:val="11"/>
          <w:b w:val="1"/>
          <w:bCs w:val="1"/>
          <w:i w:val="1"/>
          <w:iCs w:val="1"/>
          <w:color w:val="auto"/>
        </w:rPr>
        <w:t>Our success depends on our ability to maintain the value and reputation of the Peloton brand.</w:t>
      </w:r>
    </w:p>
    <w:p>
      <w:pPr>
        <w:spacing w:after="0" w:line="156" w:lineRule="exact"/>
        <w:rPr>
          <w:sz w:val="20"/>
          <w:szCs w:val="20"/>
          <w:color w:val="auto"/>
        </w:rPr>
      </w:pPr>
    </w:p>
    <w:p>
      <w:pPr>
        <w:jc w:val="both"/>
        <w:ind w:left="2060" w:right="839"/>
        <w:spacing w:after="0"/>
        <w:rPr>
          <w:sz w:val="20"/>
          <w:szCs w:val="20"/>
          <w:color w:val="auto"/>
        </w:rPr>
      </w:pPr>
      <w:r>
        <w:rPr>
          <w:rFonts w:ascii="Arial" w:cs="Arial" w:eastAsia="Arial" w:hAnsi="Arial"/>
          <w:sz w:val="11"/>
          <w:szCs w:val="11"/>
          <w:color w:val="050505"/>
        </w:rPr>
        <w:t>We believe that our brand is important to attracting and retaining Members. Maintaining, protecting, and enhancing our brand depends largely on the success of our marketing efforts, ability to provide consistent, high-quality products, services, features, content, and support, and our ability to successfully secure, maintain, and defend our rights to use the “Peloton” mark, our “P” logo, and other trademarks important to our brand. We believe that the importance of our brand will increase as competition further intensifies and brand promotion activities may require substantial expenditures. Our brand could be harmed if we fail to achieve these objectives or if our public image were to be tarnished by negative publicity. Unfavorable publicity about us, including our products, services, technology, customer service, content, personnel, and suppliers could diminish confidence in, and the use of, our products and services. Such negative publicity also could have an adverse effect on the size, engagement and loyalty of our Member base and result in decreased revenue, which could have an adverse effect on our business, financial condition, and operating results.</w:t>
      </w:r>
    </w:p>
    <w:p>
      <w:pPr>
        <w:spacing w:after="0" w:line="129" w:lineRule="exact"/>
        <w:rPr>
          <w:sz w:val="20"/>
          <w:szCs w:val="20"/>
          <w:color w:val="auto"/>
        </w:rPr>
      </w:pPr>
    </w:p>
    <w:p>
      <w:pPr>
        <w:jc w:val="both"/>
        <w:ind w:left="2060" w:right="839"/>
        <w:spacing w:after="0" w:line="268" w:lineRule="auto"/>
        <w:rPr>
          <w:sz w:val="20"/>
          <w:szCs w:val="20"/>
          <w:color w:val="auto"/>
        </w:rPr>
      </w:pPr>
      <w:r>
        <w:rPr>
          <w:rFonts w:ascii="Arial" w:cs="Arial" w:eastAsia="Arial" w:hAnsi="Arial"/>
          <w:sz w:val="11"/>
          <w:szCs w:val="11"/>
          <w:b w:val="1"/>
          <w:bCs w:val="1"/>
          <w:i w:val="1"/>
          <w:iCs w:val="1"/>
          <w:color w:val="050505"/>
        </w:rPr>
        <w:t>We have grown rapidly in recent years and have limited operating experience at our current scale of operations. If we are unable to manage our growth effectively, our brand, company culture, and financial performance may suffer.</w:t>
      </w:r>
    </w:p>
    <w:p>
      <w:pPr>
        <w:spacing w:after="0" w:line="126" w:lineRule="exact"/>
        <w:rPr>
          <w:sz w:val="20"/>
          <w:szCs w:val="20"/>
          <w:color w:val="auto"/>
        </w:rPr>
      </w:pPr>
    </w:p>
    <w:p>
      <w:pPr>
        <w:jc w:val="both"/>
        <w:ind w:left="2060" w:right="839"/>
        <w:spacing w:after="0" w:line="245" w:lineRule="auto"/>
        <w:rPr>
          <w:sz w:val="20"/>
          <w:szCs w:val="20"/>
          <w:color w:val="auto"/>
        </w:rPr>
      </w:pPr>
      <w:r>
        <w:rPr>
          <w:rFonts w:ascii="Arial" w:cs="Arial" w:eastAsia="Arial" w:hAnsi="Arial"/>
          <w:sz w:val="11"/>
          <w:szCs w:val="11"/>
          <w:color w:val="050505"/>
        </w:rPr>
        <w:t>We have expanded our operations rapidly and have limited operating experience at our current size. For example, between June 30, 2017 and June 30, 2019, our employee headcount increased from 443 to 1,950, and we expect headcount growth</w:t>
      </w:r>
    </w:p>
    <w:p>
      <w:pPr>
        <w:spacing w:after="0" w:line="93" w:lineRule="exact"/>
        <w:rPr>
          <w:sz w:val="20"/>
          <w:szCs w:val="20"/>
          <w:color w:val="auto"/>
        </w:rPr>
      </w:pPr>
    </w:p>
    <w:p>
      <w:pPr>
        <w:ind w:left="5680"/>
        <w:spacing w:after="0"/>
        <w:rPr>
          <w:sz w:val="20"/>
          <w:szCs w:val="20"/>
          <w:color w:val="auto"/>
        </w:rPr>
      </w:pPr>
      <w:r>
        <w:rPr>
          <w:rFonts w:ascii="Arial" w:cs="Arial" w:eastAsia="Arial" w:hAnsi="Arial"/>
          <w:sz w:val="11"/>
          <w:szCs w:val="11"/>
          <w:color w:val="050505"/>
        </w:rPr>
        <w:t>19</w:t>
      </w:r>
    </w:p>
    <w:p>
      <w:pPr>
        <w:sectPr>
          <w:pgSz w:w="11900" w:h="16838" w:orient="portrait"/>
          <w:cols w:equalWidth="0" w:num="1">
            <w:col w:w="10239"/>
          </w:cols>
          <w:pgMar w:left="220" w:top="354" w:right="1440" w:bottom="1440" w:gutter="0" w:footer="0" w:header="0"/>
        </w:sectPr>
      </w:pPr>
    </w:p>
    <w:bookmarkStart w:id="24" w:name="page25"/>
    <w:bookmarkEnd w:id="24"/>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hyperlink w:anchor="page5">
        <w:r>
          <w:rPr>
            <w:rFonts w:ascii="Arial" w:cs="Arial" w:eastAsia="Arial" w:hAnsi="Arial"/>
            <w:sz w:val="12"/>
            <w:szCs w:val="12"/>
            <w:b w:val="1"/>
            <w:bCs w:val="1"/>
            <w:u w:val="single" w:color="auto"/>
            <w:color w:val="0000EE"/>
          </w:rPr>
          <w:t>Table of Contents</w:t>
        </w:r>
      </w:hyperlink>
    </w:p>
    <w:p>
      <w:pPr>
        <w:spacing w:after="0" w:line="216" w:lineRule="exact"/>
        <w:rPr>
          <w:sz w:val="20"/>
          <w:szCs w:val="20"/>
          <w:color w:val="auto"/>
        </w:rPr>
      </w:pPr>
    </w:p>
    <w:p>
      <w:pPr>
        <w:jc w:val="both"/>
        <w:ind w:left="2060" w:right="839"/>
        <w:spacing w:after="0" w:line="239" w:lineRule="auto"/>
        <w:rPr>
          <w:sz w:val="20"/>
          <w:szCs w:val="20"/>
          <w:color w:val="auto"/>
        </w:rPr>
      </w:pPr>
      <w:r>
        <w:rPr>
          <w:rFonts w:ascii="Arial" w:cs="Arial" w:eastAsia="Arial" w:hAnsi="Arial"/>
          <w:sz w:val="11"/>
          <w:szCs w:val="11"/>
          <w:color w:val="050505"/>
        </w:rPr>
        <w:t>to continue for the foreseeable future. Further, as we grow, our business becomes increasingly complex. To effectively manage and capitalize on our growth, we must continue to expand our sales and marketing, focus on innovative product and content development, upgrade our management information systems and other processes, and obtain more space for our expanding staff. Our continued growth could strain our existing resources, and we could experience ongoing operating difficulties in managing our business across numerous jurisdictions, including difficulties in hiring, training, and managing a diffuse and growing employee base. Failure to scale and preserve our company culture with growth could harm our future success, including our ability to retain and recruit personnel and to effectively focus on and pursue our corporate objectives. Moreover, the vertically integrated nature of our business, where we design our own Connected Fitness Products, develop our own software, produce original fitness and wellness programming, sell our products exclusively through our own sales teams and e-commerce site, and deliver and service our Connected Fitness Products, exposes us to risk and disruption at many points that are critical to successfully operating our business and may make it more difficult for us to scale our business. If we do not adapt to meet these evolving challenges, or if our management team does not effectively scale with our growth, we may experience erosion to our brand, the quality of our products and services may suffer, and our company culture may be harmed.</w:t>
      </w:r>
    </w:p>
    <w:p>
      <w:pPr>
        <w:spacing w:after="0" w:line="146" w:lineRule="exact"/>
        <w:rPr>
          <w:sz w:val="20"/>
          <w:szCs w:val="20"/>
          <w:color w:val="auto"/>
        </w:rPr>
      </w:pPr>
    </w:p>
    <w:p>
      <w:pPr>
        <w:jc w:val="both"/>
        <w:ind w:left="2060" w:right="839"/>
        <w:spacing w:after="0" w:line="268" w:lineRule="auto"/>
        <w:rPr>
          <w:sz w:val="20"/>
          <w:szCs w:val="20"/>
          <w:color w:val="auto"/>
        </w:rPr>
      </w:pPr>
      <w:r>
        <w:rPr>
          <w:rFonts w:ascii="Arial" w:cs="Arial" w:eastAsia="Arial" w:hAnsi="Arial"/>
          <w:sz w:val="10"/>
          <w:szCs w:val="10"/>
          <w:color w:val="050505"/>
        </w:rPr>
        <w:t>Our growth strategy contemplates a significant increase in our advertising and other marketing spending and expanding our retail showroom presence. Many of our existing retail showrooms are relatively new and we cannot assure you that these showrooms or that future showrooms will generate revenue and cash flow comparable with those generated by our more mature locations, especially as we move to new geographic markets. Further, many of our retail showrooms are leased pursuant to multi-year short-term leases, and our ability to negotiate favorable terms on an expiring lease or for a lease renewal option may depend on factors that are not within our control. We may also open additional production studios as we expand internationally, which will require significant additional investment. Successful implementation of our growth strategy will require significant expenditures before any substantial associated revenue is generated and we cannot guarantee that these increased investments will result in corresponding and offsetting revenue growth.</w:t>
      </w:r>
    </w:p>
    <w:p>
      <w:pPr>
        <w:spacing w:after="0" w:line="128" w:lineRule="exact"/>
        <w:rPr>
          <w:sz w:val="20"/>
          <w:szCs w:val="20"/>
          <w:color w:val="auto"/>
        </w:rPr>
      </w:pPr>
    </w:p>
    <w:p>
      <w:pPr>
        <w:jc w:val="both"/>
        <w:ind w:left="2060" w:right="839"/>
        <w:spacing w:after="0"/>
        <w:rPr>
          <w:sz w:val="20"/>
          <w:szCs w:val="20"/>
          <w:color w:val="auto"/>
        </w:rPr>
      </w:pPr>
      <w:r>
        <w:rPr>
          <w:rFonts w:ascii="Arial" w:cs="Arial" w:eastAsia="Arial" w:hAnsi="Arial"/>
          <w:sz w:val="11"/>
          <w:szCs w:val="11"/>
          <w:color w:val="050505"/>
        </w:rPr>
        <w:t>Because we have a limited history operating our business at its current scale, it is difficult to evaluate our current business and future prospects, including our ability to plan for and model future growth. Our limited operating experience at this scale, combined with the rapidly evolving nature of the market in which we sell our products and services, substantial uncertainty concerning how these markets may develop, and other economic factors beyond our control, reduces our ability to accurately forecast quarterly or annual revenue. Failure to manage our future growth effectively could have an adverse effect on our business, financial condition, and operating results.</w:t>
      </w:r>
    </w:p>
    <w:p>
      <w:pPr>
        <w:spacing w:after="0" w:line="130" w:lineRule="exact"/>
        <w:rPr>
          <w:sz w:val="20"/>
          <w:szCs w:val="20"/>
          <w:color w:val="auto"/>
        </w:rPr>
      </w:pPr>
    </w:p>
    <w:p>
      <w:pPr>
        <w:jc w:val="both"/>
        <w:ind w:left="2060" w:right="839"/>
        <w:spacing w:after="0" w:line="253" w:lineRule="auto"/>
        <w:rPr>
          <w:sz w:val="20"/>
          <w:szCs w:val="20"/>
          <w:color w:val="auto"/>
        </w:rPr>
      </w:pPr>
      <w:r>
        <w:rPr>
          <w:rFonts w:ascii="Arial" w:cs="Arial" w:eastAsia="Arial" w:hAnsi="Arial"/>
          <w:sz w:val="11"/>
          <w:szCs w:val="11"/>
          <w:b w:val="1"/>
          <w:bCs w:val="1"/>
          <w:i w:val="1"/>
          <w:iCs w:val="1"/>
          <w:color w:val="050505"/>
        </w:rPr>
        <w:t>We cannot compel third parties to license their music to us, and our business may be adversely affected if our access to music is limited. The concentration of control of content by major music licensors means that the actions of one or a few licensors may adversely affect our ability to provide our service.</w:t>
      </w:r>
    </w:p>
    <w:p>
      <w:pPr>
        <w:spacing w:after="0" w:line="134" w:lineRule="exact"/>
        <w:rPr>
          <w:sz w:val="20"/>
          <w:szCs w:val="20"/>
          <w:color w:val="auto"/>
        </w:rPr>
      </w:pPr>
    </w:p>
    <w:p>
      <w:pPr>
        <w:jc w:val="both"/>
        <w:ind w:left="2060" w:right="839"/>
        <w:spacing w:after="0" w:line="241" w:lineRule="auto"/>
        <w:rPr>
          <w:sz w:val="20"/>
          <w:szCs w:val="20"/>
          <w:color w:val="auto"/>
        </w:rPr>
      </w:pPr>
      <w:r>
        <w:rPr>
          <w:rFonts w:ascii="Arial" w:cs="Arial" w:eastAsia="Arial" w:hAnsi="Arial"/>
          <w:sz w:val="11"/>
          <w:szCs w:val="11"/>
          <w:color w:val="050505"/>
        </w:rPr>
        <w:t>We enter into license agreements to obtain rights to use music in our service, including with major record companies (Sony Music Entertainment, Universal Music Group, and Warner Music Group), independent record labels, major music publishers (Sony/ATV Music Publishing, Universal Music Publishing Group, and Warner/Chappell Music), and independent music publishers and administrators who collectively hold the rights to a significant number of sound recordings and musical compositions.</w:t>
      </w:r>
    </w:p>
    <w:p>
      <w:pPr>
        <w:spacing w:after="0" w:line="140" w:lineRule="exact"/>
        <w:rPr>
          <w:sz w:val="20"/>
          <w:szCs w:val="20"/>
          <w:color w:val="auto"/>
        </w:rPr>
      </w:pPr>
    </w:p>
    <w:p>
      <w:pPr>
        <w:jc w:val="both"/>
        <w:ind w:left="2060" w:right="839"/>
        <w:spacing w:after="0" w:line="242" w:lineRule="auto"/>
        <w:rPr>
          <w:sz w:val="20"/>
          <w:szCs w:val="20"/>
          <w:color w:val="auto"/>
        </w:rPr>
      </w:pPr>
      <w:r>
        <w:rPr>
          <w:rFonts w:ascii="Arial" w:cs="Arial" w:eastAsia="Arial" w:hAnsi="Arial"/>
          <w:sz w:val="11"/>
          <w:szCs w:val="11"/>
          <w:color w:val="050505"/>
        </w:rPr>
        <w:t>Comprehensive and accurate ownership information for the musical compositions embodied in sound recordings is sometimes unavailable, or in some cases, impossible to obtain if withheld by the owners or administrators of such rights. In some cases, we obtain ownership information directly from music publishers, and in other cases we rely on the assistance of third parties to determine ownership information.</w:t>
      </w:r>
    </w:p>
    <w:p>
      <w:pPr>
        <w:spacing w:after="0" w:line="140" w:lineRule="exact"/>
        <w:rPr>
          <w:sz w:val="20"/>
          <w:szCs w:val="20"/>
          <w:color w:val="auto"/>
        </w:rPr>
      </w:pPr>
    </w:p>
    <w:p>
      <w:pPr>
        <w:jc w:val="both"/>
        <w:ind w:left="2060" w:right="839"/>
        <w:spacing w:after="0" w:line="241" w:lineRule="auto"/>
        <w:rPr>
          <w:sz w:val="20"/>
          <w:szCs w:val="20"/>
          <w:color w:val="auto"/>
        </w:rPr>
      </w:pPr>
      <w:r>
        <w:rPr>
          <w:rFonts w:ascii="Arial" w:cs="Arial" w:eastAsia="Arial" w:hAnsi="Arial"/>
          <w:sz w:val="11"/>
          <w:szCs w:val="11"/>
          <w:color w:val="050505"/>
        </w:rPr>
        <w:t>If the information provided to us or obtained by such third parties does not comprehensively or accurately identify the ownership of musical compositions, or if we are unable to determine which musical compositions correspond to specific sound recordings, it becomes difficult or impossible to identify the appropriate rights holders to whom to pay royalties. This may make it difficult to comply with the obligations of any agreements with those rights holders or to secure the appropriate licenses with all necessary parties.</w:t>
      </w:r>
    </w:p>
    <w:p>
      <w:pPr>
        <w:spacing w:after="0" w:line="140" w:lineRule="exact"/>
        <w:rPr>
          <w:sz w:val="20"/>
          <w:szCs w:val="20"/>
          <w:color w:val="auto"/>
        </w:rPr>
      </w:pPr>
    </w:p>
    <w:p>
      <w:pPr>
        <w:jc w:val="both"/>
        <w:ind w:left="2060" w:right="839"/>
        <w:spacing w:after="0" w:line="242" w:lineRule="auto"/>
        <w:rPr>
          <w:sz w:val="20"/>
          <w:szCs w:val="20"/>
          <w:color w:val="auto"/>
        </w:rPr>
      </w:pPr>
      <w:r>
        <w:rPr>
          <w:rFonts w:ascii="Arial" w:cs="Arial" w:eastAsia="Arial" w:hAnsi="Arial"/>
          <w:sz w:val="11"/>
          <w:szCs w:val="11"/>
          <w:color w:val="050505"/>
        </w:rPr>
        <w:t>Given the high level of content concentration in the music industry, the market power of a few licensors, and the lack of transparent ownership information for compositions, we may be unable to license a large amount of music or the music of certain popular artists, and our business, financial condition, and operating results could be materially harmed.</w:t>
      </w:r>
    </w:p>
    <w:p>
      <w:pPr>
        <w:spacing w:after="0" w:line="95" w:lineRule="exact"/>
        <w:rPr>
          <w:sz w:val="20"/>
          <w:szCs w:val="20"/>
          <w:color w:val="auto"/>
        </w:rPr>
      </w:pPr>
    </w:p>
    <w:p>
      <w:pPr>
        <w:ind w:left="5680"/>
        <w:spacing w:after="0"/>
        <w:rPr>
          <w:sz w:val="20"/>
          <w:szCs w:val="20"/>
          <w:color w:val="auto"/>
        </w:rPr>
      </w:pPr>
      <w:r>
        <w:rPr>
          <w:rFonts w:ascii="Arial" w:cs="Arial" w:eastAsia="Arial" w:hAnsi="Arial"/>
          <w:sz w:val="11"/>
          <w:szCs w:val="11"/>
          <w:color w:val="050505"/>
        </w:rPr>
        <w:t>20</w:t>
      </w:r>
    </w:p>
    <w:p>
      <w:pPr>
        <w:sectPr>
          <w:pgSz w:w="11900" w:h="16838" w:orient="portrait"/>
          <w:cols w:equalWidth="0" w:num="1">
            <w:col w:w="10239"/>
          </w:cols>
          <w:pgMar w:left="220" w:top="354" w:right="1440" w:bottom="1440" w:gutter="0" w:footer="0" w:header="0"/>
        </w:sectPr>
      </w:pPr>
    </w:p>
    <w:bookmarkStart w:id="25" w:name="page26"/>
    <w:bookmarkEnd w:id="25"/>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hyperlink w:anchor="page5">
        <w:r>
          <w:rPr>
            <w:rFonts w:ascii="Arial" w:cs="Arial" w:eastAsia="Arial" w:hAnsi="Arial"/>
            <w:sz w:val="12"/>
            <w:szCs w:val="12"/>
            <w:b w:val="1"/>
            <w:bCs w:val="1"/>
            <w:u w:val="single" w:color="auto"/>
            <w:color w:val="0000EE"/>
          </w:rPr>
          <w:t>Table of Contents</w:t>
        </w:r>
      </w:hyperlink>
    </w:p>
    <w:p>
      <w:pPr>
        <w:spacing w:after="0" w:line="204" w:lineRule="exact"/>
        <w:rPr>
          <w:sz w:val="20"/>
          <w:szCs w:val="20"/>
          <w:color w:val="auto"/>
        </w:rPr>
      </w:pPr>
    </w:p>
    <w:p>
      <w:pPr>
        <w:ind w:left="2060" w:right="839"/>
        <w:spacing w:after="0" w:line="268" w:lineRule="auto"/>
        <w:rPr>
          <w:sz w:val="20"/>
          <w:szCs w:val="20"/>
          <w:color w:val="auto"/>
        </w:rPr>
      </w:pPr>
      <w:r>
        <w:rPr>
          <w:rFonts w:ascii="Arial" w:cs="Arial" w:eastAsia="Arial" w:hAnsi="Arial"/>
          <w:sz w:val="11"/>
          <w:szCs w:val="11"/>
          <w:b w:val="1"/>
          <w:bCs w:val="1"/>
          <w:i w:val="1"/>
          <w:iCs w:val="1"/>
          <w:color w:val="auto"/>
        </w:rPr>
        <w:t>We are a party to many music license agreements that are complex and impose numerous obligations upon us that may make it difficult to operate our business, and a breach of such agreements could adversely affect our business, operating results, and financial condition.</w:t>
      </w:r>
    </w:p>
    <w:p>
      <w:pPr>
        <w:spacing w:after="0" w:line="126" w:lineRule="exact"/>
        <w:rPr>
          <w:sz w:val="20"/>
          <w:szCs w:val="20"/>
          <w:color w:val="auto"/>
        </w:rPr>
      </w:pPr>
    </w:p>
    <w:p>
      <w:pPr>
        <w:ind w:left="2060"/>
        <w:spacing w:after="0"/>
        <w:rPr>
          <w:sz w:val="20"/>
          <w:szCs w:val="20"/>
          <w:color w:val="auto"/>
        </w:rPr>
      </w:pPr>
      <w:r>
        <w:rPr>
          <w:rFonts w:ascii="Arial" w:cs="Arial" w:eastAsia="Arial" w:hAnsi="Arial"/>
          <w:sz w:val="11"/>
          <w:szCs w:val="11"/>
          <w:color w:val="050505"/>
        </w:rPr>
        <w:t>Our license agreements are complex and impose numerous obligations on us, including obligations to, among other things:</w:t>
      </w:r>
    </w:p>
    <w:p>
      <w:pPr>
        <w:spacing w:after="0" w:line="162" w:lineRule="exact"/>
        <w:rPr>
          <w:sz w:val="20"/>
          <w:szCs w:val="20"/>
          <w:color w:val="auto"/>
        </w:rPr>
      </w:pPr>
    </w:p>
    <w:p>
      <w:pPr>
        <w:ind w:left="2420" w:right="839" w:hanging="217"/>
        <w:spacing w:after="0" w:line="245" w:lineRule="auto"/>
        <w:tabs>
          <w:tab w:leader="none" w:pos="2420" w:val="left"/>
        </w:tabs>
        <w:numPr>
          <w:ilvl w:val="0"/>
          <w:numId w:val="17"/>
        </w:numPr>
        <w:rPr>
          <w:rFonts w:ascii="Arial" w:cs="Arial" w:eastAsia="Arial" w:hAnsi="Arial"/>
          <w:sz w:val="11"/>
          <w:szCs w:val="11"/>
          <w:color w:val="F7323F"/>
        </w:rPr>
      </w:pPr>
      <w:r>
        <w:rPr>
          <w:rFonts w:ascii="Arial" w:cs="Arial" w:eastAsia="Arial" w:hAnsi="Arial"/>
          <w:sz w:val="11"/>
          <w:szCs w:val="11"/>
          <w:color w:val="050505"/>
        </w:rPr>
        <w:t>calculate and make payments based on complex royalty structures, which requires tracking usage of content in our service that may have inaccurate or incomplete metadata necessary for such calculation;</w:t>
      </w:r>
    </w:p>
    <w:p>
      <w:pPr>
        <w:spacing w:after="0" w:line="38" w:lineRule="exact"/>
        <w:rPr>
          <w:rFonts w:ascii="Arial" w:cs="Arial" w:eastAsia="Arial" w:hAnsi="Arial"/>
          <w:sz w:val="11"/>
          <w:szCs w:val="11"/>
          <w:color w:val="F7323F"/>
        </w:rPr>
      </w:pPr>
    </w:p>
    <w:p>
      <w:pPr>
        <w:ind w:left="2420" w:hanging="217"/>
        <w:spacing w:after="0"/>
        <w:tabs>
          <w:tab w:leader="none" w:pos="2420" w:val="left"/>
        </w:tabs>
        <w:numPr>
          <w:ilvl w:val="0"/>
          <w:numId w:val="17"/>
        </w:numPr>
        <w:rPr>
          <w:rFonts w:ascii="Arial" w:cs="Arial" w:eastAsia="Arial" w:hAnsi="Arial"/>
          <w:sz w:val="11"/>
          <w:szCs w:val="11"/>
          <w:color w:val="F7323F"/>
        </w:rPr>
      </w:pPr>
      <w:r>
        <w:rPr>
          <w:rFonts w:ascii="Arial" w:cs="Arial" w:eastAsia="Arial" w:hAnsi="Arial"/>
          <w:sz w:val="11"/>
          <w:szCs w:val="11"/>
          <w:color w:val="050505"/>
        </w:rPr>
        <w:t>provide periodic reports on the exploitation of the content in specified formats;</w:t>
      </w:r>
    </w:p>
    <w:p>
      <w:pPr>
        <w:spacing w:after="0" w:line="44" w:lineRule="exact"/>
        <w:rPr>
          <w:rFonts w:ascii="Arial" w:cs="Arial" w:eastAsia="Arial" w:hAnsi="Arial"/>
          <w:sz w:val="11"/>
          <w:szCs w:val="11"/>
          <w:color w:val="F7323F"/>
        </w:rPr>
      </w:pPr>
    </w:p>
    <w:p>
      <w:pPr>
        <w:ind w:left="2420" w:right="839" w:hanging="217"/>
        <w:spacing w:after="0" w:line="245" w:lineRule="auto"/>
        <w:tabs>
          <w:tab w:leader="none" w:pos="2420" w:val="left"/>
        </w:tabs>
        <w:numPr>
          <w:ilvl w:val="0"/>
          <w:numId w:val="17"/>
        </w:numPr>
        <w:rPr>
          <w:rFonts w:ascii="Arial" w:cs="Arial" w:eastAsia="Arial" w:hAnsi="Arial"/>
          <w:sz w:val="11"/>
          <w:szCs w:val="11"/>
          <w:color w:val="F7323F"/>
        </w:rPr>
      </w:pPr>
      <w:r>
        <w:rPr>
          <w:rFonts w:ascii="Arial" w:cs="Arial" w:eastAsia="Arial" w:hAnsi="Arial"/>
          <w:sz w:val="11"/>
          <w:szCs w:val="11"/>
          <w:color w:val="050505"/>
        </w:rPr>
        <w:t>represent that we will obtain all necessary publishing licenses and consents and pay all associated fees, royalties, and other amounts due for the licensing of musical compositions;</w:t>
      </w:r>
    </w:p>
    <w:p>
      <w:pPr>
        <w:spacing w:after="0" w:line="38" w:lineRule="exact"/>
        <w:rPr>
          <w:rFonts w:ascii="Arial" w:cs="Arial" w:eastAsia="Arial" w:hAnsi="Arial"/>
          <w:sz w:val="11"/>
          <w:szCs w:val="11"/>
          <w:color w:val="F7323F"/>
        </w:rPr>
      </w:pPr>
    </w:p>
    <w:p>
      <w:pPr>
        <w:ind w:left="2420" w:hanging="217"/>
        <w:spacing w:after="0"/>
        <w:tabs>
          <w:tab w:leader="none" w:pos="2420" w:val="left"/>
        </w:tabs>
        <w:numPr>
          <w:ilvl w:val="0"/>
          <w:numId w:val="17"/>
        </w:numPr>
        <w:rPr>
          <w:rFonts w:ascii="Arial" w:cs="Arial" w:eastAsia="Arial" w:hAnsi="Arial"/>
          <w:sz w:val="11"/>
          <w:szCs w:val="11"/>
          <w:color w:val="F7323F"/>
        </w:rPr>
      </w:pPr>
      <w:r>
        <w:rPr>
          <w:rFonts w:ascii="Arial" w:cs="Arial" w:eastAsia="Arial" w:hAnsi="Arial"/>
          <w:sz w:val="11"/>
          <w:szCs w:val="11"/>
          <w:color w:val="050505"/>
        </w:rPr>
        <w:t>comply with certain marketing and advertising restrictions;</w:t>
      </w:r>
    </w:p>
    <w:p>
      <w:pPr>
        <w:spacing w:after="0" w:line="44" w:lineRule="exact"/>
        <w:rPr>
          <w:rFonts w:ascii="Arial" w:cs="Arial" w:eastAsia="Arial" w:hAnsi="Arial"/>
          <w:sz w:val="11"/>
          <w:szCs w:val="11"/>
          <w:color w:val="F7323F"/>
        </w:rPr>
      </w:pPr>
    </w:p>
    <w:p>
      <w:pPr>
        <w:ind w:left="2420" w:hanging="217"/>
        <w:spacing w:after="0"/>
        <w:tabs>
          <w:tab w:leader="none" w:pos="2420" w:val="left"/>
        </w:tabs>
        <w:numPr>
          <w:ilvl w:val="0"/>
          <w:numId w:val="17"/>
        </w:numPr>
        <w:rPr>
          <w:rFonts w:ascii="Arial" w:cs="Arial" w:eastAsia="Arial" w:hAnsi="Arial"/>
          <w:sz w:val="11"/>
          <w:szCs w:val="11"/>
          <w:color w:val="F7323F"/>
        </w:rPr>
      </w:pPr>
      <w:r>
        <w:rPr>
          <w:rFonts w:ascii="Arial" w:cs="Arial" w:eastAsia="Arial" w:hAnsi="Arial"/>
          <w:sz w:val="11"/>
          <w:szCs w:val="11"/>
          <w:color w:val="050505"/>
        </w:rPr>
        <w:t>grant the licensor the right to audit our compliance with the terms of such agreements; and</w:t>
      </w:r>
    </w:p>
    <w:p>
      <w:pPr>
        <w:spacing w:after="0" w:line="44" w:lineRule="exact"/>
        <w:rPr>
          <w:rFonts w:ascii="Arial" w:cs="Arial" w:eastAsia="Arial" w:hAnsi="Arial"/>
          <w:sz w:val="11"/>
          <w:szCs w:val="11"/>
          <w:color w:val="F7323F"/>
        </w:rPr>
      </w:pPr>
    </w:p>
    <w:p>
      <w:pPr>
        <w:ind w:left="2420" w:hanging="217"/>
        <w:spacing w:after="0"/>
        <w:tabs>
          <w:tab w:leader="none" w:pos="2420" w:val="left"/>
        </w:tabs>
        <w:numPr>
          <w:ilvl w:val="0"/>
          <w:numId w:val="17"/>
        </w:numPr>
        <w:rPr>
          <w:rFonts w:ascii="Arial" w:cs="Arial" w:eastAsia="Arial" w:hAnsi="Arial"/>
          <w:sz w:val="11"/>
          <w:szCs w:val="11"/>
          <w:color w:val="F7323F"/>
        </w:rPr>
      </w:pPr>
      <w:r>
        <w:rPr>
          <w:rFonts w:ascii="Arial" w:cs="Arial" w:eastAsia="Arial" w:hAnsi="Arial"/>
          <w:sz w:val="11"/>
          <w:szCs w:val="11"/>
          <w:color w:val="050505"/>
        </w:rPr>
        <w:t>comply with certain security and technical specifications.</w:t>
      </w:r>
    </w:p>
    <w:p>
      <w:pPr>
        <w:spacing w:after="0" w:line="144" w:lineRule="exact"/>
        <w:rPr>
          <w:sz w:val="20"/>
          <w:szCs w:val="20"/>
          <w:color w:val="auto"/>
        </w:rPr>
      </w:pPr>
    </w:p>
    <w:p>
      <w:pPr>
        <w:jc w:val="both"/>
        <w:ind w:left="2060" w:right="839"/>
        <w:spacing w:after="0"/>
        <w:rPr>
          <w:sz w:val="20"/>
          <w:szCs w:val="20"/>
          <w:color w:val="auto"/>
        </w:rPr>
      </w:pPr>
      <w:r>
        <w:rPr>
          <w:rFonts w:ascii="Arial" w:cs="Arial" w:eastAsia="Arial" w:hAnsi="Arial"/>
          <w:sz w:val="11"/>
          <w:szCs w:val="11"/>
          <w:color w:val="050505"/>
        </w:rPr>
        <w:t>Certain of our license agreements also contain minimum guarantees or require that we make minimum guarantee or advance payments, which are not always tied to our number of Subscribers or stream counts for music used in our service. Accordingly, our ability to achieve and sustain profitability and operating leverage in part depends on our ability to increase our revenue through increased sales of Subscriptions on terms that maintain an adequate gross margin. Our license agreements that contain minimum guarantees typically have terms of between one and three years, but our Subscribers may cancel their subscriptions at any time. We rely on estimates to forecast whether such minimum guarantees and advances against royalties could be recouped against our actual content costs incurred over the term of the license agreement. To the extent that our estimates underperform relative to our expectations, and our content costs do not exceed such minimum guarantees and advance payments, our margins may be adversely affected.</w:t>
      </w:r>
    </w:p>
    <w:p>
      <w:pPr>
        <w:spacing w:after="0" w:line="141" w:lineRule="exact"/>
        <w:rPr>
          <w:sz w:val="20"/>
          <w:szCs w:val="20"/>
          <w:color w:val="auto"/>
        </w:rPr>
      </w:pPr>
    </w:p>
    <w:p>
      <w:pPr>
        <w:jc w:val="both"/>
        <w:ind w:left="2060" w:right="839"/>
        <w:spacing w:after="0"/>
        <w:rPr>
          <w:sz w:val="20"/>
          <w:szCs w:val="20"/>
          <w:color w:val="auto"/>
        </w:rPr>
      </w:pPr>
      <w:r>
        <w:rPr>
          <w:rFonts w:ascii="Arial" w:cs="Arial" w:eastAsia="Arial" w:hAnsi="Arial"/>
          <w:sz w:val="11"/>
          <w:szCs w:val="11"/>
          <w:color w:val="050505"/>
        </w:rPr>
        <w:t>Some of our license agreements also include so-called “most-favored nations” provisions, which require that certain terms (including material financial terms) are no less favorable than those provided to any similarly situated licensor. If agreements are amended or new agreements are entered into on more favorable terms, these most-favored nations provisions could cause our payment or other obligations to escalate substantially. Additionally, some of our license agreements require consent to undertake new business initiatives utilizing the licensed content (e.g., alternative distribution models), and without such consent, our ability to undertake new business initiatives may be limited and our competitive position could be impacted.</w:t>
      </w:r>
    </w:p>
    <w:p>
      <w:pPr>
        <w:spacing w:after="0" w:line="142" w:lineRule="exact"/>
        <w:rPr>
          <w:sz w:val="20"/>
          <w:szCs w:val="20"/>
          <w:color w:val="auto"/>
        </w:rPr>
      </w:pPr>
    </w:p>
    <w:p>
      <w:pPr>
        <w:jc w:val="both"/>
        <w:ind w:left="2060" w:right="839"/>
        <w:spacing w:after="0" w:line="245" w:lineRule="auto"/>
        <w:rPr>
          <w:sz w:val="20"/>
          <w:szCs w:val="20"/>
          <w:color w:val="auto"/>
        </w:rPr>
      </w:pPr>
      <w:r>
        <w:rPr>
          <w:rFonts w:ascii="Arial" w:cs="Arial" w:eastAsia="Arial" w:hAnsi="Arial"/>
          <w:sz w:val="11"/>
          <w:szCs w:val="11"/>
          <w:color w:val="050505"/>
        </w:rPr>
        <w:t>If we breach any obligations in any of our license agreements, or if we use content in ways that are found to exceed the scope of such agreements, we could be subject to monetary penalties or claims of infringement, and our rights under such agreements could be terminated.</w:t>
      </w:r>
    </w:p>
    <w:p>
      <w:pPr>
        <w:spacing w:after="0" w:line="138" w:lineRule="exact"/>
        <w:rPr>
          <w:sz w:val="20"/>
          <w:szCs w:val="20"/>
          <w:color w:val="auto"/>
        </w:rPr>
      </w:pPr>
    </w:p>
    <w:p>
      <w:pPr>
        <w:jc w:val="both"/>
        <w:ind w:left="2060" w:right="839"/>
        <w:spacing w:after="0" w:line="241" w:lineRule="auto"/>
        <w:rPr>
          <w:sz w:val="20"/>
          <w:szCs w:val="20"/>
          <w:color w:val="auto"/>
        </w:rPr>
      </w:pPr>
      <w:r>
        <w:rPr>
          <w:rFonts w:ascii="Arial" w:cs="Arial" w:eastAsia="Arial" w:hAnsi="Arial"/>
          <w:sz w:val="11"/>
          <w:szCs w:val="11"/>
          <w:color w:val="050505"/>
        </w:rPr>
        <w:t>In the past, we have entered into agreements that required us to make substantial payments to licensors to resolve instances of past use at the same time that we enter into go-forward licenses. These agreements may also include most-favored nations provisions. If triggered, these most favored nations provisions could cause our payments or other obligations under those agreements to escalate substantially. If we need to enter into additional similar agreements in the future, it could have a material adverse effect on our business, financial condition, and operating results.</w:t>
      </w:r>
    </w:p>
    <w:p>
      <w:pPr>
        <w:spacing w:after="0" w:line="128" w:lineRule="exact"/>
        <w:rPr>
          <w:sz w:val="20"/>
          <w:szCs w:val="20"/>
          <w:color w:val="auto"/>
        </w:rPr>
      </w:pPr>
    </w:p>
    <w:p>
      <w:pPr>
        <w:ind w:left="2060"/>
        <w:spacing w:after="0"/>
        <w:rPr>
          <w:sz w:val="20"/>
          <w:szCs w:val="20"/>
          <w:color w:val="auto"/>
        </w:rPr>
      </w:pPr>
      <w:r>
        <w:rPr>
          <w:rFonts w:ascii="Arial" w:cs="Arial" w:eastAsia="Arial" w:hAnsi="Arial"/>
          <w:sz w:val="11"/>
          <w:szCs w:val="11"/>
          <w:b w:val="1"/>
          <w:bCs w:val="1"/>
          <w:i w:val="1"/>
          <w:iCs w:val="1"/>
          <w:color w:val="auto"/>
        </w:rPr>
        <w:t>Our business is affected by seasonality.</w:t>
      </w:r>
    </w:p>
    <w:p>
      <w:pPr>
        <w:spacing w:after="0" w:line="156" w:lineRule="exact"/>
        <w:rPr>
          <w:sz w:val="20"/>
          <w:szCs w:val="20"/>
          <w:color w:val="auto"/>
        </w:rPr>
      </w:pPr>
    </w:p>
    <w:p>
      <w:pPr>
        <w:jc w:val="both"/>
        <w:ind w:left="2060" w:right="839"/>
        <w:spacing w:after="0"/>
        <w:rPr>
          <w:sz w:val="20"/>
          <w:szCs w:val="20"/>
          <w:color w:val="auto"/>
        </w:rPr>
      </w:pPr>
      <w:r>
        <w:rPr>
          <w:rFonts w:ascii="Arial" w:cs="Arial" w:eastAsia="Arial" w:hAnsi="Arial"/>
          <w:sz w:val="11"/>
          <w:szCs w:val="11"/>
          <w:color w:val="050505"/>
        </w:rPr>
        <w:t>Our business has historically been influenced by seasonal trends common to traditional retail selling periods, and we generate a disproportionate amount of sales activity related to our Connected Fitness Products during the period from November through February due in large part to seasonal holiday demand, New Year’s resolutions, and cold weather. For example, we generated approximately 64%, 63%, and 63% of our full fiscal year total revenue during the second and third quarters of fiscal 2017, 2018, and 2019, respectively. Accordingly, adverse events that occur during these months could have a disproportionate effect on our operating results for the entire fiscal year. Moreover, as a result of higher sales during the period from November through February, our working capital needs are greater during the second and third quarters of the fiscal year. As a result of quarterly fluctuations caused by these and other factors, comparisons of our operating results</w:t>
      </w:r>
    </w:p>
    <w:p>
      <w:pPr>
        <w:spacing w:after="0" w:line="96" w:lineRule="exact"/>
        <w:rPr>
          <w:sz w:val="20"/>
          <w:szCs w:val="20"/>
          <w:color w:val="auto"/>
        </w:rPr>
      </w:pPr>
    </w:p>
    <w:p>
      <w:pPr>
        <w:ind w:left="5680"/>
        <w:spacing w:after="0"/>
        <w:rPr>
          <w:sz w:val="20"/>
          <w:szCs w:val="20"/>
          <w:color w:val="auto"/>
        </w:rPr>
      </w:pPr>
      <w:r>
        <w:rPr>
          <w:rFonts w:ascii="Arial" w:cs="Arial" w:eastAsia="Arial" w:hAnsi="Arial"/>
          <w:sz w:val="11"/>
          <w:szCs w:val="11"/>
          <w:color w:val="050505"/>
        </w:rPr>
        <w:t>21</w:t>
      </w:r>
    </w:p>
    <w:p>
      <w:pPr>
        <w:sectPr>
          <w:pgSz w:w="11900" w:h="16838" w:orient="portrait"/>
          <w:cols w:equalWidth="0" w:num="1">
            <w:col w:w="10239"/>
          </w:cols>
          <w:pgMar w:left="220" w:top="354" w:right="1440" w:bottom="1440" w:gutter="0" w:footer="0" w:header="0"/>
        </w:sectPr>
      </w:pPr>
    </w:p>
    <w:bookmarkStart w:id="26" w:name="page27"/>
    <w:bookmarkEnd w:id="26"/>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hyperlink w:anchor="page5">
        <w:r>
          <w:rPr>
            <w:rFonts w:ascii="Arial" w:cs="Arial" w:eastAsia="Arial" w:hAnsi="Arial"/>
            <w:sz w:val="12"/>
            <w:szCs w:val="12"/>
            <w:b w:val="1"/>
            <w:bCs w:val="1"/>
            <w:u w:val="single" w:color="auto"/>
            <w:color w:val="0000EE"/>
          </w:rPr>
          <w:t>Table of Contents</w:t>
        </w:r>
      </w:hyperlink>
    </w:p>
    <w:p>
      <w:pPr>
        <w:spacing w:after="0" w:line="216" w:lineRule="exact"/>
        <w:rPr>
          <w:sz w:val="20"/>
          <w:szCs w:val="20"/>
          <w:color w:val="auto"/>
        </w:rPr>
      </w:pPr>
    </w:p>
    <w:p>
      <w:pPr>
        <w:jc w:val="both"/>
        <w:ind w:left="2060" w:right="839"/>
        <w:spacing w:after="0"/>
        <w:rPr>
          <w:sz w:val="20"/>
          <w:szCs w:val="20"/>
          <w:color w:val="auto"/>
        </w:rPr>
      </w:pPr>
      <w:r>
        <w:rPr>
          <w:rFonts w:ascii="Arial" w:cs="Arial" w:eastAsia="Arial" w:hAnsi="Arial"/>
          <w:sz w:val="11"/>
          <w:szCs w:val="11"/>
          <w:color w:val="050505"/>
        </w:rPr>
        <w:t>across different fiscal quarters may not be accurate indicators of our future performance. Furthermore, our rapid growth in recent years may obscure the extent to which seasonality trends have affected our business and may continue to affect our business. Accordingly, yearly or quarterly comparisons of our operating results may not be useful and our results in any particular period will not necessarily be indicative of the results to be expected for any future period. Seasonality in our business can also be affected by introductions of new or enhanced products and services, including the costs associated with such introductions.</w:t>
      </w:r>
    </w:p>
    <w:p>
      <w:pPr>
        <w:spacing w:after="0" w:line="130" w:lineRule="exact"/>
        <w:rPr>
          <w:sz w:val="20"/>
          <w:szCs w:val="20"/>
          <w:color w:val="auto"/>
        </w:rPr>
      </w:pPr>
    </w:p>
    <w:p>
      <w:pPr>
        <w:jc w:val="both"/>
        <w:ind w:left="2060" w:right="839"/>
        <w:spacing w:after="0" w:line="268" w:lineRule="auto"/>
        <w:rPr>
          <w:sz w:val="20"/>
          <w:szCs w:val="20"/>
          <w:color w:val="auto"/>
        </w:rPr>
      </w:pPr>
      <w:r>
        <w:rPr>
          <w:rFonts w:ascii="Arial" w:cs="Arial" w:eastAsia="Arial" w:hAnsi="Arial"/>
          <w:sz w:val="11"/>
          <w:szCs w:val="11"/>
          <w:b w:val="1"/>
          <w:bCs w:val="1"/>
          <w:i w:val="1"/>
          <w:iCs w:val="1"/>
          <w:color w:val="auto"/>
        </w:rPr>
        <w:t>Our passion and focus on delivering a high-quality and engaging Peloton experience may not maximize short-term financial results, which may yield results that conflict with the market’s expectations and could result in our stock price being negatively affected.</w:t>
      </w:r>
    </w:p>
    <w:p>
      <w:pPr>
        <w:spacing w:after="0" w:line="126" w:lineRule="exact"/>
        <w:rPr>
          <w:sz w:val="20"/>
          <w:szCs w:val="20"/>
          <w:color w:val="auto"/>
        </w:rPr>
      </w:pPr>
    </w:p>
    <w:p>
      <w:pPr>
        <w:jc w:val="both"/>
        <w:ind w:left="2060" w:right="839"/>
        <w:spacing w:after="0"/>
        <w:rPr>
          <w:sz w:val="20"/>
          <w:szCs w:val="20"/>
          <w:color w:val="auto"/>
        </w:rPr>
      </w:pPr>
      <w:r>
        <w:rPr>
          <w:rFonts w:ascii="Arial" w:cs="Arial" w:eastAsia="Arial" w:hAnsi="Arial"/>
          <w:sz w:val="11"/>
          <w:szCs w:val="11"/>
          <w:color w:val="050505"/>
        </w:rPr>
        <w:t>We are passionate about continually enhancing the Peloton experience with a focus on driving long-term Member engagement through innovation, immersive content, technologically advanced Connected Fitness Products, and community support, which may not necessarily maximize short-term financial results. We frequently make business decisions that may reduce our short-term financial results if we believe that the decisions are consistent with our goals to improve the Peloton experience, which we believe will improve our financial results over the long term. These decisions may not be consistent with the short-term expectations of our stockholders and may not produce the long-term benefits that we expect, in which case our membership growth and Member engagement, and our business, financial condition, and operating results could be harmed.</w:t>
      </w:r>
    </w:p>
    <w:p>
      <w:pPr>
        <w:spacing w:after="0" w:line="130" w:lineRule="exact"/>
        <w:rPr>
          <w:sz w:val="20"/>
          <w:szCs w:val="20"/>
          <w:color w:val="auto"/>
        </w:rPr>
      </w:pPr>
    </w:p>
    <w:p>
      <w:pPr>
        <w:jc w:val="both"/>
        <w:ind w:left="2060" w:right="839"/>
        <w:spacing w:after="0" w:line="268" w:lineRule="auto"/>
        <w:rPr>
          <w:sz w:val="20"/>
          <w:szCs w:val="20"/>
          <w:color w:val="auto"/>
        </w:rPr>
      </w:pPr>
      <w:r>
        <w:rPr>
          <w:rFonts w:ascii="Arial" w:cs="Arial" w:eastAsia="Arial" w:hAnsi="Arial"/>
          <w:sz w:val="11"/>
          <w:szCs w:val="11"/>
          <w:b w:val="1"/>
          <w:bCs w:val="1"/>
          <w:i w:val="1"/>
          <w:iCs w:val="1"/>
          <w:color w:val="auto"/>
        </w:rPr>
        <w:t>Our products and services may be affected from time to time by design and manufacturing defects that could adversely affect our business and result in harm to our reputation.</w:t>
      </w:r>
    </w:p>
    <w:p>
      <w:pPr>
        <w:spacing w:after="0" w:line="126" w:lineRule="exact"/>
        <w:rPr>
          <w:sz w:val="20"/>
          <w:szCs w:val="20"/>
          <w:color w:val="auto"/>
        </w:rPr>
      </w:pPr>
    </w:p>
    <w:p>
      <w:pPr>
        <w:jc w:val="both"/>
        <w:ind w:left="2060" w:right="839"/>
        <w:spacing w:after="0" w:line="239" w:lineRule="auto"/>
        <w:rPr>
          <w:sz w:val="20"/>
          <w:szCs w:val="20"/>
          <w:color w:val="auto"/>
        </w:rPr>
      </w:pPr>
      <w:r>
        <w:rPr>
          <w:rFonts w:ascii="Arial" w:cs="Arial" w:eastAsia="Arial" w:hAnsi="Arial"/>
          <w:sz w:val="11"/>
          <w:szCs w:val="11"/>
          <w:color w:val="050505"/>
        </w:rPr>
        <w:t>We offer complex hardware and software products and services that can be affected by design and manufacturing defects. Sophisticated operating system software and applications, such as those offered by us, often have issues that can unexpectedly interfere with the intended operation of hardware or software products. Defects may also exist in components and products that we source from third parties. Any such defects could make our products and services unsafe, create a risk of environmental or property damage and personal injury, and subject us to the hazards and uncertainties of product liability claims and related litigation. In addition, from time to time we may experience outages, service slowdowns, or errors that affect our fitness and wellness programming. As a result, our services may not perform as anticipated and may not meet customer expectations. There can be no assurance that we will be able to detect and fix all issues and defects in the hardware, software, and services we offer. Failure to do so could result in widespread technical and performance issues affecting our products and services and could lead to claims against us. We maintain general liability insurance; however, design and manufacturing defects, and claims related thereto, may subject us to judgments or settlements that result in damages materially in excess of the limits of our insurance coverage. In addition, we may be exposed to recalls, product replacements or modifications, write-offs of inventory, property, plant and equipment, or intangible assets, and significant warranty and other expenses such as litigation costs and regulatory fines. If we cannot successfully defend any large claim, maintain our general liability insurance on acceptable terms, or maintain adequate coverage against potential claims, our financial results could be adversely impacted. Further, quality problems could adversely affect the experience for users of our products and services, and result in harm to our reputation, loss of competitive advantage, poor market acceptance, reduced demand for our products and services, delay in new product and service introductions, and lost revenue.</w:t>
      </w:r>
    </w:p>
    <w:p>
      <w:pPr>
        <w:spacing w:after="0" w:line="134" w:lineRule="exact"/>
        <w:rPr>
          <w:sz w:val="20"/>
          <w:szCs w:val="20"/>
          <w:color w:val="auto"/>
        </w:rPr>
      </w:pPr>
    </w:p>
    <w:p>
      <w:pPr>
        <w:ind w:left="2060"/>
        <w:spacing w:after="0"/>
        <w:rPr>
          <w:sz w:val="20"/>
          <w:szCs w:val="20"/>
          <w:color w:val="auto"/>
        </w:rPr>
      </w:pPr>
      <w:r>
        <w:rPr>
          <w:rFonts w:ascii="Arial" w:cs="Arial" w:eastAsia="Arial" w:hAnsi="Arial"/>
          <w:sz w:val="11"/>
          <w:szCs w:val="11"/>
          <w:b w:val="1"/>
          <w:bCs w:val="1"/>
          <w:i w:val="1"/>
          <w:iCs w:val="1"/>
          <w:color w:val="auto"/>
        </w:rPr>
        <w:t>If we fail to offer high-quality Member support, our business and reputation will suffer.</w:t>
      </w:r>
    </w:p>
    <w:p>
      <w:pPr>
        <w:spacing w:after="0" w:line="156" w:lineRule="exact"/>
        <w:rPr>
          <w:sz w:val="20"/>
          <w:szCs w:val="20"/>
          <w:color w:val="auto"/>
        </w:rPr>
      </w:pPr>
    </w:p>
    <w:p>
      <w:pPr>
        <w:jc w:val="both"/>
        <w:ind w:left="2060" w:right="839"/>
        <w:spacing w:after="0"/>
        <w:rPr>
          <w:sz w:val="20"/>
          <w:szCs w:val="20"/>
          <w:color w:val="auto"/>
        </w:rPr>
      </w:pPr>
      <w:r>
        <w:rPr>
          <w:rFonts w:ascii="Arial" w:cs="Arial" w:eastAsia="Arial" w:hAnsi="Arial"/>
          <w:sz w:val="11"/>
          <w:szCs w:val="11"/>
          <w:color w:val="050505"/>
        </w:rPr>
        <w:t>Once our Connected Fitness Products are purchased, our Members rely on our high-touch delivery and set up service to deliver and install their equipment in a professional and efficient manner. Our Members also rely on our support services to resolve any issues related to the use of our Connected Fitness Products and content. Providing a high-quality Member experience is vital to our success in generating word-of-mouth referrals to drive sales and for retaining existing Members. The importance of high-quality support will increase as we expand our business and introduce new products and services. If we do not help our Members quickly resolve issues and provide effective ongoing support, our reputation may suffer and our ability to retain and attract Members, or to sell additional products and services to existing Members, could be harmed.</w:t>
      </w:r>
    </w:p>
    <w:p>
      <w:pPr>
        <w:spacing w:after="0" w:line="97" w:lineRule="exact"/>
        <w:rPr>
          <w:sz w:val="20"/>
          <w:szCs w:val="20"/>
          <w:color w:val="auto"/>
        </w:rPr>
      </w:pPr>
    </w:p>
    <w:p>
      <w:pPr>
        <w:ind w:left="5680"/>
        <w:spacing w:after="0"/>
        <w:rPr>
          <w:sz w:val="20"/>
          <w:szCs w:val="20"/>
          <w:color w:val="auto"/>
        </w:rPr>
      </w:pPr>
      <w:r>
        <w:rPr>
          <w:rFonts w:ascii="Arial" w:cs="Arial" w:eastAsia="Arial" w:hAnsi="Arial"/>
          <w:sz w:val="11"/>
          <w:szCs w:val="11"/>
          <w:color w:val="050505"/>
        </w:rPr>
        <w:t>22</w:t>
      </w:r>
    </w:p>
    <w:p>
      <w:pPr>
        <w:sectPr>
          <w:pgSz w:w="11900" w:h="16838" w:orient="portrait"/>
          <w:cols w:equalWidth="0" w:num="1">
            <w:col w:w="10239"/>
          </w:cols>
          <w:pgMar w:left="220" w:top="354" w:right="1440" w:bottom="1440" w:gutter="0" w:footer="0" w:header="0"/>
        </w:sectPr>
      </w:pPr>
    </w:p>
    <w:bookmarkStart w:id="27" w:name="page28"/>
    <w:bookmarkEnd w:id="27"/>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hyperlink w:anchor="page5">
        <w:r>
          <w:rPr>
            <w:rFonts w:ascii="Arial" w:cs="Arial" w:eastAsia="Arial" w:hAnsi="Arial"/>
            <w:sz w:val="12"/>
            <w:szCs w:val="12"/>
            <w:b w:val="1"/>
            <w:bCs w:val="1"/>
            <w:u w:val="single" w:color="auto"/>
            <w:color w:val="0000EE"/>
          </w:rPr>
          <w:t>Table of Contents</w:t>
        </w:r>
      </w:hyperlink>
    </w:p>
    <w:p>
      <w:pPr>
        <w:spacing w:after="0" w:line="204" w:lineRule="exact"/>
        <w:rPr>
          <w:sz w:val="20"/>
          <w:szCs w:val="20"/>
          <w:color w:val="auto"/>
        </w:rPr>
      </w:pPr>
    </w:p>
    <w:p>
      <w:pPr>
        <w:ind w:left="2060" w:right="1199"/>
        <w:spacing w:after="0" w:line="268" w:lineRule="auto"/>
        <w:rPr>
          <w:sz w:val="20"/>
          <w:szCs w:val="20"/>
          <w:color w:val="auto"/>
        </w:rPr>
      </w:pPr>
      <w:r>
        <w:rPr>
          <w:rFonts w:ascii="Arial" w:cs="Arial" w:eastAsia="Arial" w:hAnsi="Arial"/>
          <w:sz w:val="11"/>
          <w:szCs w:val="11"/>
          <w:b w:val="1"/>
          <w:bCs w:val="1"/>
          <w:i w:val="1"/>
          <w:iCs w:val="1"/>
          <w:color w:val="auto"/>
        </w:rPr>
        <w:t>Our quarterly operating results and other operating metrics may fluctuate from quarter to quarter, which makes these metrics difficult to predict.</w:t>
      </w:r>
    </w:p>
    <w:p>
      <w:pPr>
        <w:spacing w:after="0" w:line="126" w:lineRule="exact"/>
        <w:rPr>
          <w:sz w:val="20"/>
          <w:szCs w:val="20"/>
          <w:color w:val="auto"/>
        </w:rPr>
      </w:pPr>
    </w:p>
    <w:p>
      <w:pPr>
        <w:jc w:val="both"/>
        <w:ind w:left="2060" w:right="839"/>
        <w:spacing w:after="0"/>
        <w:rPr>
          <w:sz w:val="20"/>
          <w:szCs w:val="20"/>
          <w:color w:val="auto"/>
        </w:rPr>
      </w:pPr>
      <w:r>
        <w:rPr>
          <w:rFonts w:ascii="Arial" w:cs="Arial" w:eastAsia="Arial" w:hAnsi="Arial"/>
          <w:sz w:val="11"/>
          <w:szCs w:val="11"/>
          <w:color w:val="050505"/>
        </w:rPr>
        <w:t>Our quarterly operating results and other operating metrics have fluctuated in the past and may continue to fluctuate from quarter to quarter. Additionally, our limited operating history makes it difficult to forecast our future results. As a result, you should not rely on our past quarterly operating results as indicators of future performance. You should take into account the risks and uncertainties frequently encountered by companies in rapidly evolving markets. Our financial condition and operating results in any given quarter can be influenced by numerous factors, many of which we are unable to predict or are outside of our control, including:</w:t>
      </w:r>
    </w:p>
    <w:p>
      <w:pPr>
        <w:spacing w:after="0" w:line="160" w:lineRule="exact"/>
        <w:rPr>
          <w:sz w:val="20"/>
          <w:szCs w:val="20"/>
          <w:color w:val="auto"/>
        </w:rPr>
      </w:pPr>
    </w:p>
    <w:p>
      <w:pPr>
        <w:ind w:left="2420" w:hanging="217"/>
        <w:spacing w:after="0"/>
        <w:tabs>
          <w:tab w:leader="none" w:pos="2420" w:val="left"/>
        </w:tabs>
        <w:numPr>
          <w:ilvl w:val="0"/>
          <w:numId w:val="18"/>
        </w:numPr>
        <w:rPr>
          <w:rFonts w:ascii="Arial" w:cs="Arial" w:eastAsia="Arial" w:hAnsi="Arial"/>
          <w:sz w:val="11"/>
          <w:szCs w:val="11"/>
          <w:color w:val="F7323F"/>
        </w:rPr>
      </w:pPr>
      <w:r>
        <w:rPr>
          <w:rFonts w:ascii="Arial" w:cs="Arial" w:eastAsia="Arial" w:hAnsi="Arial"/>
          <w:sz w:val="11"/>
          <w:szCs w:val="11"/>
          <w:color w:val="050505"/>
        </w:rPr>
        <w:t>the continued market acceptance of, and the growth of the connected fitness and wellness market;</w:t>
      </w:r>
    </w:p>
    <w:p>
      <w:pPr>
        <w:spacing w:after="0" w:line="44" w:lineRule="exact"/>
        <w:rPr>
          <w:rFonts w:ascii="Arial" w:cs="Arial" w:eastAsia="Arial" w:hAnsi="Arial"/>
          <w:sz w:val="11"/>
          <w:szCs w:val="11"/>
          <w:color w:val="F7323F"/>
        </w:rPr>
      </w:pPr>
    </w:p>
    <w:p>
      <w:pPr>
        <w:ind w:left="2420" w:hanging="217"/>
        <w:spacing w:after="0"/>
        <w:tabs>
          <w:tab w:leader="none" w:pos="2420" w:val="left"/>
        </w:tabs>
        <w:numPr>
          <w:ilvl w:val="0"/>
          <w:numId w:val="18"/>
        </w:numPr>
        <w:rPr>
          <w:rFonts w:ascii="Arial" w:cs="Arial" w:eastAsia="Arial" w:hAnsi="Arial"/>
          <w:sz w:val="11"/>
          <w:szCs w:val="11"/>
          <w:color w:val="F7323F"/>
        </w:rPr>
      </w:pPr>
      <w:r>
        <w:rPr>
          <w:rFonts w:ascii="Arial" w:cs="Arial" w:eastAsia="Arial" w:hAnsi="Arial"/>
          <w:sz w:val="11"/>
          <w:szCs w:val="11"/>
          <w:color w:val="050505"/>
        </w:rPr>
        <w:t>our ability to maintain and attract new Subscribers;</w:t>
      </w:r>
    </w:p>
    <w:p>
      <w:pPr>
        <w:spacing w:after="0" w:line="44" w:lineRule="exact"/>
        <w:rPr>
          <w:rFonts w:ascii="Arial" w:cs="Arial" w:eastAsia="Arial" w:hAnsi="Arial"/>
          <w:sz w:val="11"/>
          <w:szCs w:val="11"/>
          <w:color w:val="F7323F"/>
        </w:rPr>
      </w:pPr>
    </w:p>
    <w:p>
      <w:pPr>
        <w:ind w:left="2420" w:right="839" w:hanging="217"/>
        <w:spacing w:after="0" w:line="245" w:lineRule="auto"/>
        <w:tabs>
          <w:tab w:leader="none" w:pos="2420" w:val="left"/>
        </w:tabs>
        <w:numPr>
          <w:ilvl w:val="0"/>
          <w:numId w:val="18"/>
        </w:numPr>
        <w:rPr>
          <w:rFonts w:ascii="Arial" w:cs="Arial" w:eastAsia="Arial" w:hAnsi="Arial"/>
          <w:sz w:val="11"/>
          <w:szCs w:val="11"/>
          <w:color w:val="F7323F"/>
        </w:rPr>
      </w:pPr>
      <w:r>
        <w:rPr>
          <w:rFonts w:ascii="Arial" w:cs="Arial" w:eastAsia="Arial" w:hAnsi="Arial"/>
          <w:sz w:val="11"/>
          <w:szCs w:val="11"/>
          <w:color w:val="050505"/>
        </w:rPr>
        <w:t>our development and improvement of the quality of the Peloton experience, including, enhancing existing and creating new Connected Fitness Products, services, technology, features, and content;</w:t>
      </w:r>
    </w:p>
    <w:p>
      <w:pPr>
        <w:spacing w:after="0" w:line="38" w:lineRule="exact"/>
        <w:rPr>
          <w:rFonts w:ascii="Arial" w:cs="Arial" w:eastAsia="Arial" w:hAnsi="Arial"/>
          <w:sz w:val="11"/>
          <w:szCs w:val="11"/>
          <w:color w:val="F7323F"/>
        </w:rPr>
      </w:pPr>
    </w:p>
    <w:p>
      <w:pPr>
        <w:ind w:left="2420" w:hanging="217"/>
        <w:spacing w:after="0"/>
        <w:tabs>
          <w:tab w:leader="none" w:pos="2420" w:val="left"/>
        </w:tabs>
        <w:numPr>
          <w:ilvl w:val="0"/>
          <w:numId w:val="18"/>
        </w:numPr>
        <w:rPr>
          <w:rFonts w:ascii="Arial" w:cs="Arial" w:eastAsia="Arial" w:hAnsi="Arial"/>
          <w:sz w:val="11"/>
          <w:szCs w:val="11"/>
          <w:color w:val="F7323F"/>
        </w:rPr>
      </w:pPr>
      <w:r>
        <w:rPr>
          <w:rFonts w:ascii="Arial" w:cs="Arial" w:eastAsia="Arial" w:hAnsi="Arial"/>
          <w:sz w:val="11"/>
          <w:szCs w:val="11"/>
          <w:color w:val="050505"/>
        </w:rPr>
        <w:t>the continued development and upgrading of our proprietary technology platform;</w:t>
      </w:r>
    </w:p>
    <w:p>
      <w:pPr>
        <w:spacing w:after="0" w:line="44" w:lineRule="exact"/>
        <w:rPr>
          <w:rFonts w:ascii="Arial" w:cs="Arial" w:eastAsia="Arial" w:hAnsi="Arial"/>
          <w:sz w:val="11"/>
          <w:szCs w:val="11"/>
          <w:color w:val="F7323F"/>
        </w:rPr>
      </w:pPr>
    </w:p>
    <w:p>
      <w:pPr>
        <w:ind w:left="2420" w:right="839" w:hanging="217"/>
        <w:spacing w:after="0" w:line="245" w:lineRule="auto"/>
        <w:tabs>
          <w:tab w:leader="none" w:pos="2420" w:val="left"/>
        </w:tabs>
        <w:numPr>
          <w:ilvl w:val="0"/>
          <w:numId w:val="18"/>
        </w:numPr>
        <w:rPr>
          <w:rFonts w:ascii="Arial" w:cs="Arial" w:eastAsia="Arial" w:hAnsi="Arial"/>
          <w:sz w:val="11"/>
          <w:szCs w:val="11"/>
          <w:color w:val="F7323F"/>
        </w:rPr>
      </w:pPr>
      <w:r>
        <w:rPr>
          <w:rFonts w:ascii="Arial" w:cs="Arial" w:eastAsia="Arial" w:hAnsi="Arial"/>
          <w:sz w:val="11"/>
          <w:szCs w:val="11"/>
          <w:color w:val="050505"/>
        </w:rPr>
        <w:t>the timing and success of new product, service, feature, and content introductions by us or our competitors or any other change in the competitive landscape of our market;</w:t>
      </w:r>
    </w:p>
    <w:p>
      <w:pPr>
        <w:spacing w:after="0" w:line="38" w:lineRule="exact"/>
        <w:rPr>
          <w:rFonts w:ascii="Arial" w:cs="Arial" w:eastAsia="Arial" w:hAnsi="Arial"/>
          <w:sz w:val="11"/>
          <w:szCs w:val="11"/>
          <w:color w:val="F7323F"/>
        </w:rPr>
      </w:pPr>
    </w:p>
    <w:p>
      <w:pPr>
        <w:ind w:left="2420" w:hanging="217"/>
        <w:spacing w:after="0"/>
        <w:tabs>
          <w:tab w:leader="none" w:pos="2420" w:val="left"/>
        </w:tabs>
        <w:numPr>
          <w:ilvl w:val="0"/>
          <w:numId w:val="18"/>
        </w:numPr>
        <w:rPr>
          <w:rFonts w:ascii="Arial" w:cs="Arial" w:eastAsia="Arial" w:hAnsi="Arial"/>
          <w:sz w:val="11"/>
          <w:szCs w:val="11"/>
          <w:color w:val="F7323F"/>
        </w:rPr>
      </w:pPr>
      <w:r>
        <w:rPr>
          <w:rFonts w:ascii="Arial" w:cs="Arial" w:eastAsia="Arial" w:hAnsi="Arial"/>
          <w:sz w:val="11"/>
          <w:szCs w:val="11"/>
          <w:color w:val="050505"/>
        </w:rPr>
        <w:t>pricing pressure as a result of competition or otherwise;</w:t>
      </w:r>
    </w:p>
    <w:p>
      <w:pPr>
        <w:spacing w:after="0" w:line="44" w:lineRule="exact"/>
        <w:rPr>
          <w:rFonts w:ascii="Arial" w:cs="Arial" w:eastAsia="Arial" w:hAnsi="Arial"/>
          <w:sz w:val="11"/>
          <w:szCs w:val="11"/>
          <w:color w:val="F7323F"/>
        </w:rPr>
      </w:pPr>
    </w:p>
    <w:p>
      <w:pPr>
        <w:ind w:left="2420" w:hanging="217"/>
        <w:spacing w:after="0"/>
        <w:tabs>
          <w:tab w:leader="none" w:pos="2420" w:val="left"/>
        </w:tabs>
        <w:numPr>
          <w:ilvl w:val="0"/>
          <w:numId w:val="18"/>
        </w:numPr>
        <w:rPr>
          <w:rFonts w:ascii="Arial" w:cs="Arial" w:eastAsia="Arial" w:hAnsi="Arial"/>
          <w:sz w:val="11"/>
          <w:szCs w:val="11"/>
          <w:color w:val="F7323F"/>
        </w:rPr>
      </w:pPr>
      <w:r>
        <w:rPr>
          <w:rFonts w:ascii="Arial" w:cs="Arial" w:eastAsia="Arial" w:hAnsi="Arial"/>
          <w:sz w:val="11"/>
          <w:szCs w:val="11"/>
          <w:color w:val="050505"/>
        </w:rPr>
        <w:t>delays or disruptions in our supply chain;</w:t>
      </w:r>
    </w:p>
    <w:p>
      <w:pPr>
        <w:spacing w:after="0" w:line="44" w:lineRule="exact"/>
        <w:rPr>
          <w:rFonts w:ascii="Arial" w:cs="Arial" w:eastAsia="Arial" w:hAnsi="Arial"/>
          <w:sz w:val="11"/>
          <w:szCs w:val="11"/>
          <w:color w:val="F7323F"/>
        </w:rPr>
      </w:pPr>
    </w:p>
    <w:p>
      <w:pPr>
        <w:ind w:left="2420" w:hanging="217"/>
        <w:spacing w:after="0"/>
        <w:tabs>
          <w:tab w:leader="none" w:pos="2420" w:val="left"/>
        </w:tabs>
        <w:numPr>
          <w:ilvl w:val="0"/>
          <w:numId w:val="18"/>
        </w:numPr>
        <w:rPr>
          <w:rFonts w:ascii="Arial" w:cs="Arial" w:eastAsia="Arial" w:hAnsi="Arial"/>
          <w:sz w:val="11"/>
          <w:szCs w:val="11"/>
          <w:color w:val="F7323F"/>
        </w:rPr>
      </w:pPr>
      <w:r>
        <w:rPr>
          <w:rFonts w:ascii="Arial" w:cs="Arial" w:eastAsia="Arial" w:hAnsi="Arial"/>
          <w:sz w:val="11"/>
          <w:szCs w:val="11"/>
          <w:color w:val="050505"/>
        </w:rPr>
        <w:t>errors in our forecasting of the demand for our products and services, which could lead to lower revenue or increased costs, or both;</w:t>
      </w:r>
    </w:p>
    <w:p>
      <w:pPr>
        <w:spacing w:after="0" w:line="44" w:lineRule="exact"/>
        <w:rPr>
          <w:rFonts w:ascii="Arial" w:cs="Arial" w:eastAsia="Arial" w:hAnsi="Arial"/>
          <w:sz w:val="11"/>
          <w:szCs w:val="11"/>
          <w:color w:val="F7323F"/>
        </w:rPr>
      </w:pPr>
    </w:p>
    <w:p>
      <w:pPr>
        <w:ind w:left="2420" w:hanging="217"/>
        <w:spacing w:after="0"/>
        <w:tabs>
          <w:tab w:leader="none" w:pos="2420" w:val="left"/>
        </w:tabs>
        <w:numPr>
          <w:ilvl w:val="0"/>
          <w:numId w:val="18"/>
        </w:numPr>
        <w:rPr>
          <w:rFonts w:ascii="Arial" w:cs="Arial" w:eastAsia="Arial" w:hAnsi="Arial"/>
          <w:sz w:val="11"/>
          <w:szCs w:val="11"/>
          <w:color w:val="F7323F"/>
        </w:rPr>
      </w:pPr>
      <w:r>
        <w:rPr>
          <w:rFonts w:ascii="Arial" w:cs="Arial" w:eastAsia="Arial" w:hAnsi="Arial"/>
          <w:sz w:val="11"/>
          <w:szCs w:val="11"/>
          <w:color w:val="050505"/>
        </w:rPr>
        <w:t>increases in marketing, sales, and other operating expenses that we may incur to grow and expand our operations and to remain competitive;</w:t>
      </w:r>
    </w:p>
    <w:p>
      <w:pPr>
        <w:spacing w:after="0" w:line="44" w:lineRule="exact"/>
        <w:rPr>
          <w:rFonts w:ascii="Arial" w:cs="Arial" w:eastAsia="Arial" w:hAnsi="Arial"/>
          <w:sz w:val="11"/>
          <w:szCs w:val="11"/>
          <w:color w:val="F7323F"/>
        </w:rPr>
      </w:pPr>
    </w:p>
    <w:p>
      <w:pPr>
        <w:ind w:left="2420" w:hanging="217"/>
        <w:spacing w:after="0"/>
        <w:tabs>
          <w:tab w:leader="none" w:pos="2420" w:val="left"/>
        </w:tabs>
        <w:numPr>
          <w:ilvl w:val="0"/>
          <w:numId w:val="18"/>
        </w:numPr>
        <w:rPr>
          <w:rFonts w:ascii="Arial" w:cs="Arial" w:eastAsia="Arial" w:hAnsi="Arial"/>
          <w:sz w:val="11"/>
          <w:szCs w:val="11"/>
          <w:color w:val="F7323F"/>
        </w:rPr>
      </w:pPr>
      <w:r>
        <w:rPr>
          <w:rFonts w:ascii="Arial" w:cs="Arial" w:eastAsia="Arial" w:hAnsi="Arial"/>
          <w:sz w:val="11"/>
          <w:szCs w:val="11"/>
          <w:color w:val="050505"/>
        </w:rPr>
        <w:t>the ability to maintain and open new showrooms;</w:t>
      </w:r>
    </w:p>
    <w:p>
      <w:pPr>
        <w:spacing w:after="0" w:line="44" w:lineRule="exact"/>
        <w:rPr>
          <w:rFonts w:ascii="Arial" w:cs="Arial" w:eastAsia="Arial" w:hAnsi="Arial"/>
          <w:sz w:val="11"/>
          <w:szCs w:val="11"/>
          <w:color w:val="F7323F"/>
        </w:rPr>
      </w:pPr>
    </w:p>
    <w:p>
      <w:pPr>
        <w:ind w:left="2420" w:hanging="217"/>
        <w:spacing w:after="0"/>
        <w:tabs>
          <w:tab w:leader="none" w:pos="2420" w:val="left"/>
        </w:tabs>
        <w:numPr>
          <w:ilvl w:val="0"/>
          <w:numId w:val="18"/>
        </w:numPr>
        <w:rPr>
          <w:rFonts w:ascii="Arial" w:cs="Arial" w:eastAsia="Arial" w:hAnsi="Arial"/>
          <w:sz w:val="11"/>
          <w:szCs w:val="11"/>
          <w:color w:val="F7323F"/>
        </w:rPr>
      </w:pPr>
      <w:r>
        <w:rPr>
          <w:rFonts w:ascii="Arial" w:cs="Arial" w:eastAsia="Arial" w:hAnsi="Arial"/>
          <w:sz w:val="11"/>
          <w:szCs w:val="11"/>
          <w:color w:val="050505"/>
        </w:rPr>
        <w:t>the continued maintenance and expansion of last mile delivery and maintenance services for our Connected Fitness Products;</w:t>
      </w:r>
    </w:p>
    <w:p>
      <w:pPr>
        <w:spacing w:after="0" w:line="44" w:lineRule="exact"/>
        <w:rPr>
          <w:rFonts w:ascii="Arial" w:cs="Arial" w:eastAsia="Arial" w:hAnsi="Arial"/>
          <w:sz w:val="11"/>
          <w:szCs w:val="11"/>
          <w:color w:val="F7323F"/>
        </w:rPr>
      </w:pPr>
    </w:p>
    <w:p>
      <w:pPr>
        <w:ind w:left="2420" w:hanging="217"/>
        <w:spacing w:after="0"/>
        <w:tabs>
          <w:tab w:leader="none" w:pos="2420" w:val="left"/>
        </w:tabs>
        <w:numPr>
          <w:ilvl w:val="0"/>
          <w:numId w:val="18"/>
        </w:numPr>
        <w:rPr>
          <w:rFonts w:ascii="Arial" w:cs="Arial" w:eastAsia="Arial" w:hAnsi="Arial"/>
          <w:sz w:val="11"/>
          <w:szCs w:val="11"/>
          <w:color w:val="F7323F"/>
        </w:rPr>
      </w:pPr>
      <w:r>
        <w:rPr>
          <w:rFonts w:ascii="Arial" w:cs="Arial" w:eastAsia="Arial" w:hAnsi="Arial"/>
          <w:sz w:val="11"/>
          <w:szCs w:val="11"/>
          <w:color w:val="050505"/>
        </w:rPr>
        <w:t>successful expansion into international markets, including Canada, the United Kingdom, and Germany;</w:t>
      </w:r>
    </w:p>
    <w:p>
      <w:pPr>
        <w:spacing w:after="0" w:line="44" w:lineRule="exact"/>
        <w:rPr>
          <w:rFonts w:ascii="Arial" w:cs="Arial" w:eastAsia="Arial" w:hAnsi="Arial"/>
          <w:sz w:val="11"/>
          <w:szCs w:val="11"/>
          <w:color w:val="F7323F"/>
        </w:rPr>
      </w:pPr>
    </w:p>
    <w:p>
      <w:pPr>
        <w:ind w:left="2420" w:right="839" w:hanging="217"/>
        <w:spacing w:after="0" w:line="245" w:lineRule="auto"/>
        <w:tabs>
          <w:tab w:leader="none" w:pos="2420" w:val="left"/>
        </w:tabs>
        <w:numPr>
          <w:ilvl w:val="0"/>
          <w:numId w:val="18"/>
        </w:numPr>
        <w:rPr>
          <w:rFonts w:ascii="Arial" w:cs="Arial" w:eastAsia="Arial" w:hAnsi="Arial"/>
          <w:sz w:val="11"/>
          <w:szCs w:val="11"/>
          <w:color w:val="F7323F"/>
        </w:rPr>
      </w:pPr>
      <w:r>
        <w:rPr>
          <w:rFonts w:ascii="Arial" w:cs="Arial" w:eastAsia="Arial" w:hAnsi="Arial"/>
          <w:sz w:val="11"/>
          <w:szCs w:val="11"/>
          <w:color w:val="050505"/>
        </w:rPr>
        <w:t>seasonal fluctuations in subscriptions and usage of Connected Fitness Products by our Members, each of which may change as our products and services evolve or as our business grows;</w:t>
      </w:r>
    </w:p>
    <w:p>
      <w:pPr>
        <w:spacing w:after="0" w:line="38" w:lineRule="exact"/>
        <w:rPr>
          <w:rFonts w:ascii="Arial" w:cs="Arial" w:eastAsia="Arial" w:hAnsi="Arial"/>
          <w:sz w:val="11"/>
          <w:szCs w:val="11"/>
          <w:color w:val="F7323F"/>
        </w:rPr>
      </w:pPr>
    </w:p>
    <w:p>
      <w:pPr>
        <w:ind w:left="2420" w:hanging="217"/>
        <w:spacing w:after="0"/>
        <w:tabs>
          <w:tab w:leader="none" w:pos="2420" w:val="left"/>
        </w:tabs>
        <w:numPr>
          <w:ilvl w:val="0"/>
          <w:numId w:val="18"/>
        </w:numPr>
        <w:rPr>
          <w:rFonts w:ascii="Arial" w:cs="Arial" w:eastAsia="Arial" w:hAnsi="Arial"/>
          <w:sz w:val="11"/>
          <w:szCs w:val="11"/>
          <w:color w:val="F7323F"/>
        </w:rPr>
      </w:pPr>
      <w:r>
        <w:rPr>
          <w:rFonts w:ascii="Arial" w:cs="Arial" w:eastAsia="Arial" w:hAnsi="Arial"/>
          <w:sz w:val="11"/>
          <w:szCs w:val="11"/>
          <w:color w:val="050505"/>
        </w:rPr>
        <w:t>the diversification and growth of our revenue sources;</w:t>
      </w:r>
    </w:p>
    <w:p>
      <w:pPr>
        <w:spacing w:after="0" w:line="44" w:lineRule="exact"/>
        <w:rPr>
          <w:rFonts w:ascii="Arial" w:cs="Arial" w:eastAsia="Arial" w:hAnsi="Arial"/>
          <w:sz w:val="11"/>
          <w:szCs w:val="11"/>
          <w:color w:val="F7323F"/>
        </w:rPr>
      </w:pPr>
    </w:p>
    <w:p>
      <w:pPr>
        <w:ind w:left="2420" w:hanging="217"/>
        <w:spacing w:after="0"/>
        <w:tabs>
          <w:tab w:leader="none" w:pos="2420" w:val="left"/>
        </w:tabs>
        <w:numPr>
          <w:ilvl w:val="0"/>
          <w:numId w:val="18"/>
        </w:numPr>
        <w:rPr>
          <w:rFonts w:ascii="Arial" w:cs="Arial" w:eastAsia="Arial" w:hAnsi="Arial"/>
          <w:sz w:val="11"/>
          <w:szCs w:val="11"/>
          <w:color w:val="F7323F"/>
        </w:rPr>
      </w:pPr>
      <w:r>
        <w:rPr>
          <w:rFonts w:ascii="Arial" w:cs="Arial" w:eastAsia="Arial" w:hAnsi="Arial"/>
          <w:sz w:val="11"/>
          <w:szCs w:val="11"/>
          <w:color w:val="050505"/>
        </w:rPr>
        <w:t>our ability to maintain gross margins and operating margins;</w:t>
      </w:r>
    </w:p>
    <w:p>
      <w:pPr>
        <w:spacing w:after="0" w:line="44" w:lineRule="exact"/>
        <w:rPr>
          <w:rFonts w:ascii="Arial" w:cs="Arial" w:eastAsia="Arial" w:hAnsi="Arial"/>
          <w:sz w:val="11"/>
          <w:szCs w:val="11"/>
          <w:color w:val="F7323F"/>
        </w:rPr>
      </w:pPr>
    </w:p>
    <w:p>
      <w:pPr>
        <w:ind w:left="2420" w:right="839" w:hanging="217"/>
        <w:spacing w:after="0" w:line="245" w:lineRule="auto"/>
        <w:tabs>
          <w:tab w:leader="none" w:pos="2420" w:val="left"/>
        </w:tabs>
        <w:numPr>
          <w:ilvl w:val="0"/>
          <w:numId w:val="18"/>
        </w:numPr>
        <w:rPr>
          <w:rFonts w:ascii="Arial" w:cs="Arial" w:eastAsia="Arial" w:hAnsi="Arial"/>
          <w:sz w:val="11"/>
          <w:szCs w:val="11"/>
          <w:color w:val="F7323F"/>
        </w:rPr>
      </w:pPr>
      <w:r>
        <w:rPr>
          <w:rFonts w:ascii="Arial" w:cs="Arial" w:eastAsia="Arial" w:hAnsi="Arial"/>
          <w:sz w:val="11"/>
          <w:szCs w:val="11"/>
          <w:color w:val="050505"/>
        </w:rPr>
        <w:t>constraints on the availability of consumer financing or increased down payment requirements to finance purchases of our Connected Fitness Products;</w:t>
      </w:r>
    </w:p>
    <w:p>
      <w:pPr>
        <w:spacing w:after="0" w:line="38" w:lineRule="exact"/>
        <w:rPr>
          <w:rFonts w:ascii="Arial" w:cs="Arial" w:eastAsia="Arial" w:hAnsi="Arial"/>
          <w:sz w:val="11"/>
          <w:szCs w:val="11"/>
          <w:color w:val="F7323F"/>
        </w:rPr>
      </w:pPr>
    </w:p>
    <w:p>
      <w:pPr>
        <w:ind w:left="2420" w:hanging="217"/>
        <w:spacing w:after="0"/>
        <w:tabs>
          <w:tab w:leader="none" w:pos="2420" w:val="left"/>
        </w:tabs>
        <w:numPr>
          <w:ilvl w:val="0"/>
          <w:numId w:val="18"/>
        </w:numPr>
        <w:rPr>
          <w:rFonts w:ascii="Arial" w:cs="Arial" w:eastAsia="Arial" w:hAnsi="Arial"/>
          <w:sz w:val="11"/>
          <w:szCs w:val="11"/>
          <w:color w:val="F7323F"/>
        </w:rPr>
      </w:pPr>
      <w:r>
        <w:rPr>
          <w:rFonts w:ascii="Arial" w:cs="Arial" w:eastAsia="Arial" w:hAnsi="Arial"/>
          <w:sz w:val="11"/>
          <w:szCs w:val="11"/>
          <w:color w:val="050505"/>
        </w:rPr>
        <w:t>system failures or breaches of security or privacy;</w:t>
      </w:r>
    </w:p>
    <w:p>
      <w:pPr>
        <w:spacing w:after="0" w:line="44" w:lineRule="exact"/>
        <w:rPr>
          <w:rFonts w:ascii="Arial" w:cs="Arial" w:eastAsia="Arial" w:hAnsi="Arial"/>
          <w:sz w:val="11"/>
          <w:szCs w:val="11"/>
          <w:color w:val="F7323F"/>
        </w:rPr>
      </w:pPr>
    </w:p>
    <w:p>
      <w:pPr>
        <w:ind w:left="2420" w:hanging="217"/>
        <w:spacing w:after="0"/>
        <w:tabs>
          <w:tab w:leader="none" w:pos="2420" w:val="left"/>
        </w:tabs>
        <w:numPr>
          <w:ilvl w:val="0"/>
          <w:numId w:val="18"/>
        </w:numPr>
        <w:rPr>
          <w:rFonts w:ascii="Arial" w:cs="Arial" w:eastAsia="Arial" w:hAnsi="Arial"/>
          <w:sz w:val="11"/>
          <w:szCs w:val="11"/>
          <w:color w:val="F7323F"/>
        </w:rPr>
      </w:pPr>
      <w:r>
        <w:rPr>
          <w:rFonts w:ascii="Arial" w:cs="Arial" w:eastAsia="Arial" w:hAnsi="Arial"/>
          <w:sz w:val="11"/>
          <w:szCs w:val="11"/>
          <w:color w:val="050505"/>
        </w:rPr>
        <w:t>adverse litigation judgments, settlements, or other litigation-related costs, including content costs for past use;</w:t>
      </w:r>
    </w:p>
    <w:p>
      <w:pPr>
        <w:spacing w:after="0" w:line="44" w:lineRule="exact"/>
        <w:rPr>
          <w:rFonts w:ascii="Arial" w:cs="Arial" w:eastAsia="Arial" w:hAnsi="Arial"/>
          <w:sz w:val="11"/>
          <w:szCs w:val="11"/>
          <w:color w:val="F7323F"/>
        </w:rPr>
      </w:pPr>
    </w:p>
    <w:p>
      <w:pPr>
        <w:ind w:left="2420" w:right="839" w:hanging="217"/>
        <w:spacing w:after="0" w:line="245" w:lineRule="auto"/>
        <w:tabs>
          <w:tab w:leader="none" w:pos="2420" w:val="left"/>
        </w:tabs>
        <w:numPr>
          <w:ilvl w:val="0"/>
          <w:numId w:val="18"/>
        </w:numPr>
        <w:rPr>
          <w:rFonts w:ascii="Arial" w:cs="Arial" w:eastAsia="Arial" w:hAnsi="Arial"/>
          <w:sz w:val="11"/>
          <w:szCs w:val="11"/>
          <w:color w:val="F7323F"/>
        </w:rPr>
      </w:pPr>
      <w:r>
        <w:rPr>
          <w:rFonts w:ascii="Arial" w:cs="Arial" w:eastAsia="Arial" w:hAnsi="Arial"/>
          <w:sz w:val="11"/>
          <w:szCs w:val="11"/>
          <w:color w:val="050505"/>
        </w:rPr>
        <w:t>changes in the legislative or regulatory environment, including with respect to privacy, consumer product safety, and advertising, or enforcement by government regulators, including fines, orders, or consent decrees;</w:t>
      </w:r>
    </w:p>
    <w:p>
      <w:pPr>
        <w:spacing w:after="0" w:line="38" w:lineRule="exact"/>
        <w:rPr>
          <w:rFonts w:ascii="Arial" w:cs="Arial" w:eastAsia="Arial" w:hAnsi="Arial"/>
          <w:sz w:val="11"/>
          <w:szCs w:val="11"/>
          <w:color w:val="F7323F"/>
        </w:rPr>
      </w:pPr>
    </w:p>
    <w:p>
      <w:pPr>
        <w:ind w:left="2420" w:hanging="217"/>
        <w:spacing w:after="0"/>
        <w:tabs>
          <w:tab w:leader="none" w:pos="2420" w:val="left"/>
        </w:tabs>
        <w:numPr>
          <w:ilvl w:val="0"/>
          <w:numId w:val="18"/>
        </w:numPr>
        <w:rPr>
          <w:rFonts w:ascii="Arial" w:cs="Arial" w:eastAsia="Arial" w:hAnsi="Arial"/>
          <w:sz w:val="11"/>
          <w:szCs w:val="11"/>
          <w:color w:val="F7323F"/>
        </w:rPr>
      </w:pPr>
      <w:r>
        <w:rPr>
          <w:rFonts w:ascii="Arial" w:cs="Arial" w:eastAsia="Arial" w:hAnsi="Arial"/>
          <w:sz w:val="11"/>
          <w:szCs w:val="11"/>
          <w:color w:val="050505"/>
        </w:rPr>
        <w:t>fluctuations in currency exchange rates and changes in the proportion of our revenue and expenses denominated in foreign currencies;</w:t>
      </w:r>
    </w:p>
    <w:p>
      <w:pPr>
        <w:spacing w:after="0" w:line="44" w:lineRule="exact"/>
        <w:rPr>
          <w:rFonts w:ascii="Arial" w:cs="Arial" w:eastAsia="Arial" w:hAnsi="Arial"/>
          <w:sz w:val="11"/>
          <w:szCs w:val="11"/>
          <w:color w:val="F7323F"/>
        </w:rPr>
      </w:pPr>
    </w:p>
    <w:p>
      <w:pPr>
        <w:ind w:left="2420" w:hanging="217"/>
        <w:spacing w:after="0"/>
        <w:tabs>
          <w:tab w:leader="none" w:pos="2420" w:val="left"/>
        </w:tabs>
        <w:numPr>
          <w:ilvl w:val="0"/>
          <w:numId w:val="18"/>
        </w:numPr>
        <w:rPr>
          <w:rFonts w:ascii="Arial" w:cs="Arial" w:eastAsia="Arial" w:hAnsi="Arial"/>
          <w:sz w:val="11"/>
          <w:szCs w:val="11"/>
          <w:color w:val="F7323F"/>
        </w:rPr>
      </w:pPr>
      <w:r>
        <w:rPr>
          <w:rFonts w:ascii="Arial" w:cs="Arial" w:eastAsia="Arial" w:hAnsi="Arial"/>
          <w:sz w:val="11"/>
          <w:szCs w:val="11"/>
          <w:color w:val="050505"/>
        </w:rPr>
        <w:t>changes in our effective tax rate;</w:t>
      </w:r>
    </w:p>
    <w:p>
      <w:pPr>
        <w:spacing w:after="0" w:line="44" w:lineRule="exact"/>
        <w:rPr>
          <w:rFonts w:ascii="Arial" w:cs="Arial" w:eastAsia="Arial" w:hAnsi="Arial"/>
          <w:sz w:val="11"/>
          <w:szCs w:val="11"/>
          <w:color w:val="F7323F"/>
        </w:rPr>
      </w:pPr>
    </w:p>
    <w:p>
      <w:pPr>
        <w:ind w:left="2420" w:hanging="217"/>
        <w:spacing w:after="0"/>
        <w:tabs>
          <w:tab w:leader="none" w:pos="2420" w:val="left"/>
        </w:tabs>
        <w:numPr>
          <w:ilvl w:val="0"/>
          <w:numId w:val="18"/>
        </w:numPr>
        <w:rPr>
          <w:rFonts w:ascii="Arial" w:cs="Arial" w:eastAsia="Arial" w:hAnsi="Arial"/>
          <w:sz w:val="11"/>
          <w:szCs w:val="11"/>
          <w:color w:val="F7323F"/>
        </w:rPr>
      </w:pPr>
      <w:r>
        <w:rPr>
          <w:rFonts w:ascii="Arial" w:cs="Arial" w:eastAsia="Arial" w:hAnsi="Arial"/>
          <w:sz w:val="11"/>
          <w:szCs w:val="11"/>
          <w:color w:val="050505"/>
        </w:rPr>
        <w:t>changes in accounting standards, policies, guidance, interpretations, or principles; and</w:t>
      </w:r>
    </w:p>
    <w:p>
      <w:pPr>
        <w:spacing w:after="0" w:line="44" w:lineRule="exact"/>
        <w:rPr>
          <w:rFonts w:ascii="Arial" w:cs="Arial" w:eastAsia="Arial" w:hAnsi="Arial"/>
          <w:sz w:val="11"/>
          <w:szCs w:val="11"/>
          <w:color w:val="F7323F"/>
        </w:rPr>
      </w:pPr>
    </w:p>
    <w:p>
      <w:pPr>
        <w:ind w:left="2420" w:right="839" w:hanging="217"/>
        <w:spacing w:after="0" w:line="245" w:lineRule="auto"/>
        <w:tabs>
          <w:tab w:leader="none" w:pos="2420" w:val="left"/>
        </w:tabs>
        <w:numPr>
          <w:ilvl w:val="0"/>
          <w:numId w:val="18"/>
        </w:numPr>
        <w:rPr>
          <w:rFonts w:ascii="Arial" w:cs="Arial" w:eastAsia="Arial" w:hAnsi="Arial"/>
          <w:sz w:val="11"/>
          <w:szCs w:val="11"/>
          <w:color w:val="F7323F"/>
        </w:rPr>
      </w:pPr>
      <w:r>
        <w:rPr>
          <w:rFonts w:ascii="Arial" w:cs="Arial" w:eastAsia="Arial" w:hAnsi="Arial"/>
          <w:sz w:val="11"/>
          <w:szCs w:val="11"/>
          <w:color w:val="050505"/>
        </w:rPr>
        <w:t>changes in business or macroeconomic conditions, including lower consumer confidence, recessionary conditions, increased unemployment rates, or stagnant or declining wages.</w:t>
      </w:r>
    </w:p>
    <w:p>
      <w:pPr>
        <w:spacing w:after="0" w:line="138" w:lineRule="exact"/>
        <w:rPr>
          <w:sz w:val="20"/>
          <w:szCs w:val="20"/>
          <w:color w:val="auto"/>
        </w:rPr>
      </w:pPr>
    </w:p>
    <w:p>
      <w:pPr>
        <w:ind w:left="2060"/>
        <w:spacing w:after="0"/>
        <w:rPr>
          <w:sz w:val="20"/>
          <w:szCs w:val="20"/>
          <w:color w:val="auto"/>
        </w:rPr>
      </w:pPr>
      <w:r>
        <w:rPr>
          <w:rFonts w:ascii="Arial" w:cs="Arial" w:eastAsia="Arial" w:hAnsi="Arial"/>
          <w:sz w:val="11"/>
          <w:szCs w:val="11"/>
          <w:color w:val="050505"/>
        </w:rPr>
        <w:t>Any one of the factors above or the cumulative effect of some of the factors above may result in significant fluctuations in our operating results.</w:t>
      </w:r>
    </w:p>
    <w:p>
      <w:pPr>
        <w:spacing w:after="0" w:line="144" w:lineRule="exact"/>
        <w:rPr>
          <w:sz w:val="20"/>
          <w:szCs w:val="20"/>
          <w:color w:val="auto"/>
        </w:rPr>
      </w:pPr>
    </w:p>
    <w:p>
      <w:pPr>
        <w:jc w:val="both"/>
        <w:ind w:left="2060" w:right="839"/>
        <w:spacing w:after="0" w:line="241" w:lineRule="auto"/>
        <w:rPr>
          <w:sz w:val="20"/>
          <w:szCs w:val="20"/>
          <w:color w:val="auto"/>
        </w:rPr>
      </w:pPr>
      <w:r>
        <w:rPr>
          <w:rFonts w:ascii="Arial" w:cs="Arial" w:eastAsia="Arial" w:hAnsi="Arial"/>
          <w:sz w:val="11"/>
          <w:szCs w:val="11"/>
          <w:color w:val="050505"/>
        </w:rPr>
        <w:t>The variability and unpredictability of our quarterly operating results or other operating metrics could result in our failure to meet our expectations or those of analysts that cover us or investors with respect to revenue or other operating results for a particular period. If we fail to meet or exceed such expectations, the market price of our Class A common stock could fall substantially, and we could face costly lawsuits, including securities class action suits.</w:t>
      </w:r>
    </w:p>
    <w:p>
      <w:pPr>
        <w:spacing w:after="0" w:line="95" w:lineRule="exact"/>
        <w:rPr>
          <w:sz w:val="20"/>
          <w:szCs w:val="20"/>
          <w:color w:val="auto"/>
        </w:rPr>
      </w:pPr>
    </w:p>
    <w:p>
      <w:pPr>
        <w:ind w:left="5680"/>
        <w:spacing w:after="0"/>
        <w:rPr>
          <w:sz w:val="20"/>
          <w:szCs w:val="20"/>
          <w:color w:val="auto"/>
        </w:rPr>
      </w:pPr>
      <w:r>
        <w:rPr>
          <w:rFonts w:ascii="Arial" w:cs="Arial" w:eastAsia="Arial" w:hAnsi="Arial"/>
          <w:sz w:val="11"/>
          <w:szCs w:val="11"/>
          <w:color w:val="050505"/>
        </w:rPr>
        <w:t>23</w:t>
      </w:r>
    </w:p>
    <w:p>
      <w:pPr>
        <w:sectPr>
          <w:pgSz w:w="11900" w:h="16838" w:orient="portrait"/>
          <w:cols w:equalWidth="0" w:num="1">
            <w:col w:w="10239"/>
          </w:cols>
          <w:pgMar w:left="220" w:top="354" w:right="1440" w:bottom="1440" w:gutter="0" w:footer="0" w:header="0"/>
        </w:sectPr>
      </w:pPr>
    </w:p>
    <w:bookmarkStart w:id="28" w:name="page29"/>
    <w:bookmarkEnd w:id="28"/>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hyperlink w:anchor="page5">
        <w:r>
          <w:rPr>
            <w:rFonts w:ascii="Arial" w:cs="Arial" w:eastAsia="Arial" w:hAnsi="Arial"/>
            <w:sz w:val="12"/>
            <w:szCs w:val="12"/>
            <w:b w:val="1"/>
            <w:bCs w:val="1"/>
            <w:u w:val="single" w:color="auto"/>
            <w:color w:val="0000EE"/>
          </w:rPr>
          <w:t>Table of Contents</w:t>
        </w:r>
      </w:hyperlink>
    </w:p>
    <w:p>
      <w:pPr>
        <w:spacing w:after="0" w:line="204" w:lineRule="exact"/>
        <w:rPr>
          <w:sz w:val="20"/>
          <w:szCs w:val="20"/>
          <w:color w:val="auto"/>
        </w:rPr>
      </w:pPr>
    </w:p>
    <w:p>
      <w:pPr>
        <w:jc w:val="both"/>
        <w:ind w:left="2060" w:right="839"/>
        <w:spacing w:after="0" w:line="253" w:lineRule="auto"/>
        <w:rPr>
          <w:sz w:val="20"/>
          <w:szCs w:val="20"/>
          <w:color w:val="auto"/>
        </w:rPr>
      </w:pPr>
      <w:r>
        <w:rPr>
          <w:rFonts w:ascii="Arial" w:cs="Arial" w:eastAsia="Arial" w:hAnsi="Arial"/>
          <w:sz w:val="11"/>
          <w:szCs w:val="11"/>
          <w:b w:val="1"/>
          <w:bCs w:val="1"/>
          <w:i w:val="1"/>
          <w:iCs w:val="1"/>
          <w:color w:val="050505"/>
        </w:rPr>
        <w:t>We rely on access to our production studios and the creativity of our fitness instructors to generate our class content. If we are unable to access or use our studios or if we are unable to attract and retain high-quality fitness instructors, we may not be able to generate interesting and attractive content for our classes.</w:t>
      </w:r>
    </w:p>
    <w:p>
      <w:pPr>
        <w:spacing w:after="0" w:line="134" w:lineRule="exact"/>
        <w:rPr>
          <w:sz w:val="20"/>
          <w:szCs w:val="20"/>
          <w:color w:val="auto"/>
        </w:rPr>
      </w:pPr>
    </w:p>
    <w:p>
      <w:pPr>
        <w:jc w:val="both"/>
        <w:ind w:left="2060" w:right="839"/>
        <w:spacing w:after="0" w:line="267" w:lineRule="auto"/>
        <w:rPr>
          <w:sz w:val="20"/>
          <w:szCs w:val="20"/>
          <w:color w:val="auto"/>
        </w:rPr>
      </w:pPr>
      <w:r>
        <w:rPr>
          <w:rFonts w:ascii="Arial" w:cs="Arial" w:eastAsia="Arial" w:hAnsi="Arial"/>
          <w:sz w:val="10"/>
          <w:szCs w:val="10"/>
          <w:color w:val="050505"/>
        </w:rPr>
        <w:t>All of the fitness and wellness content offered on our platform is produced in one of our four production studios, three of which are located in New York City. Due to our reliance on a limited number of studios in a concentrated location, any incident involving our studios, or affecting New York City at-large, could render our studios inaccessible or unusable and could inhibit our ability to produce and deliver new fitness and wellness content for our Members. Production of the fitness and wellness content on our platform is further reliant on the creativity of our fitness instructors who, with the support of our production team, plan and lead our classes. Our standard employment contract with our fitness instructors has a fixed, multi-year term, however, our instructors may leave Peloton prior to the end of their contracts. If we are unable to attract or retain creative and experienced instructors, we may not be able to generate content on a scale or of a quality sufficient to grow our business. If we fail to produce and provide our Members with interesting and attractive content led by instructors who they can relate to, then our business, financial condition, and operating results may be adversely affected.</w:t>
      </w:r>
    </w:p>
    <w:p>
      <w:pPr>
        <w:spacing w:after="0" w:line="117" w:lineRule="exact"/>
        <w:rPr>
          <w:sz w:val="20"/>
          <w:szCs w:val="20"/>
          <w:color w:val="auto"/>
        </w:rPr>
      </w:pPr>
    </w:p>
    <w:p>
      <w:pPr>
        <w:ind w:left="2060"/>
        <w:spacing w:after="0"/>
        <w:rPr>
          <w:sz w:val="20"/>
          <w:szCs w:val="20"/>
          <w:color w:val="auto"/>
        </w:rPr>
      </w:pPr>
      <w:r>
        <w:rPr>
          <w:rFonts w:ascii="Arial" w:cs="Arial" w:eastAsia="Arial" w:hAnsi="Arial"/>
          <w:sz w:val="11"/>
          <w:szCs w:val="11"/>
          <w:b w:val="1"/>
          <w:bCs w:val="1"/>
          <w:i w:val="1"/>
          <w:iCs w:val="1"/>
          <w:color w:val="auto"/>
        </w:rPr>
        <w:t>We plan to expand into international markets, which will expose us to significant risks.</w:t>
      </w:r>
    </w:p>
    <w:p>
      <w:pPr>
        <w:spacing w:after="0" w:line="156" w:lineRule="exact"/>
        <w:rPr>
          <w:sz w:val="20"/>
          <w:szCs w:val="20"/>
          <w:color w:val="auto"/>
        </w:rPr>
      </w:pPr>
    </w:p>
    <w:p>
      <w:pPr>
        <w:jc w:val="both"/>
        <w:ind w:left="2060" w:right="839"/>
        <w:spacing w:after="0" w:line="242" w:lineRule="auto"/>
        <w:rPr>
          <w:sz w:val="20"/>
          <w:szCs w:val="20"/>
          <w:color w:val="auto"/>
        </w:rPr>
      </w:pPr>
      <w:r>
        <w:rPr>
          <w:rFonts w:ascii="Arial" w:cs="Arial" w:eastAsia="Arial" w:hAnsi="Arial"/>
          <w:sz w:val="11"/>
          <w:szCs w:val="11"/>
          <w:color w:val="050505"/>
        </w:rPr>
        <w:t>We are currently expanding our operations to other countries, which requires significant resources and management attention and subjects us to regulatory, economic, and political risks in addition to those we already face in the United States. There are significant risks and costs inherent in doing business in international markets, including:</w:t>
      </w:r>
    </w:p>
    <w:p>
      <w:pPr>
        <w:spacing w:after="0" w:line="158" w:lineRule="exact"/>
        <w:rPr>
          <w:sz w:val="20"/>
          <w:szCs w:val="20"/>
          <w:color w:val="auto"/>
        </w:rPr>
      </w:pPr>
    </w:p>
    <w:p>
      <w:pPr>
        <w:ind w:left="2420" w:right="839" w:hanging="217"/>
        <w:spacing w:after="0" w:line="245" w:lineRule="auto"/>
        <w:tabs>
          <w:tab w:leader="none" w:pos="2420" w:val="left"/>
        </w:tabs>
        <w:numPr>
          <w:ilvl w:val="0"/>
          <w:numId w:val="19"/>
        </w:numPr>
        <w:rPr>
          <w:rFonts w:ascii="Arial" w:cs="Arial" w:eastAsia="Arial" w:hAnsi="Arial"/>
          <w:sz w:val="11"/>
          <w:szCs w:val="11"/>
          <w:color w:val="F7323F"/>
        </w:rPr>
      </w:pPr>
      <w:r>
        <w:rPr>
          <w:rFonts w:ascii="Arial" w:cs="Arial" w:eastAsia="Arial" w:hAnsi="Arial"/>
          <w:sz w:val="11"/>
          <w:szCs w:val="11"/>
          <w:color w:val="050505"/>
        </w:rPr>
        <w:t>difficulty establishing and managing international operations and the increased operations, travel, infrastructure, including establishment of local delivery service and customer service operations, and legal compliance costs associated with locations in different countries or regions;</w:t>
      </w:r>
    </w:p>
    <w:p>
      <w:pPr>
        <w:spacing w:after="0" w:line="38" w:lineRule="exact"/>
        <w:rPr>
          <w:rFonts w:ascii="Arial" w:cs="Arial" w:eastAsia="Arial" w:hAnsi="Arial"/>
          <w:sz w:val="11"/>
          <w:szCs w:val="11"/>
          <w:color w:val="F7323F"/>
        </w:rPr>
      </w:pPr>
    </w:p>
    <w:p>
      <w:pPr>
        <w:ind w:left="2420" w:hanging="217"/>
        <w:spacing w:after="0"/>
        <w:tabs>
          <w:tab w:leader="none" w:pos="2420" w:val="left"/>
        </w:tabs>
        <w:numPr>
          <w:ilvl w:val="0"/>
          <w:numId w:val="19"/>
        </w:numPr>
        <w:rPr>
          <w:rFonts w:ascii="Arial" w:cs="Arial" w:eastAsia="Arial" w:hAnsi="Arial"/>
          <w:sz w:val="11"/>
          <w:szCs w:val="11"/>
          <w:color w:val="F7323F"/>
        </w:rPr>
      </w:pPr>
      <w:r>
        <w:rPr>
          <w:rFonts w:ascii="Arial" w:cs="Arial" w:eastAsia="Arial" w:hAnsi="Arial"/>
          <w:sz w:val="11"/>
          <w:szCs w:val="11"/>
          <w:color w:val="050505"/>
        </w:rPr>
        <w:t>the need to vary pricing and margins to effectively compete in international markets;</w:t>
      </w:r>
    </w:p>
    <w:p>
      <w:pPr>
        <w:spacing w:after="0" w:line="44" w:lineRule="exact"/>
        <w:rPr>
          <w:rFonts w:ascii="Arial" w:cs="Arial" w:eastAsia="Arial" w:hAnsi="Arial"/>
          <w:sz w:val="11"/>
          <w:szCs w:val="11"/>
          <w:color w:val="F7323F"/>
        </w:rPr>
      </w:pPr>
    </w:p>
    <w:p>
      <w:pPr>
        <w:ind w:left="2420" w:right="839" w:hanging="217"/>
        <w:spacing w:after="0" w:line="245" w:lineRule="auto"/>
        <w:tabs>
          <w:tab w:leader="none" w:pos="2420" w:val="left"/>
        </w:tabs>
        <w:numPr>
          <w:ilvl w:val="0"/>
          <w:numId w:val="19"/>
        </w:numPr>
        <w:rPr>
          <w:rFonts w:ascii="Arial" w:cs="Arial" w:eastAsia="Arial" w:hAnsi="Arial"/>
          <w:sz w:val="11"/>
          <w:szCs w:val="11"/>
          <w:color w:val="F7323F"/>
        </w:rPr>
      </w:pPr>
      <w:r>
        <w:rPr>
          <w:rFonts w:ascii="Arial" w:cs="Arial" w:eastAsia="Arial" w:hAnsi="Arial"/>
          <w:sz w:val="11"/>
          <w:szCs w:val="11"/>
          <w:color w:val="050505"/>
        </w:rPr>
        <w:t>the need to adapt and localize products for specific countries, including obtaining rights to third-party intellectual property, including music, used in each country;</w:t>
      </w:r>
    </w:p>
    <w:p>
      <w:pPr>
        <w:spacing w:after="0" w:line="38" w:lineRule="exact"/>
        <w:rPr>
          <w:rFonts w:ascii="Arial" w:cs="Arial" w:eastAsia="Arial" w:hAnsi="Arial"/>
          <w:sz w:val="11"/>
          <w:szCs w:val="11"/>
          <w:color w:val="F7323F"/>
        </w:rPr>
      </w:pPr>
    </w:p>
    <w:p>
      <w:pPr>
        <w:ind w:left="2420" w:hanging="217"/>
        <w:spacing w:after="0"/>
        <w:tabs>
          <w:tab w:leader="none" w:pos="2420" w:val="left"/>
        </w:tabs>
        <w:numPr>
          <w:ilvl w:val="0"/>
          <w:numId w:val="19"/>
        </w:numPr>
        <w:rPr>
          <w:rFonts w:ascii="Arial" w:cs="Arial" w:eastAsia="Arial" w:hAnsi="Arial"/>
          <w:sz w:val="11"/>
          <w:szCs w:val="11"/>
          <w:color w:val="F7323F"/>
        </w:rPr>
      </w:pPr>
      <w:r>
        <w:rPr>
          <w:rFonts w:ascii="Arial" w:cs="Arial" w:eastAsia="Arial" w:hAnsi="Arial"/>
          <w:sz w:val="11"/>
          <w:szCs w:val="11"/>
          <w:color w:val="050505"/>
        </w:rPr>
        <w:t>increased competition from local providers of similar products and services;</w:t>
      </w:r>
    </w:p>
    <w:p>
      <w:pPr>
        <w:spacing w:after="0" w:line="44" w:lineRule="exact"/>
        <w:rPr>
          <w:rFonts w:ascii="Arial" w:cs="Arial" w:eastAsia="Arial" w:hAnsi="Arial"/>
          <w:sz w:val="11"/>
          <w:szCs w:val="11"/>
          <w:color w:val="F7323F"/>
        </w:rPr>
      </w:pPr>
    </w:p>
    <w:p>
      <w:pPr>
        <w:ind w:left="2420" w:hanging="217"/>
        <w:spacing w:after="0"/>
        <w:tabs>
          <w:tab w:leader="none" w:pos="2420" w:val="left"/>
        </w:tabs>
        <w:numPr>
          <w:ilvl w:val="0"/>
          <w:numId w:val="19"/>
        </w:numPr>
        <w:rPr>
          <w:rFonts w:ascii="Arial" w:cs="Arial" w:eastAsia="Arial" w:hAnsi="Arial"/>
          <w:sz w:val="11"/>
          <w:szCs w:val="11"/>
          <w:color w:val="F7323F"/>
        </w:rPr>
      </w:pPr>
      <w:r>
        <w:rPr>
          <w:rFonts w:ascii="Arial" w:cs="Arial" w:eastAsia="Arial" w:hAnsi="Arial"/>
          <w:sz w:val="11"/>
          <w:szCs w:val="11"/>
          <w:color w:val="050505"/>
        </w:rPr>
        <w:t>the ability to protect and enforce intellectual property rights abroad;</w:t>
      </w:r>
    </w:p>
    <w:p>
      <w:pPr>
        <w:spacing w:after="0" w:line="44" w:lineRule="exact"/>
        <w:rPr>
          <w:rFonts w:ascii="Arial" w:cs="Arial" w:eastAsia="Arial" w:hAnsi="Arial"/>
          <w:sz w:val="11"/>
          <w:szCs w:val="11"/>
          <w:color w:val="F7323F"/>
        </w:rPr>
      </w:pPr>
    </w:p>
    <w:p>
      <w:pPr>
        <w:ind w:left="2420" w:hanging="217"/>
        <w:spacing w:after="0"/>
        <w:tabs>
          <w:tab w:leader="none" w:pos="2420" w:val="left"/>
        </w:tabs>
        <w:numPr>
          <w:ilvl w:val="0"/>
          <w:numId w:val="19"/>
        </w:numPr>
        <w:rPr>
          <w:rFonts w:ascii="Arial" w:cs="Arial" w:eastAsia="Arial" w:hAnsi="Arial"/>
          <w:sz w:val="11"/>
          <w:szCs w:val="11"/>
          <w:color w:val="F7323F"/>
        </w:rPr>
      </w:pPr>
      <w:r>
        <w:rPr>
          <w:rFonts w:ascii="Arial" w:cs="Arial" w:eastAsia="Arial" w:hAnsi="Arial"/>
          <w:sz w:val="11"/>
          <w:szCs w:val="11"/>
          <w:color w:val="050505"/>
        </w:rPr>
        <w:t>the need to offer content and customer support in various languages;</w:t>
      </w:r>
    </w:p>
    <w:p>
      <w:pPr>
        <w:spacing w:after="0" w:line="44" w:lineRule="exact"/>
        <w:rPr>
          <w:rFonts w:ascii="Arial" w:cs="Arial" w:eastAsia="Arial" w:hAnsi="Arial"/>
          <w:sz w:val="11"/>
          <w:szCs w:val="11"/>
          <w:color w:val="F7323F"/>
        </w:rPr>
      </w:pPr>
    </w:p>
    <w:p>
      <w:pPr>
        <w:ind w:left="2420" w:hanging="217"/>
        <w:spacing w:after="0"/>
        <w:tabs>
          <w:tab w:leader="none" w:pos="2420" w:val="left"/>
        </w:tabs>
        <w:numPr>
          <w:ilvl w:val="0"/>
          <w:numId w:val="19"/>
        </w:numPr>
        <w:rPr>
          <w:rFonts w:ascii="Arial" w:cs="Arial" w:eastAsia="Arial" w:hAnsi="Arial"/>
          <w:sz w:val="11"/>
          <w:szCs w:val="11"/>
          <w:color w:val="F7323F"/>
        </w:rPr>
      </w:pPr>
      <w:r>
        <w:rPr>
          <w:rFonts w:ascii="Arial" w:cs="Arial" w:eastAsia="Arial" w:hAnsi="Arial"/>
          <w:sz w:val="11"/>
          <w:szCs w:val="11"/>
          <w:color w:val="050505"/>
        </w:rPr>
        <w:t>difficulties in understanding and complying with local laws, regulations, and customs in other jurisdictions;</w:t>
      </w:r>
    </w:p>
    <w:p>
      <w:pPr>
        <w:spacing w:after="0" w:line="44" w:lineRule="exact"/>
        <w:rPr>
          <w:rFonts w:ascii="Arial" w:cs="Arial" w:eastAsia="Arial" w:hAnsi="Arial"/>
          <w:sz w:val="11"/>
          <w:szCs w:val="11"/>
          <w:color w:val="F7323F"/>
        </w:rPr>
      </w:pPr>
    </w:p>
    <w:p>
      <w:pPr>
        <w:ind w:left="2420" w:right="839" w:hanging="217"/>
        <w:spacing w:after="0" w:line="245" w:lineRule="auto"/>
        <w:tabs>
          <w:tab w:leader="none" w:pos="2420" w:val="left"/>
        </w:tabs>
        <w:numPr>
          <w:ilvl w:val="0"/>
          <w:numId w:val="19"/>
        </w:numPr>
        <w:rPr>
          <w:rFonts w:ascii="Arial" w:cs="Arial" w:eastAsia="Arial" w:hAnsi="Arial"/>
          <w:sz w:val="11"/>
          <w:szCs w:val="11"/>
          <w:color w:val="F7323F"/>
        </w:rPr>
      </w:pPr>
      <w:r>
        <w:rPr>
          <w:rFonts w:ascii="Arial" w:cs="Arial" w:eastAsia="Arial" w:hAnsi="Arial"/>
          <w:sz w:val="11"/>
          <w:szCs w:val="11"/>
          <w:color w:val="050505"/>
        </w:rPr>
        <w:t>compliance with anti-bribery laws, such as the U.S. Foreign Corrupt Practices Act, or FCPA, and the U.K. Bribery Act 2010, or U.K. Bribery Act, by us, our employees, and our business partners;</w:t>
      </w:r>
    </w:p>
    <w:p>
      <w:pPr>
        <w:spacing w:after="0" w:line="38" w:lineRule="exact"/>
        <w:rPr>
          <w:rFonts w:ascii="Arial" w:cs="Arial" w:eastAsia="Arial" w:hAnsi="Arial"/>
          <w:sz w:val="11"/>
          <w:szCs w:val="11"/>
          <w:color w:val="F7323F"/>
        </w:rPr>
      </w:pPr>
    </w:p>
    <w:p>
      <w:pPr>
        <w:ind w:left="2420" w:right="839" w:hanging="217"/>
        <w:spacing w:after="0" w:line="245" w:lineRule="auto"/>
        <w:tabs>
          <w:tab w:leader="none" w:pos="2420" w:val="left"/>
        </w:tabs>
        <w:numPr>
          <w:ilvl w:val="0"/>
          <w:numId w:val="19"/>
        </w:numPr>
        <w:rPr>
          <w:rFonts w:ascii="Arial" w:cs="Arial" w:eastAsia="Arial" w:hAnsi="Arial"/>
          <w:sz w:val="11"/>
          <w:szCs w:val="11"/>
          <w:color w:val="F7323F"/>
        </w:rPr>
      </w:pPr>
      <w:r>
        <w:rPr>
          <w:rFonts w:ascii="Arial" w:cs="Arial" w:eastAsia="Arial" w:hAnsi="Arial"/>
          <w:sz w:val="11"/>
          <w:szCs w:val="11"/>
          <w:color w:val="050505"/>
        </w:rPr>
        <w:t>complexity and other risks associated with current and future legal requirements in other countries, including legal requirements related to consumer protection, consumer product safety, and data privacy frameworks, such as the E.U. General Data Protection Regulation;</w:t>
      </w:r>
    </w:p>
    <w:p>
      <w:pPr>
        <w:spacing w:after="0" w:line="38" w:lineRule="exact"/>
        <w:rPr>
          <w:rFonts w:ascii="Arial" w:cs="Arial" w:eastAsia="Arial" w:hAnsi="Arial"/>
          <w:sz w:val="11"/>
          <w:szCs w:val="11"/>
          <w:color w:val="F7323F"/>
        </w:rPr>
      </w:pPr>
    </w:p>
    <w:p>
      <w:pPr>
        <w:ind w:left="2420" w:hanging="217"/>
        <w:spacing w:after="0"/>
        <w:tabs>
          <w:tab w:leader="none" w:pos="2420" w:val="left"/>
        </w:tabs>
        <w:numPr>
          <w:ilvl w:val="0"/>
          <w:numId w:val="19"/>
        </w:numPr>
        <w:rPr>
          <w:rFonts w:ascii="Arial" w:cs="Arial" w:eastAsia="Arial" w:hAnsi="Arial"/>
          <w:sz w:val="11"/>
          <w:szCs w:val="11"/>
          <w:color w:val="F7323F"/>
        </w:rPr>
      </w:pPr>
      <w:r>
        <w:rPr>
          <w:rFonts w:ascii="Arial" w:cs="Arial" w:eastAsia="Arial" w:hAnsi="Arial"/>
          <w:sz w:val="11"/>
          <w:szCs w:val="11"/>
          <w:color w:val="050505"/>
        </w:rPr>
        <w:t>varying levels of internet technology adoption and infrastructure, and increased or varying network and hosting service provider costs;</w:t>
      </w:r>
    </w:p>
    <w:p>
      <w:pPr>
        <w:spacing w:after="0" w:line="44" w:lineRule="exact"/>
        <w:rPr>
          <w:rFonts w:ascii="Arial" w:cs="Arial" w:eastAsia="Arial" w:hAnsi="Arial"/>
          <w:sz w:val="11"/>
          <w:szCs w:val="11"/>
          <w:color w:val="F7323F"/>
        </w:rPr>
      </w:pPr>
    </w:p>
    <w:p>
      <w:pPr>
        <w:ind w:left="2420" w:hanging="217"/>
        <w:spacing w:after="0"/>
        <w:tabs>
          <w:tab w:leader="none" w:pos="2420" w:val="left"/>
        </w:tabs>
        <w:numPr>
          <w:ilvl w:val="0"/>
          <w:numId w:val="19"/>
        </w:numPr>
        <w:rPr>
          <w:rFonts w:ascii="Arial" w:cs="Arial" w:eastAsia="Arial" w:hAnsi="Arial"/>
          <w:sz w:val="11"/>
          <w:szCs w:val="11"/>
          <w:color w:val="F7323F"/>
        </w:rPr>
      </w:pPr>
      <w:r>
        <w:rPr>
          <w:rFonts w:ascii="Arial" w:cs="Arial" w:eastAsia="Arial" w:hAnsi="Arial"/>
          <w:sz w:val="11"/>
          <w:szCs w:val="11"/>
          <w:color w:val="050505"/>
        </w:rPr>
        <w:t>tariffs and other non-tariff barriers, such as quotas and local content rules, as well as tax consequences;</w:t>
      </w:r>
    </w:p>
    <w:p>
      <w:pPr>
        <w:spacing w:after="0" w:line="44" w:lineRule="exact"/>
        <w:rPr>
          <w:rFonts w:ascii="Arial" w:cs="Arial" w:eastAsia="Arial" w:hAnsi="Arial"/>
          <w:sz w:val="11"/>
          <w:szCs w:val="11"/>
          <w:color w:val="F7323F"/>
        </w:rPr>
      </w:pPr>
    </w:p>
    <w:p>
      <w:pPr>
        <w:ind w:left="2420" w:right="839" w:hanging="217"/>
        <w:spacing w:after="0" w:line="245" w:lineRule="auto"/>
        <w:tabs>
          <w:tab w:leader="none" w:pos="2420" w:val="left"/>
        </w:tabs>
        <w:numPr>
          <w:ilvl w:val="0"/>
          <w:numId w:val="19"/>
        </w:numPr>
        <w:rPr>
          <w:rFonts w:ascii="Arial" w:cs="Arial" w:eastAsia="Arial" w:hAnsi="Arial"/>
          <w:sz w:val="11"/>
          <w:szCs w:val="11"/>
          <w:color w:val="F7323F"/>
        </w:rPr>
      </w:pPr>
      <w:r>
        <w:rPr>
          <w:rFonts w:ascii="Arial" w:cs="Arial" w:eastAsia="Arial" w:hAnsi="Arial"/>
          <w:sz w:val="11"/>
          <w:szCs w:val="11"/>
          <w:color w:val="050505"/>
        </w:rPr>
        <w:t>fluctuations in currency exchange rates and the requirements of currency control regulations, which might restrict or prohibit conversion of other currencies into U.S. dollars; and</w:t>
      </w:r>
    </w:p>
    <w:p>
      <w:pPr>
        <w:spacing w:after="0" w:line="38" w:lineRule="exact"/>
        <w:rPr>
          <w:rFonts w:ascii="Arial" w:cs="Arial" w:eastAsia="Arial" w:hAnsi="Arial"/>
          <w:sz w:val="11"/>
          <w:szCs w:val="11"/>
          <w:color w:val="F7323F"/>
        </w:rPr>
      </w:pPr>
    </w:p>
    <w:p>
      <w:pPr>
        <w:ind w:left="2420" w:right="839" w:hanging="217"/>
        <w:spacing w:after="0" w:line="245" w:lineRule="auto"/>
        <w:tabs>
          <w:tab w:leader="none" w:pos="2420" w:val="left"/>
        </w:tabs>
        <w:numPr>
          <w:ilvl w:val="0"/>
          <w:numId w:val="19"/>
        </w:numPr>
        <w:rPr>
          <w:rFonts w:ascii="Arial" w:cs="Arial" w:eastAsia="Arial" w:hAnsi="Arial"/>
          <w:sz w:val="11"/>
          <w:szCs w:val="11"/>
          <w:color w:val="F7323F"/>
        </w:rPr>
      </w:pPr>
      <w:r>
        <w:rPr>
          <w:rFonts w:ascii="Arial" w:cs="Arial" w:eastAsia="Arial" w:hAnsi="Arial"/>
          <w:sz w:val="11"/>
          <w:szCs w:val="11"/>
          <w:color w:val="050505"/>
        </w:rPr>
        <w:t>political or social unrest or economic instability in a specific country or region in which we operate, including, for example, the effects of “Brexit,” which could have an adverse impact on our operations in that location.</w:t>
      </w:r>
    </w:p>
    <w:p>
      <w:pPr>
        <w:spacing w:after="0" w:line="138" w:lineRule="exact"/>
        <w:rPr>
          <w:sz w:val="20"/>
          <w:szCs w:val="20"/>
          <w:color w:val="auto"/>
        </w:rPr>
      </w:pPr>
    </w:p>
    <w:p>
      <w:pPr>
        <w:jc w:val="both"/>
        <w:ind w:left="2060" w:right="839"/>
        <w:spacing w:after="0" w:line="270" w:lineRule="auto"/>
        <w:rPr>
          <w:sz w:val="20"/>
          <w:szCs w:val="20"/>
          <w:color w:val="auto"/>
        </w:rPr>
      </w:pPr>
      <w:r>
        <w:rPr>
          <w:rFonts w:ascii="Arial" w:cs="Arial" w:eastAsia="Arial" w:hAnsi="Arial"/>
          <w:sz w:val="10"/>
          <w:szCs w:val="10"/>
          <w:color w:val="050505"/>
        </w:rPr>
        <w:t>We have limited experience with international regulatory environments and market practices and may not be able to penetrate or successfully operate in the markets we choose to enter. In addition, we may incur significant expenses as a result of our international expansion, and we may not be successful. We may face limited brand recognition in certain parts of the world that could lead to non-acceptance or delayed acceptance of our products and services by consumers in new markets. We may also face challenges to acceptance of our fitness and wellness content in new markets. Our failure to successfully manage these risks could harm our international operations and have an adverse effect on our business, financial condition, and operating results.</w:t>
      </w:r>
    </w:p>
    <w:p>
      <w:pPr>
        <w:spacing w:after="0" w:line="83" w:lineRule="exact"/>
        <w:rPr>
          <w:sz w:val="20"/>
          <w:szCs w:val="20"/>
          <w:color w:val="auto"/>
        </w:rPr>
      </w:pPr>
    </w:p>
    <w:p>
      <w:pPr>
        <w:ind w:left="5680"/>
        <w:spacing w:after="0"/>
        <w:rPr>
          <w:sz w:val="20"/>
          <w:szCs w:val="20"/>
          <w:color w:val="auto"/>
        </w:rPr>
      </w:pPr>
      <w:r>
        <w:rPr>
          <w:rFonts w:ascii="Arial" w:cs="Arial" w:eastAsia="Arial" w:hAnsi="Arial"/>
          <w:sz w:val="11"/>
          <w:szCs w:val="11"/>
          <w:color w:val="050505"/>
        </w:rPr>
        <w:t>24</w:t>
      </w:r>
    </w:p>
    <w:p>
      <w:pPr>
        <w:sectPr>
          <w:pgSz w:w="11900" w:h="16838" w:orient="portrait"/>
          <w:cols w:equalWidth="0" w:num="1">
            <w:col w:w="10239"/>
          </w:cols>
          <w:pgMar w:left="220" w:top="354" w:right="1440" w:bottom="1440" w:gutter="0" w:footer="0" w:header="0"/>
        </w:sectPr>
      </w:pPr>
    </w:p>
    <w:bookmarkStart w:id="29" w:name="page30"/>
    <w:bookmarkEnd w:id="29"/>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hyperlink w:anchor="page5">
        <w:r>
          <w:rPr>
            <w:rFonts w:ascii="Arial" w:cs="Arial" w:eastAsia="Arial" w:hAnsi="Arial"/>
            <w:sz w:val="12"/>
            <w:szCs w:val="12"/>
            <w:b w:val="1"/>
            <w:bCs w:val="1"/>
            <w:u w:val="single" w:color="auto"/>
            <w:color w:val="0000EE"/>
          </w:rPr>
          <w:t>Table of Contents</w:t>
        </w:r>
      </w:hyperlink>
    </w:p>
    <w:p>
      <w:pPr>
        <w:spacing w:after="0" w:line="204" w:lineRule="exact"/>
        <w:rPr>
          <w:sz w:val="20"/>
          <w:szCs w:val="20"/>
          <w:color w:val="auto"/>
        </w:rPr>
      </w:pPr>
    </w:p>
    <w:p>
      <w:pPr>
        <w:jc w:val="both"/>
        <w:ind w:left="2060" w:right="839"/>
        <w:spacing w:after="0" w:line="268" w:lineRule="auto"/>
        <w:rPr>
          <w:sz w:val="20"/>
          <w:szCs w:val="20"/>
          <w:color w:val="auto"/>
        </w:rPr>
      </w:pPr>
      <w:r>
        <w:rPr>
          <w:rFonts w:ascii="Arial" w:cs="Arial" w:eastAsia="Arial" w:hAnsi="Arial"/>
          <w:sz w:val="11"/>
          <w:szCs w:val="11"/>
          <w:b w:val="1"/>
          <w:bCs w:val="1"/>
          <w:i w:val="1"/>
          <w:iCs w:val="1"/>
          <w:color w:val="050505"/>
        </w:rPr>
        <w:t>Increases in component costs, long lead times, supply shortages, and supply changes could disrupt our supply chain and have an adverse effect on our business, financial condition, and operating results.</w:t>
      </w:r>
    </w:p>
    <w:p>
      <w:pPr>
        <w:spacing w:after="0" w:line="126" w:lineRule="exact"/>
        <w:rPr>
          <w:sz w:val="20"/>
          <w:szCs w:val="20"/>
          <w:color w:val="auto"/>
        </w:rPr>
      </w:pPr>
    </w:p>
    <w:p>
      <w:pPr>
        <w:jc w:val="both"/>
        <w:ind w:left="2060" w:right="839"/>
        <w:spacing w:after="0" w:line="239" w:lineRule="auto"/>
        <w:rPr>
          <w:sz w:val="20"/>
          <w:szCs w:val="20"/>
          <w:color w:val="auto"/>
        </w:rPr>
      </w:pPr>
      <w:r>
        <w:rPr>
          <w:rFonts w:ascii="Arial" w:cs="Arial" w:eastAsia="Arial" w:hAnsi="Arial"/>
          <w:sz w:val="11"/>
          <w:szCs w:val="11"/>
          <w:color w:val="050505"/>
        </w:rPr>
        <w:t>Meeting customer demand partially depends on our ability to obtain timely and adequate delivery of components for our Connected Fitness Products. All of the components that go into the manufacturing of our Connected Fitness Products are sourced from a limited number of third-party suppliers, and some of these components are provided by a single supplier. Our manufacturers generally purchase these components on our behalf, subject to certain approved supplier lists, and we do not have long-term arrangements with most of our component suppliers. We are therefore subject to the risk of shortages and long lead times in the supply of these components and the risk that our suppliers discontinue or modify components used in our Connected Fitness Products. In addition, the lead times associated with certain components are lengthy and preclude rapid changes in design, quantities, and delivery schedules. We may in the future experience component shortages, and the predictability of the availability of these components may be limited. In the event of a component shortage or supply interruption from suppliers of these components, we may not be able to develop alternate sources in a timely manner. Developing alternate sources of supply for these components may be time-consuming, difficult, and costly and we may not be able to source these components on terms that are acceptable to us, or at all, which may undermine our ability to fill our orders in a timely manner. Any interruption or delay in the supply of any of these parts or components, or the inability to obtain these parts or components from alternate sources at acceptable prices and within a reasonable amount of time, would harm our ability to meet our scheduled Connected Fitness Product deliveries to our customers.</w:t>
      </w:r>
    </w:p>
    <w:p>
      <w:pPr>
        <w:spacing w:after="0" w:line="146" w:lineRule="exact"/>
        <w:rPr>
          <w:sz w:val="20"/>
          <w:szCs w:val="20"/>
          <w:color w:val="auto"/>
        </w:rPr>
      </w:pPr>
    </w:p>
    <w:p>
      <w:pPr>
        <w:jc w:val="both"/>
        <w:ind w:left="2060" w:right="839"/>
        <w:spacing w:after="0" w:line="239" w:lineRule="auto"/>
        <w:rPr>
          <w:sz w:val="20"/>
          <w:szCs w:val="20"/>
          <w:color w:val="auto"/>
        </w:rPr>
      </w:pPr>
      <w:r>
        <w:rPr>
          <w:rFonts w:ascii="Arial" w:cs="Arial" w:eastAsia="Arial" w:hAnsi="Arial"/>
          <w:sz w:val="11"/>
          <w:szCs w:val="11"/>
          <w:color w:val="050505"/>
        </w:rPr>
        <w:t>Moreover, volatile economic conditions may make it more likely that our suppliers may be unable to timely deliver supplies, or at all, and there is no guarantee that we will be able to timely locate alternative suppliers of comparable quality at an acceptable price. Further, since the beginning of 2018, there has been increasing rhetoric, in some cases coupled with legislative or executive action, from several U.S. and foreign leaders regarding tariffs against foreign imports of certain materials. Several of the components that go into the manufacturing of our Connected Fitness Products are sourced internationally, including from China, where the United States has imposed tariffs on specified products imported therefrom following the U.S. Trade Representative Section 301 Investigation. These tariffs have an impact on our component costs and have the potential to have an even greater impact depending on the outcome of the current trade negotiations, which have been protracted and recently resulted in increases in U.S. tariff rates on specified products from China. Increases in our component costs could have a material effect on our gross margins. The loss of a significant supplier, an increase in component costs, or delays or disruptions in the delivery of components, could adversely impact our ability to generate future revenue and earnings and have an adverse effect on our business, financial condition, and operating results.</w:t>
      </w:r>
    </w:p>
    <w:p>
      <w:pPr>
        <w:spacing w:after="0" w:line="134" w:lineRule="exact"/>
        <w:rPr>
          <w:sz w:val="20"/>
          <w:szCs w:val="20"/>
          <w:color w:val="auto"/>
        </w:rPr>
      </w:pPr>
    </w:p>
    <w:p>
      <w:pPr>
        <w:jc w:val="both"/>
        <w:ind w:left="2060" w:right="839"/>
        <w:spacing w:after="0" w:line="268" w:lineRule="auto"/>
        <w:rPr>
          <w:sz w:val="20"/>
          <w:szCs w:val="20"/>
          <w:color w:val="auto"/>
        </w:rPr>
      </w:pPr>
      <w:r>
        <w:rPr>
          <w:rFonts w:ascii="Arial" w:cs="Arial" w:eastAsia="Arial" w:hAnsi="Arial"/>
          <w:sz w:val="11"/>
          <w:szCs w:val="11"/>
          <w:b w:val="1"/>
          <w:bCs w:val="1"/>
          <w:i w:val="1"/>
          <w:iCs w:val="1"/>
          <w:color w:val="050505"/>
        </w:rPr>
        <w:t>Any major disruption or failure of our information technology systems or websites, or our failure to successfully implement upgrades and new technology effectively, could adversely affect our business and operations.</w:t>
      </w:r>
    </w:p>
    <w:p>
      <w:pPr>
        <w:spacing w:after="0" w:line="126" w:lineRule="exact"/>
        <w:rPr>
          <w:sz w:val="20"/>
          <w:szCs w:val="20"/>
          <w:color w:val="auto"/>
        </w:rPr>
      </w:pPr>
    </w:p>
    <w:p>
      <w:pPr>
        <w:jc w:val="both"/>
        <w:ind w:left="2060" w:right="839"/>
        <w:spacing w:after="0"/>
        <w:rPr>
          <w:sz w:val="20"/>
          <w:szCs w:val="20"/>
          <w:color w:val="auto"/>
        </w:rPr>
      </w:pPr>
      <w:r>
        <w:rPr>
          <w:rFonts w:ascii="Arial" w:cs="Arial" w:eastAsia="Arial" w:hAnsi="Arial"/>
          <w:sz w:val="11"/>
          <w:szCs w:val="11"/>
          <w:color w:val="050505"/>
        </w:rPr>
        <w:t>Certain of our information technology systems are designed and maintained by us and are critical for the efficient functioning of our business, including the manufacture and distribution of our Connected Fitness Products, online sales of our Connected Fitness Products, and the ability of our Members to access content on our platform. Our rapid growth has, in certain instances, strained these systems. As we grow, we continue to implement modifications and upgrades to our systems, and these activities subject us to inherent costs and risks associated with replacing and upgrading these systems, including, but not limited to, impairment of our ability to fulfill customer orders and other disruptions in our business operations. Further, our system implementations may not result in productivity improvements at a level that outweighs the costs of implementation, or at all. If we fail to successfully implement modifications and upgrades or expand the functionality of our information technology systems, we could experience increased costs associated with diminished productivity and operating inefficiencies related to the flow of goods through our supply chain.</w:t>
      </w:r>
    </w:p>
    <w:p>
      <w:pPr>
        <w:spacing w:after="0" w:line="141" w:lineRule="exact"/>
        <w:rPr>
          <w:sz w:val="20"/>
          <w:szCs w:val="20"/>
          <w:color w:val="auto"/>
        </w:rPr>
      </w:pPr>
    </w:p>
    <w:p>
      <w:pPr>
        <w:jc w:val="both"/>
        <w:ind w:left="2060" w:right="839"/>
        <w:spacing w:after="0" w:line="242" w:lineRule="auto"/>
        <w:rPr>
          <w:sz w:val="20"/>
          <w:szCs w:val="20"/>
          <w:color w:val="auto"/>
        </w:rPr>
      </w:pPr>
      <w:r>
        <w:rPr>
          <w:rFonts w:ascii="Arial" w:cs="Arial" w:eastAsia="Arial" w:hAnsi="Arial"/>
          <w:sz w:val="11"/>
          <w:szCs w:val="11"/>
          <w:color w:val="050505"/>
        </w:rPr>
        <w:t>In addition, any unexpected technological interruptions to our systems or websites would disrupt our operations, including our ability to timely ship and track product orders, project inventory requirements, manage our supply chain, sell our Connected Fitness Products online, provide services to our Members, and otherwise adequately serve our Members.</w:t>
      </w:r>
    </w:p>
    <w:p>
      <w:pPr>
        <w:spacing w:after="0" w:line="140" w:lineRule="exact"/>
        <w:rPr>
          <w:sz w:val="20"/>
          <w:szCs w:val="20"/>
          <w:color w:val="auto"/>
        </w:rPr>
      </w:pPr>
    </w:p>
    <w:p>
      <w:pPr>
        <w:jc w:val="both"/>
        <w:ind w:left="2060" w:right="839"/>
        <w:spacing w:after="0" w:line="241" w:lineRule="auto"/>
        <w:rPr>
          <w:sz w:val="20"/>
          <w:szCs w:val="20"/>
          <w:color w:val="auto"/>
        </w:rPr>
      </w:pPr>
      <w:r>
        <w:rPr>
          <w:rFonts w:ascii="Arial" w:cs="Arial" w:eastAsia="Arial" w:hAnsi="Arial"/>
          <w:sz w:val="11"/>
          <w:szCs w:val="11"/>
          <w:color w:val="050505"/>
        </w:rPr>
        <w:t>Online sales of our Connected Fitness Products through www.onepeloton.com represented over 50% of our units sold in the U.S. for fiscal 2019. The operation of our direct to consumer e-commerce business through our website depends on our ability to maintain the efficient and uninterrupted operation of online order-taking and fulfillment operations. Any system interruptions or delays could prevent potential customers from purchasing our Connected Fitness Products.</w:t>
      </w:r>
    </w:p>
    <w:p>
      <w:pPr>
        <w:spacing w:after="0" w:line="95" w:lineRule="exact"/>
        <w:rPr>
          <w:sz w:val="20"/>
          <w:szCs w:val="20"/>
          <w:color w:val="auto"/>
        </w:rPr>
      </w:pPr>
    </w:p>
    <w:p>
      <w:pPr>
        <w:ind w:left="5680"/>
        <w:spacing w:after="0"/>
        <w:rPr>
          <w:sz w:val="20"/>
          <w:szCs w:val="20"/>
          <w:color w:val="auto"/>
        </w:rPr>
      </w:pPr>
      <w:r>
        <w:rPr>
          <w:rFonts w:ascii="Arial" w:cs="Arial" w:eastAsia="Arial" w:hAnsi="Arial"/>
          <w:sz w:val="11"/>
          <w:szCs w:val="11"/>
          <w:color w:val="050505"/>
        </w:rPr>
        <w:t>25</w:t>
      </w:r>
    </w:p>
    <w:p>
      <w:pPr>
        <w:sectPr>
          <w:pgSz w:w="11900" w:h="16838" w:orient="portrait"/>
          <w:cols w:equalWidth="0" w:num="1">
            <w:col w:w="10239"/>
          </w:cols>
          <w:pgMar w:left="220" w:top="354" w:right="1440" w:bottom="1440" w:gutter="0" w:footer="0" w:header="0"/>
        </w:sectPr>
      </w:pPr>
    </w:p>
    <w:bookmarkStart w:id="30" w:name="page31"/>
    <w:bookmarkEnd w:id="30"/>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hyperlink w:anchor="page5">
        <w:r>
          <w:rPr>
            <w:rFonts w:ascii="Arial" w:cs="Arial" w:eastAsia="Arial" w:hAnsi="Arial"/>
            <w:sz w:val="12"/>
            <w:szCs w:val="12"/>
            <w:b w:val="1"/>
            <w:bCs w:val="1"/>
            <w:u w:val="single" w:color="auto"/>
            <w:color w:val="0000EE"/>
          </w:rPr>
          <w:t>Table of Contents</w:t>
        </w:r>
      </w:hyperlink>
    </w:p>
    <w:p>
      <w:pPr>
        <w:spacing w:after="0" w:line="216" w:lineRule="exact"/>
        <w:rPr>
          <w:sz w:val="20"/>
          <w:szCs w:val="20"/>
          <w:color w:val="auto"/>
        </w:rPr>
      </w:pPr>
    </w:p>
    <w:p>
      <w:pPr>
        <w:jc w:val="both"/>
        <w:ind w:left="2060" w:right="839"/>
        <w:spacing w:after="0"/>
        <w:rPr>
          <w:sz w:val="20"/>
          <w:szCs w:val="20"/>
          <w:color w:val="auto"/>
        </w:rPr>
      </w:pPr>
      <w:r>
        <w:rPr>
          <w:rFonts w:ascii="Arial" w:cs="Arial" w:eastAsia="Arial" w:hAnsi="Arial"/>
          <w:sz w:val="11"/>
          <w:szCs w:val="11"/>
          <w:color w:val="050505"/>
        </w:rPr>
        <w:t>Moreover, the ability of our Members to access the content on our platform could be diminished by a number of factors, including Members’ inability to access the internet, the failure of our network or software systems, security breaches, or variability in Member traffic for our platform. Platform failures would be most impactful if they occurred during peak platform use periods, which generally occur before and after standard work hours. During these peak periods, there are a significant number of Members concurrently accessing our platform and if we are unable to provide uninterrupted access, our Members’ perception of our platform’s reliability may be damaged, our revenue could be reduced, our reputation could be harmed, and we may be required to issue credits or refunds, or risk losing Members.</w:t>
      </w:r>
    </w:p>
    <w:p>
      <w:pPr>
        <w:spacing w:after="0" w:line="142" w:lineRule="exact"/>
        <w:rPr>
          <w:sz w:val="20"/>
          <w:szCs w:val="20"/>
          <w:color w:val="auto"/>
        </w:rPr>
      </w:pPr>
    </w:p>
    <w:p>
      <w:pPr>
        <w:jc w:val="both"/>
        <w:ind w:left="2060" w:right="839"/>
        <w:spacing w:after="0" w:line="245" w:lineRule="auto"/>
        <w:rPr>
          <w:sz w:val="20"/>
          <w:szCs w:val="20"/>
          <w:color w:val="auto"/>
        </w:rPr>
      </w:pPr>
      <w:r>
        <w:rPr>
          <w:rFonts w:ascii="Arial" w:cs="Arial" w:eastAsia="Arial" w:hAnsi="Arial"/>
          <w:sz w:val="11"/>
          <w:szCs w:val="11"/>
          <w:color w:val="050505"/>
        </w:rPr>
        <w:t>In the event we experience significant disruptions, we may be unable to repair our systems in an efficient and timely manner which could have a material adverse effect on our business, financial condition, and operating results.</w:t>
      </w:r>
    </w:p>
    <w:p>
      <w:pPr>
        <w:spacing w:after="0" w:line="126" w:lineRule="exact"/>
        <w:rPr>
          <w:sz w:val="20"/>
          <w:szCs w:val="20"/>
          <w:color w:val="auto"/>
        </w:rPr>
      </w:pPr>
    </w:p>
    <w:p>
      <w:pPr>
        <w:jc w:val="both"/>
        <w:ind w:left="2060" w:right="839"/>
        <w:spacing w:after="0" w:line="268" w:lineRule="auto"/>
        <w:rPr>
          <w:sz w:val="20"/>
          <w:szCs w:val="20"/>
          <w:color w:val="auto"/>
        </w:rPr>
      </w:pPr>
      <w:r>
        <w:rPr>
          <w:rFonts w:ascii="Arial" w:cs="Arial" w:eastAsia="Arial" w:hAnsi="Arial"/>
          <w:sz w:val="11"/>
          <w:szCs w:val="11"/>
          <w:b w:val="1"/>
          <w:bCs w:val="1"/>
          <w:i w:val="1"/>
          <w:iCs w:val="1"/>
          <w:color w:val="050505"/>
        </w:rPr>
        <w:t>Our operating results could be adversely affected if we are unable to accurately forecast consumer demand for our products and services and adequately manage our inventory.</w:t>
      </w:r>
    </w:p>
    <w:p>
      <w:pPr>
        <w:spacing w:after="0" w:line="126" w:lineRule="exact"/>
        <w:rPr>
          <w:sz w:val="20"/>
          <w:szCs w:val="20"/>
          <w:color w:val="auto"/>
        </w:rPr>
      </w:pPr>
    </w:p>
    <w:p>
      <w:pPr>
        <w:jc w:val="both"/>
        <w:ind w:left="2060" w:right="839"/>
        <w:spacing w:after="0"/>
        <w:rPr>
          <w:sz w:val="20"/>
          <w:szCs w:val="20"/>
          <w:color w:val="auto"/>
        </w:rPr>
      </w:pPr>
      <w:r>
        <w:rPr>
          <w:rFonts w:ascii="Arial" w:cs="Arial" w:eastAsia="Arial" w:hAnsi="Arial"/>
          <w:sz w:val="11"/>
          <w:szCs w:val="11"/>
          <w:color w:val="050505"/>
        </w:rPr>
        <w:t>To ensure adequate inventory supply, we must forecast inventory needs and expenses and place orders sufficiently in advance with our suppliers and manufacturers, based on our estimates of future demand for particular products and services. Failure to accurately forecast our needs may result in manufacturing delays or increased costs. Our ability to accurately forecast demand could be affected by many factors, including changes in consumer demand for our products and services, changes in demand for the products and services of our competitors, unanticipated changes in general market conditions, and the weakening of economic conditions or consumer confidence in future economic conditions. This risk may be exacerbated by the fact that we may not carry a significant amount of inventory and may not be able to satisfy short-term demand increases. If we fail to accurately forecast consumer demand, we may experience excess inventory levels or a shortage of products available for sale.</w:t>
      </w:r>
    </w:p>
    <w:p>
      <w:pPr>
        <w:spacing w:after="0" w:line="141" w:lineRule="exact"/>
        <w:rPr>
          <w:sz w:val="20"/>
          <w:szCs w:val="20"/>
          <w:color w:val="auto"/>
        </w:rPr>
      </w:pPr>
    </w:p>
    <w:p>
      <w:pPr>
        <w:jc w:val="both"/>
        <w:ind w:left="2060" w:right="839"/>
        <w:spacing w:after="0"/>
        <w:rPr>
          <w:sz w:val="20"/>
          <w:szCs w:val="20"/>
          <w:color w:val="auto"/>
        </w:rPr>
      </w:pPr>
      <w:r>
        <w:rPr>
          <w:rFonts w:ascii="Arial" w:cs="Arial" w:eastAsia="Arial" w:hAnsi="Arial"/>
          <w:sz w:val="11"/>
          <w:szCs w:val="11"/>
          <w:color w:val="050505"/>
        </w:rPr>
        <w:t>Inventory levels in excess of consumer demand may result in inventory write-downs or write-offs and the sale of excess inventory at discounted prices, which would cause our gross margins to suffer and could impair the strength and premium nature of our brand. Further, lower than forecasted demand could also result in excess manufacturing capacity or reduced manufacturing efficiencies, which could result in lower margins. Conversely, if we underestimate consumer demand, our suppliers and manufacturers may not be able to deliver products to meet our requirements or we may be subject to higher costs in order to secure the necessary production capacity. An inability to meet consumer demand and delays in the delivery of our products to our customers could result in reputational harm and damaged customer relationships and have an adverse effect on our business, financial condition, and operating results.</w:t>
      </w:r>
    </w:p>
    <w:p>
      <w:pPr>
        <w:spacing w:after="0" w:line="129" w:lineRule="exact"/>
        <w:rPr>
          <w:sz w:val="20"/>
          <w:szCs w:val="20"/>
          <w:color w:val="auto"/>
        </w:rPr>
      </w:pPr>
    </w:p>
    <w:p>
      <w:pPr>
        <w:ind w:left="2060"/>
        <w:spacing w:after="0"/>
        <w:rPr>
          <w:sz w:val="20"/>
          <w:szCs w:val="20"/>
          <w:color w:val="auto"/>
        </w:rPr>
      </w:pPr>
      <w:r>
        <w:rPr>
          <w:rFonts w:ascii="Arial" w:cs="Arial" w:eastAsia="Arial" w:hAnsi="Arial"/>
          <w:sz w:val="11"/>
          <w:szCs w:val="11"/>
          <w:b w:val="1"/>
          <w:bCs w:val="1"/>
          <w:i w:val="1"/>
          <w:iCs w:val="1"/>
          <w:color w:val="050505"/>
        </w:rPr>
        <w:t>If we are unable to sustain pricing levels for our Connected Fitness Products and subscriptions, our business could be adversely affected.</w:t>
      </w:r>
    </w:p>
    <w:p>
      <w:pPr>
        <w:spacing w:after="0" w:line="156" w:lineRule="exact"/>
        <w:rPr>
          <w:sz w:val="20"/>
          <w:szCs w:val="20"/>
          <w:color w:val="auto"/>
        </w:rPr>
      </w:pPr>
    </w:p>
    <w:p>
      <w:pPr>
        <w:jc w:val="both"/>
        <w:ind w:left="2060" w:right="839"/>
        <w:spacing w:after="0" w:line="278" w:lineRule="auto"/>
        <w:rPr>
          <w:sz w:val="20"/>
          <w:szCs w:val="20"/>
          <w:color w:val="auto"/>
        </w:rPr>
      </w:pPr>
      <w:r>
        <w:rPr>
          <w:rFonts w:ascii="Arial" w:cs="Arial" w:eastAsia="Arial" w:hAnsi="Arial"/>
          <w:sz w:val="10"/>
          <w:szCs w:val="10"/>
          <w:color w:val="050505"/>
        </w:rPr>
        <w:t>If we are unable to sustain pricing levels for our Bike, Tread, and subscription services, whether due to competitive pressure or otherwise, our gross margins could be significantly reduced. Further, our decisions around the development of new products and services are grounded in assumptions about eventual pricing levels. If there is price compression in the market after these decisions are made, it could have a negative effect on our business.</w:t>
      </w:r>
    </w:p>
    <w:p>
      <w:pPr>
        <w:spacing w:after="0" w:line="111" w:lineRule="exact"/>
        <w:rPr>
          <w:sz w:val="20"/>
          <w:szCs w:val="20"/>
          <w:color w:val="auto"/>
        </w:rPr>
      </w:pPr>
    </w:p>
    <w:p>
      <w:pPr>
        <w:ind w:left="2060"/>
        <w:spacing w:after="0"/>
        <w:rPr>
          <w:sz w:val="20"/>
          <w:szCs w:val="20"/>
          <w:color w:val="auto"/>
        </w:rPr>
      </w:pPr>
      <w:r>
        <w:rPr>
          <w:rFonts w:ascii="Arial" w:cs="Arial" w:eastAsia="Arial" w:hAnsi="Arial"/>
          <w:sz w:val="11"/>
          <w:szCs w:val="11"/>
          <w:b w:val="1"/>
          <w:bCs w:val="1"/>
          <w:i w:val="1"/>
          <w:iCs w:val="1"/>
          <w:color w:val="auto"/>
        </w:rPr>
        <w:t>Our revenue could decline due to changes in credit markets and decisions made by credit providers.</w:t>
      </w:r>
    </w:p>
    <w:p>
      <w:pPr>
        <w:spacing w:after="0" w:line="156" w:lineRule="exact"/>
        <w:rPr>
          <w:sz w:val="20"/>
          <w:szCs w:val="20"/>
          <w:color w:val="auto"/>
        </w:rPr>
      </w:pPr>
    </w:p>
    <w:p>
      <w:pPr>
        <w:jc w:val="both"/>
        <w:ind w:left="2060" w:right="839"/>
        <w:spacing w:after="0" w:line="267" w:lineRule="auto"/>
        <w:rPr>
          <w:sz w:val="20"/>
          <w:szCs w:val="20"/>
          <w:color w:val="auto"/>
        </w:rPr>
      </w:pPr>
      <w:r>
        <w:rPr>
          <w:rFonts w:ascii="Arial" w:cs="Arial" w:eastAsia="Arial" w:hAnsi="Arial"/>
          <w:sz w:val="10"/>
          <w:szCs w:val="10"/>
          <w:color w:val="050505"/>
        </w:rPr>
        <w:t>Historically, a majority of our customers have financed their purchase of our Connected Fitness Products through third-party credit providers with whom we have existing relationships. If we are unable to maintain our relationships with our financing partners, there is no guarantee that we will be able to find replacement partners who will provide our customers with financing on similar terms, and our ability to sell our Connected Fitness Products may be adversely affected. Further, reductions in consumer lending and the availability of consumer credit could limit the number of customers with the financial means to purchase our products. Higher interest rates could increase our costs or the monthly payments for consumer products financed through other sources of consumer financing. In the future, we cannot be assured that third-party financing providers will continue to provide consumers with access to credit or that available credit limits will not be reduced. Such restrictions or reductions in the availability of consumer credit, or the loss of our relationship with our current financing partners, could have an adverse effect on our business, financial conditions, and operating results.</w:t>
      </w:r>
    </w:p>
    <w:p>
      <w:pPr>
        <w:spacing w:after="0" w:line="84" w:lineRule="exact"/>
        <w:rPr>
          <w:sz w:val="20"/>
          <w:szCs w:val="20"/>
          <w:color w:val="auto"/>
        </w:rPr>
      </w:pPr>
    </w:p>
    <w:p>
      <w:pPr>
        <w:ind w:left="5680"/>
        <w:spacing w:after="0"/>
        <w:rPr>
          <w:sz w:val="20"/>
          <w:szCs w:val="20"/>
          <w:color w:val="auto"/>
        </w:rPr>
      </w:pPr>
      <w:r>
        <w:rPr>
          <w:rFonts w:ascii="Arial" w:cs="Arial" w:eastAsia="Arial" w:hAnsi="Arial"/>
          <w:sz w:val="11"/>
          <w:szCs w:val="11"/>
          <w:color w:val="050505"/>
        </w:rPr>
        <w:t>26</w:t>
      </w:r>
    </w:p>
    <w:p>
      <w:pPr>
        <w:sectPr>
          <w:pgSz w:w="11900" w:h="16838" w:orient="portrait"/>
          <w:cols w:equalWidth="0" w:num="1">
            <w:col w:w="10239"/>
          </w:cols>
          <w:pgMar w:left="220" w:top="354" w:right="1440" w:bottom="1440" w:gutter="0" w:footer="0" w:header="0"/>
        </w:sectPr>
      </w:pPr>
    </w:p>
    <w:bookmarkStart w:id="31" w:name="page32"/>
    <w:bookmarkEnd w:id="31"/>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hyperlink w:anchor="page5">
        <w:r>
          <w:rPr>
            <w:rFonts w:ascii="Arial" w:cs="Arial" w:eastAsia="Arial" w:hAnsi="Arial"/>
            <w:sz w:val="12"/>
            <w:szCs w:val="12"/>
            <w:b w:val="1"/>
            <w:bCs w:val="1"/>
            <w:u w:val="single" w:color="auto"/>
            <w:color w:val="0000EE"/>
          </w:rPr>
          <w:t>Table of Contents</w:t>
        </w:r>
      </w:hyperlink>
    </w:p>
    <w:p>
      <w:pPr>
        <w:spacing w:after="0" w:line="204" w:lineRule="exact"/>
        <w:rPr>
          <w:sz w:val="20"/>
          <w:szCs w:val="20"/>
          <w:color w:val="auto"/>
        </w:rPr>
      </w:pPr>
    </w:p>
    <w:p>
      <w:pPr>
        <w:jc w:val="both"/>
        <w:ind w:left="2060" w:right="839"/>
        <w:spacing w:after="0" w:line="268" w:lineRule="auto"/>
        <w:rPr>
          <w:sz w:val="20"/>
          <w:szCs w:val="20"/>
          <w:color w:val="auto"/>
        </w:rPr>
      </w:pPr>
      <w:r>
        <w:rPr>
          <w:rFonts w:ascii="Arial" w:cs="Arial" w:eastAsia="Arial" w:hAnsi="Arial"/>
          <w:sz w:val="11"/>
          <w:szCs w:val="11"/>
          <w:b w:val="1"/>
          <w:bCs w:val="1"/>
          <w:i w:val="1"/>
          <w:iCs w:val="1"/>
          <w:color w:val="050505"/>
        </w:rPr>
        <w:t>Our future success depends on the continuing efforts of our key employees and our ability to attract and retain highly skilled personnel and senior management.</w:t>
      </w:r>
    </w:p>
    <w:p>
      <w:pPr>
        <w:spacing w:after="0" w:line="126" w:lineRule="exact"/>
        <w:rPr>
          <w:sz w:val="20"/>
          <w:szCs w:val="20"/>
          <w:color w:val="auto"/>
        </w:rPr>
      </w:pPr>
    </w:p>
    <w:p>
      <w:pPr>
        <w:jc w:val="both"/>
        <w:ind w:left="2060" w:right="839"/>
        <w:spacing w:after="0"/>
        <w:rPr>
          <w:sz w:val="20"/>
          <w:szCs w:val="20"/>
          <w:color w:val="auto"/>
        </w:rPr>
      </w:pPr>
      <w:r>
        <w:rPr>
          <w:rFonts w:ascii="Arial" w:cs="Arial" w:eastAsia="Arial" w:hAnsi="Arial"/>
          <w:sz w:val="11"/>
          <w:szCs w:val="11"/>
          <w:color w:val="050505"/>
        </w:rPr>
        <w:t>Our future success depends, in part, on our ability to continue to identify, attract, develop, integrate, and retain qualified and highly skilled personnel, including senior management, engineers, producers, designers, product managers, logistics and supply chain personnel, retail managers, and fitness instructors. In particular, we are highly dependent on the services of John Foley, our Chief Executive Officer and co-founder, who is critical to the development of our business, future vision, and strategic direction. We also heavily rely on the continued service and performance of our senior management team, which provides leadership, contributes to the core areas of our business and helps us to efficiently execute our business. Also imperative to our success are our fitness instructors, who we rely on to bring new, exciting, and innovative fitness and wellness content to our platform, and who act as brand ambassadors. If the senior management team, including any new hires that we make, fails to work together effectively and to execute our plans and strategies on a timely basis then our business and future growth prospects could be harmed.</w:t>
      </w:r>
    </w:p>
    <w:p>
      <w:pPr>
        <w:spacing w:after="0" w:line="141" w:lineRule="exact"/>
        <w:rPr>
          <w:sz w:val="20"/>
          <w:szCs w:val="20"/>
          <w:color w:val="auto"/>
        </w:rPr>
      </w:pPr>
    </w:p>
    <w:p>
      <w:pPr>
        <w:jc w:val="both"/>
        <w:ind w:left="2060" w:right="839"/>
        <w:spacing w:after="0" w:line="278" w:lineRule="auto"/>
        <w:rPr>
          <w:sz w:val="20"/>
          <w:szCs w:val="20"/>
          <w:color w:val="auto"/>
        </w:rPr>
      </w:pPr>
      <w:r>
        <w:rPr>
          <w:rFonts w:ascii="Arial" w:cs="Arial" w:eastAsia="Arial" w:hAnsi="Arial"/>
          <w:sz w:val="10"/>
          <w:szCs w:val="10"/>
          <w:color w:val="050505"/>
        </w:rPr>
        <w:t>Additionally, the loss of any key personnel could make it more difficult to manage our operations and research and development activities, reduce our employee retention and revenue, and impair our ability to compete. Although we have entered into employment offer letters with our key personnel, these agreements have no specific duration and constitute at-will employment. We do not maintain key person life insurance policies on any of our employees.</w:t>
      </w:r>
    </w:p>
    <w:p>
      <w:pPr>
        <w:spacing w:after="0" w:line="123" w:lineRule="exact"/>
        <w:rPr>
          <w:sz w:val="20"/>
          <w:szCs w:val="20"/>
          <w:color w:val="auto"/>
        </w:rPr>
      </w:pPr>
    </w:p>
    <w:p>
      <w:pPr>
        <w:jc w:val="both"/>
        <w:ind w:left="2060" w:right="839"/>
        <w:spacing w:after="0"/>
        <w:rPr>
          <w:sz w:val="20"/>
          <w:szCs w:val="20"/>
          <w:color w:val="auto"/>
        </w:rPr>
      </w:pPr>
      <w:r>
        <w:rPr>
          <w:rFonts w:ascii="Arial" w:cs="Arial" w:eastAsia="Arial" w:hAnsi="Arial"/>
          <w:sz w:val="11"/>
          <w:szCs w:val="11"/>
          <w:color w:val="050505"/>
        </w:rPr>
        <w:t>Competition for highly skilled personnel is often intense, especially in New York City, where we have a substantial presence and need for highly skilled personnel. We may not be successful in attracting, integrating, or retaining qualified personnel to fulfill our current or future needs. We have from time to time experienced, and we expect to continue to experience, difficulty in hiring and retaining highly skilled employees with appropriate qualifications. In addition, job candidates and existing employees often consider the value of the equity awards they receive in connection with their employment. If the perceived value of our Class A common stock declines, it may adversely affect our ability to hire or retain highly skilled employees. In addition, we may periodically change our equity compensation practices, which may include reducing the number of employees eligible for equity awards or reducing the size of equity awards granted per employee. If we are unable to attract, integrate, or retain the qualified and highly skilled personnel required to fulfill our current or future needs, our business and future growth prospects could be harmed.</w:t>
      </w:r>
    </w:p>
    <w:p>
      <w:pPr>
        <w:spacing w:after="0" w:line="129" w:lineRule="exact"/>
        <w:rPr>
          <w:sz w:val="20"/>
          <w:szCs w:val="20"/>
          <w:color w:val="auto"/>
        </w:rPr>
      </w:pPr>
    </w:p>
    <w:p>
      <w:pPr>
        <w:jc w:val="both"/>
        <w:ind w:left="2060" w:right="839"/>
        <w:spacing w:after="0" w:line="268" w:lineRule="auto"/>
        <w:rPr>
          <w:sz w:val="20"/>
          <w:szCs w:val="20"/>
          <w:color w:val="auto"/>
        </w:rPr>
      </w:pPr>
      <w:r>
        <w:rPr>
          <w:rFonts w:ascii="Arial" w:cs="Arial" w:eastAsia="Arial" w:hAnsi="Arial"/>
          <w:sz w:val="11"/>
          <w:szCs w:val="11"/>
          <w:b w:val="1"/>
          <w:bCs w:val="1"/>
          <w:i w:val="1"/>
          <w:iCs w:val="1"/>
          <w:color w:val="050505"/>
        </w:rPr>
        <w:t>If we cannot maintain our “One Peloton” culture as we grow, we could lose the innovation, teamwork, and passion that we believe contribute to our success and our business may be harmed.</w:t>
      </w:r>
    </w:p>
    <w:p>
      <w:pPr>
        <w:spacing w:after="0" w:line="126" w:lineRule="exact"/>
        <w:rPr>
          <w:sz w:val="20"/>
          <w:szCs w:val="20"/>
          <w:color w:val="auto"/>
        </w:rPr>
      </w:pPr>
    </w:p>
    <w:p>
      <w:pPr>
        <w:jc w:val="both"/>
        <w:ind w:left="2060" w:right="839"/>
        <w:spacing w:after="0"/>
        <w:rPr>
          <w:sz w:val="20"/>
          <w:szCs w:val="20"/>
          <w:color w:val="auto"/>
        </w:rPr>
      </w:pPr>
      <w:r>
        <w:rPr>
          <w:rFonts w:ascii="Arial" w:cs="Arial" w:eastAsia="Arial" w:hAnsi="Arial"/>
          <w:sz w:val="11"/>
          <w:szCs w:val="11"/>
          <w:color w:val="050505"/>
        </w:rPr>
        <w:t>We believe that a critical component of our success has been our corporate culture. We have invested substantial time and resources in building our “One Peloton” culture, which is based on the idea that if we work together, we will be more efficient and perform better because of one another. As we continue to grow, including geographically expanding our presence outside of our headquarters in New York City, and developing the infrastructure associated with being a public company, we will need to maintain our “One Peloton” culture among a larger number of employees, dispersed across various geographic regions. Any failure to preserve our culture could negatively affect our future success, including our ability to retain and recruit personnel and to effectively focus on and pursue our corporate objectives.</w:t>
      </w:r>
    </w:p>
    <w:p>
      <w:pPr>
        <w:spacing w:after="0" w:line="130" w:lineRule="exact"/>
        <w:rPr>
          <w:sz w:val="20"/>
          <w:szCs w:val="20"/>
          <w:color w:val="auto"/>
        </w:rPr>
      </w:pPr>
    </w:p>
    <w:p>
      <w:pPr>
        <w:jc w:val="both"/>
        <w:ind w:left="2060" w:right="839"/>
        <w:spacing w:after="0" w:line="268" w:lineRule="auto"/>
        <w:rPr>
          <w:sz w:val="20"/>
          <w:szCs w:val="20"/>
          <w:color w:val="auto"/>
        </w:rPr>
      </w:pPr>
      <w:r>
        <w:rPr>
          <w:rFonts w:ascii="Arial" w:cs="Arial" w:eastAsia="Arial" w:hAnsi="Arial"/>
          <w:sz w:val="11"/>
          <w:szCs w:val="11"/>
          <w:b w:val="1"/>
          <w:bCs w:val="1"/>
          <w:i w:val="1"/>
          <w:iCs w:val="1"/>
          <w:color w:val="050505"/>
        </w:rPr>
        <w:t>We have a limited operating history with which to evaluate and predict the profitability of our subscription model. Additionally, we may introduce new revenue models in the future.</w:t>
      </w:r>
    </w:p>
    <w:p>
      <w:pPr>
        <w:spacing w:after="0" w:line="126" w:lineRule="exact"/>
        <w:rPr>
          <w:sz w:val="20"/>
          <w:szCs w:val="20"/>
          <w:color w:val="auto"/>
        </w:rPr>
      </w:pPr>
    </w:p>
    <w:p>
      <w:pPr>
        <w:jc w:val="both"/>
        <w:ind w:left="2060" w:right="839"/>
        <w:spacing w:after="0"/>
        <w:rPr>
          <w:sz w:val="20"/>
          <w:szCs w:val="20"/>
          <w:color w:val="auto"/>
        </w:rPr>
      </w:pPr>
      <w:r>
        <w:rPr>
          <w:rFonts w:ascii="Arial" w:cs="Arial" w:eastAsia="Arial" w:hAnsi="Arial"/>
          <w:sz w:val="11"/>
          <w:szCs w:val="11"/>
          <w:color w:val="050505"/>
        </w:rPr>
        <w:t>The majority of our Subscribers are on month-to-month subscription terms and may cancel their subscriptions at any time. We have limited historical data with respect to rates of Subscriber subscription renewals, so we may be unable to accurately predict customer renewal rates. Additionally, prior renewal rates may not accurately predict future Subscriber renewal rates for a variety of reasons, such as Subscribers’ dissatisfaction with our offerings and the cost of our subscriptions, macroeconomic conditions, or new offering introductions by us or our competitors. If our Subscribers do not renew their subscriptions, our revenue may decline and our business will suffer.</w:t>
      </w:r>
    </w:p>
    <w:p>
      <w:pPr>
        <w:spacing w:after="0" w:line="142" w:lineRule="exact"/>
        <w:rPr>
          <w:sz w:val="20"/>
          <w:szCs w:val="20"/>
          <w:color w:val="auto"/>
        </w:rPr>
      </w:pPr>
    </w:p>
    <w:p>
      <w:pPr>
        <w:jc w:val="both"/>
        <w:ind w:left="2060" w:right="839"/>
        <w:spacing w:after="0" w:line="241" w:lineRule="auto"/>
        <w:rPr>
          <w:sz w:val="20"/>
          <w:szCs w:val="20"/>
          <w:color w:val="auto"/>
        </w:rPr>
      </w:pPr>
      <w:r>
        <w:rPr>
          <w:rFonts w:ascii="Arial" w:cs="Arial" w:eastAsia="Arial" w:hAnsi="Arial"/>
          <w:sz w:val="11"/>
          <w:szCs w:val="11"/>
          <w:color w:val="050505"/>
        </w:rPr>
        <w:t>Furthermore, in the future, we may offer new subscription products, implement promotions, or replace or modify current subscription models, any of which could result in additional costs. It is unknown how our Subscribers will react to new models and whether the costs or logistics of implementing these models will adversely impact our business. If the adoption of new revenue models adversely impacts our Subscriber relationships, then Subscriber growth, Subscriber engagement, and our business, financial condition, and operating results could be harmed.</w:t>
      </w:r>
    </w:p>
    <w:p>
      <w:pPr>
        <w:spacing w:after="0" w:line="95" w:lineRule="exact"/>
        <w:rPr>
          <w:sz w:val="20"/>
          <w:szCs w:val="20"/>
          <w:color w:val="auto"/>
        </w:rPr>
      </w:pPr>
    </w:p>
    <w:p>
      <w:pPr>
        <w:ind w:left="5680"/>
        <w:spacing w:after="0"/>
        <w:rPr>
          <w:sz w:val="20"/>
          <w:szCs w:val="20"/>
          <w:color w:val="auto"/>
        </w:rPr>
      </w:pPr>
      <w:r>
        <w:rPr>
          <w:rFonts w:ascii="Arial" w:cs="Arial" w:eastAsia="Arial" w:hAnsi="Arial"/>
          <w:sz w:val="11"/>
          <w:szCs w:val="11"/>
          <w:color w:val="050505"/>
        </w:rPr>
        <w:t>27</w:t>
      </w:r>
    </w:p>
    <w:p>
      <w:pPr>
        <w:sectPr>
          <w:pgSz w:w="11900" w:h="16838" w:orient="portrait"/>
          <w:cols w:equalWidth="0" w:num="1">
            <w:col w:w="10239"/>
          </w:cols>
          <w:pgMar w:left="220" w:top="354" w:right="1440" w:bottom="1440" w:gutter="0" w:footer="0" w:header="0"/>
        </w:sectPr>
      </w:pPr>
    </w:p>
    <w:bookmarkStart w:id="32" w:name="page33"/>
    <w:bookmarkEnd w:id="32"/>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hyperlink w:anchor="page5">
        <w:r>
          <w:rPr>
            <w:rFonts w:ascii="Arial" w:cs="Arial" w:eastAsia="Arial" w:hAnsi="Arial"/>
            <w:sz w:val="12"/>
            <w:szCs w:val="12"/>
            <w:b w:val="1"/>
            <w:bCs w:val="1"/>
            <w:u w:val="single" w:color="auto"/>
            <w:color w:val="0000EE"/>
          </w:rPr>
          <w:t>Table of Contents</w:t>
        </w:r>
      </w:hyperlink>
    </w:p>
    <w:p>
      <w:pPr>
        <w:spacing w:after="0" w:line="204" w:lineRule="exact"/>
        <w:rPr>
          <w:sz w:val="20"/>
          <w:szCs w:val="20"/>
          <w:color w:val="auto"/>
        </w:rPr>
      </w:pPr>
    </w:p>
    <w:p>
      <w:pPr>
        <w:ind w:left="2060"/>
        <w:spacing w:after="0"/>
        <w:rPr>
          <w:sz w:val="20"/>
          <w:szCs w:val="20"/>
          <w:color w:val="auto"/>
        </w:rPr>
      </w:pPr>
      <w:r>
        <w:rPr>
          <w:rFonts w:ascii="Arial" w:cs="Arial" w:eastAsia="Arial" w:hAnsi="Arial"/>
          <w:sz w:val="11"/>
          <w:szCs w:val="11"/>
          <w:b w:val="1"/>
          <w:bCs w:val="1"/>
          <w:i w:val="1"/>
          <w:iCs w:val="1"/>
          <w:color w:val="050505"/>
        </w:rPr>
        <w:t>Our intellectual property rights are valuable, and any inability to protect them could reduce the value of our products, services, and brand.</w:t>
      </w:r>
    </w:p>
    <w:p>
      <w:pPr>
        <w:spacing w:after="0" w:line="156" w:lineRule="exact"/>
        <w:rPr>
          <w:sz w:val="20"/>
          <w:szCs w:val="20"/>
          <w:color w:val="auto"/>
        </w:rPr>
      </w:pPr>
    </w:p>
    <w:p>
      <w:pPr>
        <w:jc w:val="both"/>
        <w:ind w:left="2060" w:right="839"/>
        <w:spacing w:after="0"/>
        <w:rPr>
          <w:sz w:val="20"/>
          <w:szCs w:val="20"/>
          <w:color w:val="auto"/>
        </w:rPr>
      </w:pPr>
      <w:r>
        <w:rPr>
          <w:rFonts w:ascii="Arial" w:cs="Arial" w:eastAsia="Arial" w:hAnsi="Arial"/>
          <w:sz w:val="11"/>
          <w:szCs w:val="11"/>
          <w:color w:val="050505"/>
        </w:rPr>
        <w:t>Our success depends in large part on our proprietary technology and our patents, trade secrets, trademarks, and other intellectual property rights. We rely on, and expect to continue to rely on, a combination of trademark, trade dress, domain name, copyright, trade secret and patent laws, as well as confidentiality and license agreements with our employees, contractors, consultants, and third parties with whom we have relationships, to establish and protect our brand and other intellectual property rights. However, our efforts to protect our intellectual property rights may not be sufficient or effective, and any of our intellectual property rights may be challenged, which could result in them being narrowed in scope or declared invalid or unenforceable. There can be no assurance that our intellectual property rights will be sufficient to protect against others offering products, services, or technologies that are substantially similar to ours and that compete with our business.</w:t>
      </w:r>
    </w:p>
    <w:p>
      <w:pPr>
        <w:spacing w:after="0" w:line="141" w:lineRule="exact"/>
        <w:rPr>
          <w:sz w:val="20"/>
          <w:szCs w:val="20"/>
          <w:color w:val="auto"/>
        </w:rPr>
      </w:pPr>
    </w:p>
    <w:p>
      <w:pPr>
        <w:jc w:val="both"/>
        <w:ind w:left="2060" w:right="839"/>
        <w:spacing w:after="0"/>
        <w:rPr>
          <w:sz w:val="20"/>
          <w:szCs w:val="20"/>
          <w:color w:val="auto"/>
        </w:rPr>
      </w:pPr>
      <w:r>
        <w:rPr>
          <w:rFonts w:ascii="Arial" w:cs="Arial" w:eastAsia="Arial" w:hAnsi="Arial"/>
          <w:sz w:val="11"/>
          <w:szCs w:val="11"/>
          <w:color w:val="050505"/>
        </w:rPr>
        <w:t>Effective protection of patents, trademarks, and domain names is expensive and difficult to maintain, both in terms of application and registration costs as well as the costs of defending and enforcing those rights. As we have grown, we have sought to obtain and protect our intellectual property rights in an increasing number of countries, a process that can be expensive and may not always be successful. For example, the U.S. Patent and Trademark Office and various foreign governmental patent agencies require compliance with a number of procedural requirements to complete the patent application process and to maintain issued patents, and noncompliance or non-payment could result in abandonment or lapse of a patent or patent application, resulting in partial or complete loss of patent rights in a relevant jurisdiction. Further, intellectual property protection may not be available to us in every country in which our products and services are available. For example, some foreign countries have compulsory licensing laws under which a patent owner must grant licenses to third parties. In addition, many countries limit the enforceability of patents against certain third parties, including government agencies or government contractors. In these countries, patents may provide limited or no benefit.</w:t>
      </w:r>
    </w:p>
    <w:p>
      <w:pPr>
        <w:spacing w:after="0" w:line="141" w:lineRule="exact"/>
        <w:rPr>
          <w:sz w:val="20"/>
          <w:szCs w:val="20"/>
          <w:color w:val="auto"/>
        </w:rPr>
      </w:pPr>
    </w:p>
    <w:p>
      <w:pPr>
        <w:jc w:val="both"/>
        <w:ind w:left="2060" w:right="839"/>
        <w:spacing w:after="0"/>
        <w:rPr>
          <w:sz w:val="20"/>
          <w:szCs w:val="20"/>
          <w:color w:val="auto"/>
        </w:rPr>
      </w:pPr>
      <w:r>
        <w:rPr>
          <w:rFonts w:ascii="Arial" w:cs="Arial" w:eastAsia="Arial" w:hAnsi="Arial"/>
          <w:sz w:val="11"/>
          <w:szCs w:val="11"/>
          <w:color w:val="050505"/>
        </w:rPr>
        <w:t>In order to protect our brand and intellectual property rights, we may be required to spend significant resources to monitor and protect these rights. Litigation brought to protect and enforce our intellectual property rights could be costly, time-consuming, and distracting to management and could result in the impairment or loss of portions of our intellectual property. Furthermore, our efforts to enforce our intellectual property rights may be met with defenses, counterclaims, and countersuits attacking the validity and enforceability of our intellectual property rights. Accordingly, we may not be able to prevent third parties from infringing upon or misappropriating our intellectual property. Our failure to secure, protect, and enforce our intellectual property rights could seriously damage our brand and our business.</w:t>
      </w:r>
    </w:p>
    <w:p>
      <w:pPr>
        <w:spacing w:after="0" w:line="130" w:lineRule="exact"/>
        <w:rPr>
          <w:sz w:val="20"/>
          <w:szCs w:val="20"/>
          <w:color w:val="auto"/>
        </w:rPr>
      </w:pPr>
    </w:p>
    <w:p>
      <w:pPr>
        <w:ind w:left="2060"/>
        <w:spacing w:after="0"/>
        <w:rPr>
          <w:sz w:val="20"/>
          <w:szCs w:val="20"/>
          <w:color w:val="auto"/>
        </w:rPr>
      </w:pPr>
      <w:r>
        <w:rPr>
          <w:rFonts w:ascii="Arial" w:cs="Arial" w:eastAsia="Arial" w:hAnsi="Arial"/>
          <w:sz w:val="11"/>
          <w:szCs w:val="11"/>
          <w:b w:val="1"/>
          <w:bCs w:val="1"/>
          <w:i w:val="1"/>
          <w:iCs w:val="1"/>
          <w:color w:val="050505"/>
        </w:rPr>
        <w:t>We have been, and in the future may be, sued by third parties for alleged infringement of their proprietary rights.</w:t>
      </w:r>
    </w:p>
    <w:p>
      <w:pPr>
        <w:spacing w:after="0" w:line="156" w:lineRule="exact"/>
        <w:rPr>
          <w:sz w:val="20"/>
          <w:szCs w:val="20"/>
          <w:color w:val="auto"/>
        </w:rPr>
      </w:pPr>
    </w:p>
    <w:p>
      <w:pPr>
        <w:jc w:val="both"/>
        <w:ind w:left="2060" w:right="839"/>
        <w:spacing w:after="0" w:line="239" w:lineRule="auto"/>
        <w:rPr>
          <w:sz w:val="20"/>
          <w:szCs w:val="20"/>
          <w:color w:val="auto"/>
        </w:rPr>
      </w:pPr>
      <w:r>
        <w:rPr>
          <w:rFonts w:ascii="Arial" w:cs="Arial" w:eastAsia="Arial" w:hAnsi="Arial"/>
          <w:sz w:val="11"/>
          <w:szCs w:val="11"/>
          <w:color w:val="050505"/>
        </w:rPr>
        <w:t>There is considerable patent and other intellectual property development activity in our market, and litigation, based on allegations of infringement or other violations of intellectual property, is frequent in the fitness and technology industries. Furthermore, it is common for individuals and groups to purchase patents and other intellectual property assets for the purpose of making claims of infringement to extract settlements from companies like ours. Our use of third-party content, including music content, software, and other intellectual property rights may be subject to claims of infringement or misappropriation. We cannot guarantee that our internally developed or acquired technologies and content do not or will not infringe the intellectual property rights of others. From time to time, our competitors or other third parties may claim that we are infringing upon or misappropriating their intellectual property rights, and we may be found to be infringing upon such rights. Any claims or litigation could cause us to incur significant expenses and, if successfully asserted against us, could require that we pay substantial damages or ongoing royalty payments, prevent us from offering our platform or services or using certain technologies, force us to implement expensive work-arounds, or impose other unfavorable terms. We expect that the occurrence of infringement claims is likely to grow as the market for fitness products and services grows. Accordingly, our exposure to damages resulting from infringement claims could increase and this could further exhaust our financial and management resources. Further, during the course of any litigation, we may make announcements regarding the results of hearings and motions, and other interim developments. If securities analysts and investors regard these announcements as negative, the market price of our Class A common stock may decline. Even if intellectual property claims do not result in litigation or are resolved in our favor, these claims, and the time and resources necessary to resolve them, could divert the resources of our management and require significant expenditures. Any of the foregoing could prevent us from competing effectively and could have an adverse effect on our business, financial condition, and operating results.</w:t>
      </w:r>
    </w:p>
    <w:p>
      <w:pPr>
        <w:spacing w:after="0" w:line="101" w:lineRule="exact"/>
        <w:rPr>
          <w:sz w:val="20"/>
          <w:szCs w:val="20"/>
          <w:color w:val="auto"/>
        </w:rPr>
      </w:pPr>
    </w:p>
    <w:p>
      <w:pPr>
        <w:ind w:left="5680"/>
        <w:spacing w:after="0"/>
        <w:rPr>
          <w:sz w:val="20"/>
          <w:szCs w:val="20"/>
          <w:color w:val="auto"/>
        </w:rPr>
      </w:pPr>
      <w:r>
        <w:rPr>
          <w:rFonts w:ascii="Arial" w:cs="Arial" w:eastAsia="Arial" w:hAnsi="Arial"/>
          <w:sz w:val="11"/>
          <w:szCs w:val="11"/>
          <w:color w:val="050505"/>
        </w:rPr>
        <w:t>28</w:t>
      </w:r>
    </w:p>
    <w:p>
      <w:pPr>
        <w:sectPr>
          <w:pgSz w:w="11900" w:h="16838" w:orient="portrait"/>
          <w:cols w:equalWidth="0" w:num="1">
            <w:col w:w="10239"/>
          </w:cols>
          <w:pgMar w:left="220" w:top="354" w:right="1440" w:bottom="1440" w:gutter="0" w:footer="0" w:header="0"/>
        </w:sectPr>
      </w:pPr>
    </w:p>
    <w:bookmarkStart w:id="33" w:name="page34"/>
    <w:bookmarkEnd w:id="33"/>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hyperlink w:anchor="page5">
        <w:r>
          <w:rPr>
            <w:rFonts w:ascii="Arial" w:cs="Arial" w:eastAsia="Arial" w:hAnsi="Arial"/>
            <w:sz w:val="12"/>
            <w:szCs w:val="12"/>
            <w:b w:val="1"/>
            <w:bCs w:val="1"/>
            <w:u w:val="single" w:color="auto"/>
            <w:color w:val="0000EE"/>
          </w:rPr>
          <w:t>Table of Contents</w:t>
        </w:r>
      </w:hyperlink>
    </w:p>
    <w:p>
      <w:pPr>
        <w:spacing w:after="0" w:line="204" w:lineRule="exact"/>
        <w:rPr>
          <w:sz w:val="20"/>
          <w:szCs w:val="20"/>
          <w:color w:val="auto"/>
        </w:rPr>
      </w:pPr>
    </w:p>
    <w:p>
      <w:pPr>
        <w:jc w:val="both"/>
        <w:ind w:left="2060" w:right="839"/>
        <w:spacing w:after="0" w:line="268" w:lineRule="auto"/>
        <w:rPr>
          <w:sz w:val="20"/>
          <w:szCs w:val="20"/>
          <w:color w:val="auto"/>
        </w:rPr>
      </w:pPr>
      <w:r>
        <w:rPr>
          <w:rFonts w:ascii="Arial" w:cs="Arial" w:eastAsia="Arial" w:hAnsi="Arial"/>
          <w:sz w:val="11"/>
          <w:szCs w:val="11"/>
          <w:b w:val="1"/>
          <w:bCs w:val="1"/>
          <w:i w:val="1"/>
          <w:iCs w:val="1"/>
          <w:color w:val="050505"/>
        </w:rPr>
        <w:t>We rely heavily on third parties for most of our computing, storage, processing, and similar services. Any disruption of or interference with our use of these third-party services could have an adverse effect on our business, financial condition, and operating results.</w:t>
      </w:r>
    </w:p>
    <w:p>
      <w:pPr>
        <w:spacing w:after="0" w:line="126" w:lineRule="exact"/>
        <w:rPr>
          <w:sz w:val="20"/>
          <w:szCs w:val="20"/>
          <w:color w:val="auto"/>
        </w:rPr>
      </w:pPr>
    </w:p>
    <w:p>
      <w:pPr>
        <w:jc w:val="both"/>
        <w:ind w:left="2060" w:right="839"/>
        <w:spacing w:after="0"/>
        <w:rPr>
          <w:sz w:val="20"/>
          <w:szCs w:val="20"/>
          <w:color w:val="auto"/>
        </w:rPr>
      </w:pPr>
      <w:r>
        <w:rPr>
          <w:rFonts w:ascii="Arial" w:cs="Arial" w:eastAsia="Arial" w:hAnsi="Arial"/>
          <w:sz w:val="11"/>
          <w:szCs w:val="11"/>
          <w:color w:val="050505"/>
        </w:rPr>
        <w:t>We have outsourced our cloud infrastructure to third-party providers, and we currently use these providers to host and stream our services and content. We are therefore vulnerable to service interruptions experienced by these providers and we expect to experience interruptions, delays, or outages in service availability in the future due to a variety of factors, including infrastructure changes, human, hardware or software errors, hosting disruptions, and capacity constraints. Outages and capacity constraints could arise from a number of causes such as technical failures, natural disasters, fraud, or security attacks. The level of service provided by these providers, or regular or prolonged interruptions in that service, could also affect the use of, and our Members’ satisfaction with, our products and services and could harm our business and reputation. In addition, hosting costs will increase as membership engagement grows, which could harm our business if we are unable to grow our revenue faster than the cost of using these services or the services of similar providers.</w:t>
      </w:r>
    </w:p>
    <w:p>
      <w:pPr>
        <w:spacing w:after="0" w:line="141" w:lineRule="exact"/>
        <w:rPr>
          <w:sz w:val="20"/>
          <w:szCs w:val="20"/>
          <w:color w:val="auto"/>
        </w:rPr>
      </w:pPr>
    </w:p>
    <w:p>
      <w:pPr>
        <w:jc w:val="both"/>
        <w:ind w:left="2060" w:right="839"/>
        <w:spacing w:after="0" w:line="269" w:lineRule="auto"/>
        <w:rPr>
          <w:sz w:val="20"/>
          <w:szCs w:val="20"/>
          <w:color w:val="auto"/>
        </w:rPr>
      </w:pPr>
      <w:r>
        <w:rPr>
          <w:rFonts w:ascii="Arial" w:cs="Arial" w:eastAsia="Arial" w:hAnsi="Arial"/>
          <w:sz w:val="10"/>
          <w:szCs w:val="10"/>
          <w:color w:val="050505"/>
        </w:rPr>
        <w:t>Furthermore, our providers have broad discretion to change and interpret the terms of service and other policies with respect to us, and those actions may be unfavorable to our business operations. Our providers may also take actions beyond our control that could seriously harm our business, including discontinuing or limiting our access to one or more services, increasing pricing terms, terminating or seeking to terminate our contractual relationship altogether, or altering how we are able to process data in a way that is unfavorable or costly to us. Although we expect that we could obtain similar services from other third parties, if our arrangements with our current providers were terminated, we could experience interruptions on our platform and in our ability to make our content available to Members, as well as delays and additional expenses in arranging for alternative cloud infrastructure services.</w:t>
      </w:r>
    </w:p>
    <w:p>
      <w:pPr>
        <w:spacing w:after="0" w:line="127" w:lineRule="exact"/>
        <w:rPr>
          <w:sz w:val="20"/>
          <w:szCs w:val="20"/>
          <w:color w:val="auto"/>
        </w:rPr>
      </w:pPr>
    </w:p>
    <w:p>
      <w:pPr>
        <w:jc w:val="both"/>
        <w:ind w:left="2060" w:right="839"/>
        <w:spacing w:after="0" w:line="245" w:lineRule="auto"/>
        <w:rPr>
          <w:sz w:val="20"/>
          <w:szCs w:val="20"/>
          <w:color w:val="auto"/>
        </w:rPr>
      </w:pPr>
      <w:r>
        <w:rPr>
          <w:rFonts w:ascii="Arial" w:cs="Arial" w:eastAsia="Arial" w:hAnsi="Arial"/>
          <w:sz w:val="11"/>
          <w:szCs w:val="11"/>
          <w:color w:val="050505"/>
        </w:rPr>
        <w:t>Any of these factors could further reduce our revenue, subject us to liability, and cause our Subscribers to decline to renew their subscriptions, any of which could have an adverse effect on our business, financial condition, and operating results.</w:t>
      </w:r>
    </w:p>
    <w:p>
      <w:pPr>
        <w:spacing w:after="0" w:line="138" w:lineRule="exact"/>
        <w:rPr>
          <w:sz w:val="20"/>
          <w:szCs w:val="20"/>
          <w:color w:val="auto"/>
        </w:rPr>
      </w:pPr>
    </w:p>
    <w:p>
      <w:pPr>
        <w:jc w:val="both"/>
        <w:ind w:left="2060" w:right="839"/>
        <w:spacing w:after="0" w:line="278" w:lineRule="auto"/>
        <w:rPr>
          <w:sz w:val="20"/>
          <w:szCs w:val="20"/>
          <w:color w:val="auto"/>
        </w:rPr>
      </w:pPr>
      <w:r>
        <w:rPr>
          <w:rFonts w:ascii="Arial" w:cs="Arial" w:eastAsia="Arial" w:hAnsi="Arial"/>
          <w:sz w:val="10"/>
          <w:szCs w:val="10"/>
          <w:color w:val="050505"/>
        </w:rPr>
        <w:t>In addition, customers of certain of our providers have been subject to litigation by third parties claiming that the service and basic HTTP functions infringe their patents. If we become subject to such claims, although we expect our provider to indemnify us with respect to at least a portion of such claims, the litigation may be time consuming, divert management’s attention, and, if our provider failed to indemnify us, adversely impact our operating results.</w:t>
      </w:r>
    </w:p>
    <w:p>
      <w:pPr>
        <w:spacing w:after="0" w:line="111" w:lineRule="exact"/>
        <w:rPr>
          <w:sz w:val="20"/>
          <w:szCs w:val="20"/>
          <w:color w:val="auto"/>
        </w:rPr>
      </w:pPr>
    </w:p>
    <w:p>
      <w:pPr>
        <w:jc w:val="both"/>
        <w:ind w:left="2060" w:right="839"/>
        <w:spacing w:after="0" w:line="268" w:lineRule="auto"/>
        <w:rPr>
          <w:sz w:val="20"/>
          <w:szCs w:val="20"/>
          <w:color w:val="auto"/>
        </w:rPr>
      </w:pPr>
      <w:r>
        <w:rPr>
          <w:rFonts w:ascii="Arial" w:cs="Arial" w:eastAsia="Arial" w:hAnsi="Arial"/>
          <w:sz w:val="11"/>
          <w:szCs w:val="11"/>
          <w:b w:val="1"/>
          <w:bCs w:val="1"/>
          <w:i w:val="1"/>
          <w:iCs w:val="1"/>
          <w:color w:val="050505"/>
        </w:rPr>
        <w:t>We face risks, such as unforeseen costs and potential liability in connection with content we produce, license, and distribute through our platform.</w:t>
      </w:r>
    </w:p>
    <w:p>
      <w:pPr>
        <w:spacing w:after="0" w:line="126" w:lineRule="exact"/>
        <w:rPr>
          <w:sz w:val="20"/>
          <w:szCs w:val="20"/>
          <w:color w:val="auto"/>
        </w:rPr>
      </w:pPr>
    </w:p>
    <w:p>
      <w:pPr>
        <w:jc w:val="both"/>
        <w:ind w:left="2060" w:right="839"/>
        <w:spacing w:after="0"/>
        <w:rPr>
          <w:sz w:val="20"/>
          <w:szCs w:val="20"/>
          <w:color w:val="auto"/>
        </w:rPr>
      </w:pPr>
      <w:r>
        <w:rPr>
          <w:rFonts w:ascii="Arial" w:cs="Arial" w:eastAsia="Arial" w:hAnsi="Arial"/>
          <w:sz w:val="11"/>
          <w:szCs w:val="11"/>
          <w:color w:val="050505"/>
        </w:rPr>
        <w:t>As a producer and distributor of content, we face potential liability for negligence, copyright, and trademark infringement, or other claims based on the nature and content of materials that we produce, license, and distribute. We also may face potential liability for content used in promoting our service, including marketing materials. We may decide to remove content from our service, not to place certain content on our service, or to discontinue or alter our production of certain types of content if we believe such content might not be well received by our Members or could be damaging to our brand and business.</w:t>
      </w:r>
    </w:p>
    <w:p>
      <w:pPr>
        <w:spacing w:after="0" w:line="142" w:lineRule="exact"/>
        <w:rPr>
          <w:sz w:val="20"/>
          <w:szCs w:val="20"/>
          <w:color w:val="auto"/>
        </w:rPr>
      </w:pPr>
    </w:p>
    <w:p>
      <w:pPr>
        <w:jc w:val="both"/>
        <w:ind w:left="2060" w:right="839"/>
        <w:spacing w:after="0" w:line="241" w:lineRule="auto"/>
        <w:rPr>
          <w:sz w:val="20"/>
          <w:szCs w:val="20"/>
          <w:color w:val="auto"/>
        </w:rPr>
      </w:pPr>
      <w:r>
        <w:rPr>
          <w:rFonts w:ascii="Arial" w:cs="Arial" w:eastAsia="Arial" w:hAnsi="Arial"/>
          <w:sz w:val="11"/>
          <w:szCs w:val="11"/>
          <w:color w:val="050505"/>
        </w:rPr>
        <w:t>To the extent we do not accurately anticipate costs or mitigate risks, including for content that we obtain but ultimately does not appear on or is removed from our service, or if we become liable for content we produce, license or distribute, our business may suffer. Litigation to defend these claims could be costly and the expenses and damages arising from any liability could harm our results of operations. We may not be indemnified against claims or costs of these types and we may not have insurance coverage for these types of claims.</w:t>
      </w:r>
    </w:p>
    <w:p>
      <w:pPr>
        <w:spacing w:after="0" w:line="128" w:lineRule="exact"/>
        <w:rPr>
          <w:sz w:val="20"/>
          <w:szCs w:val="20"/>
          <w:color w:val="auto"/>
        </w:rPr>
      </w:pPr>
    </w:p>
    <w:p>
      <w:pPr>
        <w:jc w:val="both"/>
        <w:ind w:left="2060" w:right="839"/>
        <w:spacing w:after="0" w:line="268" w:lineRule="auto"/>
        <w:rPr>
          <w:sz w:val="20"/>
          <w:szCs w:val="20"/>
          <w:color w:val="auto"/>
        </w:rPr>
      </w:pPr>
      <w:r>
        <w:rPr>
          <w:rFonts w:ascii="Arial" w:cs="Arial" w:eastAsia="Arial" w:hAnsi="Arial"/>
          <w:sz w:val="11"/>
          <w:szCs w:val="11"/>
          <w:b w:val="1"/>
          <w:bCs w:val="1"/>
          <w:i w:val="1"/>
          <w:iCs w:val="1"/>
          <w:color w:val="050505"/>
        </w:rPr>
        <w:t>Some of our products and services contain open source software, which may pose particular risks to our proprietary software, technologies, products, and services in a manner that could harm our business.</w:t>
      </w:r>
    </w:p>
    <w:p>
      <w:pPr>
        <w:spacing w:after="0" w:line="126" w:lineRule="exact"/>
        <w:rPr>
          <w:sz w:val="20"/>
          <w:szCs w:val="20"/>
          <w:color w:val="auto"/>
        </w:rPr>
      </w:pPr>
    </w:p>
    <w:p>
      <w:pPr>
        <w:jc w:val="both"/>
        <w:ind w:left="2060" w:right="839"/>
        <w:spacing w:after="0" w:line="241" w:lineRule="auto"/>
        <w:rPr>
          <w:sz w:val="20"/>
          <w:szCs w:val="20"/>
          <w:color w:val="auto"/>
        </w:rPr>
      </w:pPr>
      <w:r>
        <w:rPr>
          <w:rFonts w:ascii="Arial" w:cs="Arial" w:eastAsia="Arial" w:hAnsi="Arial"/>
          <w:sz w:val="11"/>
          <w:szCs w:val="11"/>
          <w:color w:val="050505"/>
        </w:rPr>
        <w:t>We use open source software in our products and services and anticipate using open source software in the future. Some open source software licenses require those who distribute open source software as part of their own software product to publicly disclose all or part of the source code to such software product or to make available any derivative works of the open source code on unfavorable terms or at no cost. The terms of many open source licenses to which we are subject</w:t>
      </w:r>
    </w:p>
    <w:p>
      <w:pPr>
        <w:spacing w:after="0" w:line="95" w:lineRule="exact"/>
        <w:rPr>
          <w:sz w:val="20"/>
          <w:szCs w:val="20"/>
          <w:color w:val="auto"/>
        </w:rPr>
      </w:pPr>
    </w:p>
    <w:p>
      <w:pPr>
        <w:ind w:left="5680"/>
        <w:spacing w:after="0"/>
        <w:rPr>
          <w:sz w:val="20"/>
          <w:szCs w:val="20"/>
          <w:color w:val="auto"/>
        </w:rPr>
      </w:pPr>
      <w:r>
        <w:rPr>
          <w:rFonts w:ascii="Arial" w:cs="Arial" w:eastAsia="Arial" w:hAnsi="Arial"/>
          <w:sz w:val="11"/>
          <w:szCs w:val="11"/>
          <w:color w:val="050505"/>
        </w:rPr>
        <w:t>29</w:t>
      </w:r>
    </w:p>
    <w:p>
      <w:pPr>
        <w:sectPr>
          <w:pgSz w:w="11900" w:h="16838" w:orient="portrait"/>
          <w:cols w:equalWidth="0" w:num="1">
            <w:col w:w="10239"/>
          </w:cols>
          <w:pgMar w:left="220" w:top="354" w:right="1440" w:bottom="1440" w:gutter="0" w:footer="0" w:header="0"/>
        </w:sectPr>
      </w:pPr>
    </w:p>
    <w:bookmarkStart w:id="34" w:name="page35"/>
    <w:bookmarkEnd w:id="34"/>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hyperlink w:anchor="page5">
        <w:r>
          <w:rPr>
            <w:rFonts w:ascii="Arial" w:cs="Arial" w:eastAsia="Arial" w:hAnsi="Arial"/>
            <w:sz w:val="12"/>
            <w:szCs w:val="12"/>
            <w:b w:val="1"/>
            <w:bCs w:val="1"/>
            <w:u w:val="single" w:color="auto"/>
            <w:color w:val="0000EE"/>
          </w:rPr>
          <w:t>Table of Contents</w:t>
        </w:r>
      </w:hyperlink>
    </w:p>
    <w:p>
      <w:pPr>
        <w:spacing w:after="0" w:line="216" w:lineRule="exact"/>
        <w:rPr>
          <w:sz w:val="20"/>
          <w:szCs w:val="20"/>
          <w:color w:val="auto"/>
        </w:rPr>
      </w:pPr>
    </w:p>
    <w:p>
      <w:pPr>
        <w:jc w:val="both"/>
        <w:ind w:left="2060" w:right="839"/>
        <w:spacing w:after="0"/>
        <w:rPr>
          <w:sz w:val="20"/>
          <w:szCs w:val="20"/>
          <w:color w:val="auto"/>
        </w:rPr>
      </w:pPr>
      <w:r>
        <w:rPr>
          <w:rFonts w:ascii="Arial" w:cs="Arial" w:eastAsia="Arial" w:hAnsi="Arial"/>
          <w:sz w:val="11"/>
          <w:szCs w:val="11"/>
          <w:color w:val="050505"/>
        </w:rPr>
        <w:t>have not been interpreted by U.S or foreign courts, and there is a risk that open source software licenses could be construed in a manner that imposes unanticipated conditions or restrictions on our ability to provide or distribute our products or services. Additionally, we could face claims from third parties claiming ownership of, or demanding release of, the open source software or derivative works that we developed using such software, which could include our proprietary source code, or otherwise seeking to enforce the terms of the applicable open source license. These claims could result in litigation and could require us to make our software source code freely available, purchase a costly license, or cease offering the implicated products or services unless and until we can re-engineer them to avoid infringement. This re-engineering process could require us to expend significant additional research and development resources, and we cannot guarantee that we will be successful.</w:t>
      </w:r>
    </w:p>
    <w:p>
      <w:pPr>
        <w:spacing w:after="0" w:line="141" w:lineRule="exact"/>
        <w:rPr>
          <w:sz w:val="20"/>
          <w:szCs w:val="20"/>
          <w:color w:val="auto"/>
        </w:rPr>
      </w:pPr>
    </w:p>
    <w:p>
      <w:pPr>
        <w:jc w:val="both"/>
        <w:ind w:left="2060" w:right="839"/>
        <w:spacing w:after="0"/>
        <w:rPr>
          <w:sz w:val="20"/>
          <w:szCs w:val="20"/>
          <w:color w:val="auto"/>
        </w:rPr>
      </w:pPr>
      <w:r>
        <w:rPr>
          <w:rFonts w:ascii="Arial" w:cs="Arial" w:eastAsia="Arial" w:hAnsi="Arial"/>
          <w:sz w:val="11"/>
          <w:szCs w:val="11"/>
          <w:color w:val="050505"/>
        </w:rPr>
        <w:t>Additionally, the use of certain open source software can lead to greater risks than use of third-party commercial software, as open source licensors generally do not provide warranties or controls on the origin of software. There is typically no support available for open source software, and we cannot ensure that the authors of such open source software will implement or push updates to address security risks or will not abandon further development and maintenance. Many of the risks associated with the use of open source software, such as the lack of warranties or assurances of title or performance, cannot be eliminated, and could, if not properly addressed, negatively affect our business. We have processes to help alleviate these risks, including a review process for screening requests from our developers for the use of open source software, but we cannot be sure that all open source software is identified or submitted for approval prior to use in our products and services. Any of these risks could be difficult to eliminate or manage, and, if not addressed, could have an adverse effect on our business, financial condition, and operating results.</w:t>
      </w:r>
    </w:p>
    <w:p>
      <w:pPr>
        <w:spacing w:after="0" w:line="129" w:lineRule="exact"/>
        <w:rPr>
          <w:sz w:val="20"/>
          <w:szCs w:val="20"/>
          <w:color w:val="auto"/>
        </w:rPr>
      </w:pPr>
    </w:p>
    <w:p>
      <w:pPr>
        <w:jc w:val="both"/>
        <w:ind w:left="2060" w:right="839"/>
        <w:spacing w:after="0" w:line="268" w:lineRule="auto"/>
        <w:rPr>
          <w:sz w:val="20"/>
          <w:szCs w:val="20"/>
          <w:color w:val="auto"/>
        </w:rPr>
      </w:pPr>
      <w:r>
        <w:rPr>
          <w:rFonts w:ascii="Arial" w:cs="Arial" w:eastAsia="Arial" w:hAnsi="Arial"/>
          <w:sz w:val="11"/>
          <w:szCs w:val="11"/>
          <w:b w:val="1"/>
          <w:bCs w:val="1"/>
          <w:i w:val="1"/>
          <w:iCs w:val="1"/>
          <w:color w:val="050505"/>
        </w:rPr>
        <w:t>Our Member engagement on mobile devices depends upon effective operation with mobile operating systems, networks, and standards that we do not control.</w:t>
      </w:r>
    </w:p>
    <w:p>
      <w:pPr>
        <w:spacing w:after="0" w:line="126" w:lineRule="exact"/>
        <w:rPr>
          <w:sz w:val="20"/>
          <w:szCs w:val="20"/>
          <w:color w:val="auto"/>
        </w:rPr>
      </w:pPr>
    </w:p>
    <w:p>
      <w:pPr>
        <w:jc w:val="both"/>
        <w:ind w:left="2060" w:right="839"/>
        <w:spacing w:after="0" w:line="239" w:lineRule="auto"/>
        <w:rPr>
          <w:sz w:val="20"/>
          <w:szCs w:val="20"/>
          <w:color w:val="auto"/>
        </w:rPr>
      </w:pPr>
      <w:r>
        <w:rPr>
          <w:rFonts w:ascii="Arial" w:cs="Arial" w:eastAsia="Arial" w:hAnsi="Arial"/>
          <w:sz w:val="11"/>
          <w:szCs w:val="11"/>
          <w:color w:val="050505"/>
        </w:rPr>
        <w:t>A significant and growing portion of our Members access our platform through Peloton Digital and there is no guarantee that popular mobile devices will continue to support Peloton Digital or that mobile device users will use Peloton Digital rather than competing products. We are dependent on the interoperability of Peloton Digital with popular mobile operating systems that we do not control, such as Android and iOS, and any changes in such systems that degrade the functionality of our digital offering or give preferential treatment to competitors could adversely affect our platform’s usage on mobile devices. Additionally, in order to deliver high-quality mobile content, it is important that our digital offering is designed effectively and works well with a range of mobile technologies, systems, networks, and standards that we do not control. We may not be successful in developing relationships with key participants in the mobile industry or in developing products that operate effectively with these technologies, systems, networks, or standards. In the event that it is more difficult for our Members to access and use our platform on their mobile devices or Members find our mobile offerings do not effectively meet their needs, our competitors develop products and services that are perceived to operate more effectively on mobile devices, or if our Members choose not to access or use our platform on their mobile devices or use mobile products that do not offer access to our platform, our Member growth and Member engagement could be adversely impacted.</w:t>
      </w:r>
    </w:p>
    <w:p>
      <w:pPr>
        <w:spacing w:after="0" w:line="134" w:lineRule="exact"/>
        <w:rPr>
          <w:sz w:val="20"/>
          <w:szCs w:val="20"/>
          <w:color w:val="auto"/>
        </w:rPr>
      </w:pPr>
    </w:p>
    <w:p>
      <w:pPr>
        <w:jc w:val="both"/>
        <w:ind w:left="2060" w:right="839"/>
        <w:spacing w:after="0" w:line="268" w:lineRule="auto"/>
        <w:rPr>
          <w:sz w:val="20"/>
          <w:szCs w:val="20"/>
          <w:color w:val="auto"/>
        </w:rPr>
      </w:pPr>
      <w:r>
        <w:rPr>
          <w:rFonts w:ascii="Arial" w:cs="Arial" w:eastAsia="Arial" w:hAnsi="Arial"/>
          <w:sz w:val="11"/>
          <w:szCs w:val="11"/>
          <w:b w:val="1"/>
          <w:bCs w:val="1"/>
          <w:i w:val="1"/>
          <w:iCs w:val="1"/>
          <w:color w:val="auto"/>
        </w:rPr>
        <w:t>We collect, store, process, and use personal information and other Member data, which subjects us to legal obligations and laws and regulations related to security and privacy, and any actual or perceived failure to meet those obligations could harm our business.</w:t>
      </w:r>
    </w:p>
    <w:p>
      <w:pPr>
        <w:spacing w:after="0" w:line="126" w:lineRule="exact"/>
        <w:rPr>
          <w:sz w:val="20"/>
          <w:szCs w:val="20"/>
          <w:color w:val="auto"/>
        </w:rPr>
      </w:pPr>
    </w:p>
    <w:p>
      <w:pPr>
        <w:jc w:val="both"/>
        <w:ind w:left="2060" w:right="839"/>
        <w:spacing w:after="0"/>
        <w:rPr>
          <w:sz w:val="20"/>
          <w:szCs w:val="20"/>
          <w:color w:val="auto"/>
        </w:rPr>
      </w:pPr>
      <w:r>
        <w:rPr>
          <w:rFonts w:ascii="Arial" w:cs="Arial" w:eastAsia="Arial" w:hAnsi="Arial"/>
          <w:sz w:val="11"/>
          <w:szCs w:val="11"/>
          <w:color w:val="050505"/>
        </w:rPr>
        <w:t>We collect, process, store, and use a wide variety of data from current and prospective Members, including personal information, such as home addresses and geolocation. Federal, state, and international laws and regulations governing privacy, data protection, and e-commerce transactions require us to safeguard our Members’ personal information. Although we have established security procedures to protect Member information, our or our third-party service providers’ security and testing measures may not prevent security breaches. Further, advances in computer capabilities, new discoveries in the field of cryptography, inadequate facility security, or other developments may result in a compromise or breach of the technology we use to protect Member data. Any compromise of our security or breach of our Members’ privacy could harm our reputation or financial condition and, therefore, our business.</w:t>
      </w:r>
    </w:p>
    <w:p>
      <w:pPr>
        <w:spacing w:after="0" w:line="141" w:lineRule="exact"/>
        <w:rPr>
          <w:sz w:val="20"/>
          <w:szCs w:val="20"/>
          <w:color w:val="auto"/>
        </w:rPr>
      </w:pPr>
    </w:p>
    <w:p>
      <w:pPr>
        <w:jc w:val="both"/>
        <w:ind w:left="2060" w:right="839"/>
        <w:spacing w:after="0" w:line="242" w:lineRule="auto"/>
        <w:rPr>
          <w:sz w:val="20"/>
          <w:szCs w:val="20"/>
          <w:color w:val="auto"/>
        </w:rPr>
      </w:pPr>
      <w:r>
        <w:rPr>
          <w:rFonts w:ascii="Arial" w:cs="Arial" w:eastAsia="Arial" w:hAnsi="Arial"/>
          <w:sz w:val="11"/>
          <w:szCs w:val="11"/>
          <w:color w:val="050505"/>
        </w:rPr>
        <w:t>In addition, a party who circumvents our security measures or exploits inadequacies in our security measures, could, among other effects, misappropriate Member data or other proprietary information, cause interruptions in our operations, or expose Members to computer viruses or other disruptions. Actual or perceived vulnerabilities may lead to claims against</w:t>
      </w:r>
    </w:p>
    <w:p>
      <w:pPr>
        <w:spacing w:after="0" w:line="95" w:lineRule="exact"/>
        <w:rPr>
          <w:sz w:val="20"/>
          <w:szCs w:val="20"/>
          <w:color w:val="auto"/>
        </w:rPr>
      </w:pPr>
    </w:p>
    <w:p>
      <w:pPr>
        <w:ind w:left="5680"/>
        <w:spacing w:after="0"/>
        <w:rPr>
          <w:sz w:val="20"/>
          <w:szCs w:val="20"/>
          <w:color w:val="auto"/>
        </w:rPr>
      </w:pPr>
      <w:r>
        <w:rPr>
          <w:rFonts w:ascii="Arial" w:cs="Arial" w:eastAsia="Arial" w:hAnsi="Arial"/>
          <w:sz w:val="11"/>
          <w:szCs w:val="11"/>
          <w:color w:val="050505"/>
        </w:rPr>
        <w:t>30</w:t>
      </w:r>
    </w:p>
    <w:p>
      <w:pPr>
        <w:sectPr>
          <w:pgSz w:w="11900" w:h="16838" w:orient="portrait"/>
          <w:cols w:equalWidth="0" w:num="1">
            <w:col w:w="10239"/>
          </w:cols>
          <w:pgMar w:left="220" w:top="354" w:right="1440" w:bottom="1440" w:gutter="0" w:footer="0" w:header="0"/>
        </w:sectPr>
      </w:pPr>
    </w:p>
    <w:bookmarkStart w:id="35" w:name="page36"/>
    <w:bookmarkEnd w:id="35"/>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hyperlink w:anchor="page5">
        <w:r>
          <w:rPr>
            <w:rFonts w:ascii="Arial" w:cs="Arial" w:eastAsia="Arial" w:hAnsi="Arial"/>
            <w:sz w:val="12"/>
            <w:szCs w:val="12"/>
            <w:b w:val="1"/>
            <w:bCs w:val="1"/>
            <w:u w:val="single" w:color="auto"/>
            <w:color w:val="0000EE"/>
          </w:rPr>
          <w:t>Table of Contents</w:t>
        </w:r>
      </w:hyperlink>
    </w:p>
    <w:p>
      <w:pPr>
        <w:spacing w:after="0" w:line="216" w:lineRule="exact"/>
        <w:rPr>
          <w:sz w:val="20"/>
          <w:szCs w:val="20"/>
          <w:color w:val="auto"/>
        </w:rPr>
      </w:pPr>
    </w:p>
    <w:p>
      <w:pPr>
        <w:jc w:val="both"/>
        <w:ind w:left="2060" w:right="839"/>
        <w:spacing w:after="0"/>
        <w:rPr>
          <w:sz w:val="20"/>
          <w:szCs w:val="20"/>
          <w:color w:val="auto"/>
        </w:rPr>
      </w:pPr>
      <w:r>
        <w:rPr>
          <w:rFonts w:ascii="Arial" w:cs="Arial" w:eastAsia="Arial" w:hAnsi="Arial"/>
          <w:sz w:val="11"/>
          <w:szCs w:val="11"/>
          <w:color w:val="050505"/>
        </w:rPr>
        <w:t>us. To the extent that the measures we or our third-party business partners have taken prove to be insufficient or inadequate, we may become subject to litigation, breach notification obligations, or regulatory or administrative sanctions, which could result in significant fines, penalties, or damages and harm to our reputation. Depending on the nature of the information compromised, in the event of a data breach or other unauthorized access to our Member data, we may also have obligations to notify Members about the incident and we may need to provide some form of remedy, such as a subscription to a credit monitoring service, for the individuals affected by the incident. A growing number of legislative and regulatory bodies have adopted consumer notification requirements in the event of unauthorized access to or acquisition of certain types of personal data. Such breach notification laws continue to evolve and may be inconsistent from one jurisdiction to another. Complying with these obligations could cause us to incur substantial costs and could increase negative publicity surrounding any incident that compromises Member data.</w:t>
      </w:r>
    </w:p>
    <w:p>
      <w:pPr>
        <w:spacing w:after="0" w:line="141" w:lineRule="exact"/>
        <w:rPr>
          <w:sz w:val="20"/>
          <w:szCs w:val="20"/>
          <w:color w:val="auto"/>
        </w:rPr>
      </w:pPr>
    </w:p>
    <w:p>
      <w:pPr>
        <w:jc w:val="both"/>
        <w:ind w:left="2060" w:right="839"/>
        <w:spacing w:after="0"/>
        <w:rPr>
          <w:sz w:val="20"/>
          <w:szCs w:val="20"/>
          <w:color w:val="auto"/>
        </w:rPr>
      </w:pPr>
      <w:r>
        <w:rPr>
          <w:rFonts w:ascii="Arial" w:cs="Arial" w:eastAsia="Arial" w:hAnsi="Arial"/>
          <w:sz w:val="11"/>
          <w:szCs w:val="11"/>
          <w:color w:val="050505"/>
        </w:rPr>
        <w:t>Furthermore, we may be required to disclose personal data pursuant to demands from individuals, privacy advocates, regulators, government agencies, and law enforcement agencies in various jurisdictions with conflicting privacy and security laws. This disclosure or refusal to disclose personal data may result in a breach of privacy and data protection policies, notices, laws, rules, court orders, and regulations and could result in proceedings or actions against us in the same or other jurisdictions, damage to our reputation and brand, and inability to provide our products and services to consumers in certain jurisdictions. Additionally, changes in the laws and regulations that govern our collection, use, and disclosure of Member data could impose additional requirements with respect to the retention and security of Member data, could limit our marketing activities, and have an adverse effect on our business, financial condition, and operating results.</w:t>
      </w:r>
    </w:p>
    <w:p>
      <w:pPr>
        <w:spacing w:after="0" w:line="129" w:lineRule="exact"/>
        <w:rPr>
          <w:sz w:val="20"/>
          <w:szCs w:val="20"/>
          <w:color w:val="auto"/>
        </w:rPr>
      </w:pPr>
    </w:p>
    <w:p>
      <w:pPr>
        <w:ind w:left="2060"/>
        <w:spacing w:after="0"/>
        <w:rPr>
          <w:sz w:val="20"/>
          <w:szCs w:val="20"/>
          <w:color w:val="auto"/>
        </w:rPr>
      </w:pPr>
      <w:r>
        <w:rPr>
          <w:rFonts w:ascii="Arial" w:cs="Arial" w:eastAsia="Arial" w:hAnsi="Arial"/>
          <w:sz w:val="11"/>
          <w:szCs w:val="11"/>
          <w:b w:val="1"/>
          <w:bCs w:val="1"/>
          <w:i w:val="1"/>
          <w:iCs w:val="1"/>
          <w:color w:val="050505"/>
        </w:rPr>
        <w:t>Cybersecurity risks could adversely affect our business and disrupt our operations.</w:t>
      </w:r>
    </w:p>
    <w:p>
      <w:pPr>
        <w:spacing w:after="0" w:line="156" w:lineRule="exact"/>
        <w:rPr>
          <w:sz w:val="20"/>
          <w:szCs w:val="20"/>
          <w:color w:val="auto"/>
        </w:rPr>
      </w:pPr>
    </w:p>
    <w:p>
      <w:pPr>
        <w:jc w:val="both"/>
        <w:ind w:left="2060" w:right="839"/>
        <w:spacing w:after="0" w:line="239" w:lineRule="auto"/>
        <w:rPr>
          <w:sz w:val="20"/>
          <w:szCs w:val="20"/>
          <w:color w:val="auto"/>
        </w:rPr>
      </w:pPr>
      <w:r>
        <w:rPr>
          <w:rFonts w:ascii="Arial" w:cs="Arial" w:eastAsia="Arial" w:hAnsi="Arial"/>
          <w:sz w:val="11"/>
          <w:szCs w:val="11"/>
          <w:color w:val="050505"/>
        </w:rPr>
        <w:t>Threats to network and data security are increasingly diverse and sophisticated. Despite our efforts and processes to prevent breaches, our products and services, as well as our servers, computer systems, and those of third parties that we use in our operations are vulnerable to cybersecurity risks, including cyber-attacks such as viruses and worms, phishing attacks, denial-of-service attacks, physical or electronic break-ins, third-party or employee theft or misuse, and similar disruptions from unauthorized tampering with our servers and computer systems or those of third parties that we use in our operations, which could lead to interruptions, delays, loss of critical data, unauthorized access to Member data, and loss of consumer confidence. In addition, we may be the target of email scams that attempt to acquire personal information or company assets. Despite our efforts to create security barriers to such threats, we may not be able to entirely mitigate these risks. Any cyber-attack that attempts to obtain our or our Members’ data and assets, disrupt our service, or otherwise access our systems, or those of third parties we use, if successful, could adversely affect our business, and financial condition and operating results, be expensive to remedy, and damage our reputation. In addition, any such breaches may result in negative publicity, and adversely affect our brand, impacting demand for our products and services, and could have an adverse effect on our business, financial condition, and operating results.</w:t>
      </w:r>
    </w:p>
    <w:p>
      <w:pPr>
        <w:spacing w:after="0" w:line="134" w:lineRule="exact"/>
        <w:rPr>
          <w:sz w:val="20"/>
          <w:szCs w:val="20"/>
          <w:color w:val="auto"/>
        </w:rPr>
      </w:pPr>
    </w:p>
    <w:p>
      <w:pPr>
        <w:jc w:val="both"/>
        <w:ind w:left="2060" w:right="839"/>
        <w:spacing w:after="0" w:line="268" w:lineRule="auto"/>
        <w:rPr>
          <w:sz w:val="20"/>
          <w:szCs w:val="20"/>
          <w:color w:val="auto"/>
        </w:rPr>
      </w:pPr>
      <w:r>
        <w:rPr>
          <w:rFonts w:ascii="Arial" w:cs="Arial" w:eastAsia="Arial" w:hAnsi="Arial"/>
          <w:sz w:val="11"/>
          <w:szCs w:val="11"/>
          <w:b w:val="1"/>
          <w:bCs w:val="1"/>
          <w:i w:val="1"/>
          <w:iCs w:val="1"/>
          <w:color w:val="auto"/>
        </w:rPr>
        <w:t>We may be subject to warranty claims that could result in significant direct or indirect costs, or we could experience greater returns than expected, either of which could have an adverse effect on our business, financial condition, and operating results.</w:t>
      </w:r>
    </w:p>
    <w:p>
      <w:pPr>
        <w:spacing w:after="0" w:line="126" w:lineRule="exact"/>
        <w:rPr>
          <w:sz w:val="20"/>
          <w:szCs w:val="20"/>
          <w:color w:val="auto"/>
        </w:rPr>
      </w:pPr>
    </w:p>
    <w:p>
      <w:pPr>
        <w:jc w:val="both"/>
        <w:ind w:left="2060" w:right="839"/>
        <w:spacing w:after="0"/>
        <w:rPr>
          <w:sz w:val="20"/>
          <w:szCs w:val="20"/>
          <w:color w:val="auto"/>
        </w:rPr>
      </w:pPr>
      <w:r>
        <w:rPr>
          <w:rFonts w:ascii="Arial" w:cs="Arial" w:eastAsia="Arial" w:hAnsi="Arial"/>
          <w:sz w:val="11"/>
          <w:szCs w:val="11"/>
          <w:color w:val="050505"/>
        </w:rPr>
        <w:t>We generally provide a minimum 12-month limited warranty on all of our Connected Fitness Products. The occurrence of any material defects in our Connected Fitness Products could make us liable for damages and warranty claims in excess of our current reserves, which could result in an adverse effect on our business prospects, liquidity, financial condition, and cash flows if warranty claims were to materially exceed anticipated levels. In addition, we could incur significant costs to correct any defects, warranty claims, or other problems, including costs related to product recalls. Any negative publicity related to the perceived quality and safety of our products could affect our brand image, decrease consumer and Member confidence and demand, and adversely affect our financial condition and operating results. Also, while our warranty is limited to repairs and returns, warranty claims may result in litigation, the occurrence of which could have an adverse effect on our business, financial condition, and operating results.</w:t>
      </w:r>
    </w:p>
    <w:p>
      <w:pPr>
        <w:spacing w:after="0" w:line="141" w:lineRule="exact"/>
        <w:rPr>
          <w:sz w:val="20"/>
          <w:szCs w:val="20"/>
          <w:color w:val="auto"/>
        </w:rPr>
      </w:pPr>
    </w:p>
    <w:p>
      <w:pPr>
        <w:jc w:val="both"/>
        <w:ind w:left="2060" w:right="839"/>
        <w:spacing w:after="0" w:line="241" w:lineRule="auto"/>
        <w:rPr>
          <w:sz w:val="20"/>
          <w:szCs w:val="20"/>
          <w:color w:val="auto"/>
        </w:rPr>
      </w:pPr>
      <w:r>
        <w:rPr>
          <w:rFonts w:ascii="Arial" w:cs="Arial" w:eastAsia="Arial" w:hAnsi="Arial"/>
          <w:sz w:val="11"/>
          <w:szCs w:val="11"/>
          <w:color w:val="050505"/>
        </w:rPr>
        <w:t>In addition to warranties supplied by us, we also offer the option for customers to purchase third-party extended warranty and services contracts in some markets, which creates an ongoing performance obligation over the warranty period. Extended warranties are regulated in the United States on a state level and are treated differently by state. Outside the United States, regulations for extended warranties vary from country to country. Changes in interpretation of the insurance</w:t>
      </w:r>
    </w:p>
    <w:p>
      <w:pPr>
        <w:spacing w:after="0" w:line="95" w:lineRule="exact"/>
        <w:rPr>
          <w:sz w:val="20"/>
          <w:szCs w:val="20"/>
          <w:color w:val="auto"/>
        </w:rPr>
      </w:pPr>
    </w:p>
    <w:p>
      <w:pPr>
        <w:ind w:left="5680"/>
        <w:spacing w:after="0"/>
        <w:rPr>
          <w:sz w:val="20"/>
          <w:szCs w:val="20"/>
          <w:color w:val="auto"/>
        </w:rPr>
      </w:pPr>
      <w:r>
        <w:rPr>
          <w:rFonts w:ascii="Arial" w:cs="Arial" w:eastAsia="Arial" w:hAnsi="Arial"/>
          <w:sz w:val="11"/>
          <w:szCs w:val="11"/>
          <w:color w:val="050505"/>
        </w:rPr>
        <w:t>31</w:t>
      </w:r>
    </w:p>
    <w:p>
      <w:pPr>
        <w:sectPr>
          <w:pgSz w:w="11900" w:h="16838" w:orient="portrait"/>
          <w:cols w:equalWidth="0" w:num="1">
            <w:col w:w="10239"/>
          </w:cols>
          <w:pgMar w:left="220" w:top="354" w:right="1440" w:bottom="1440" w:gutter="0" w:footer="0" w:header="0"/>
        </w:sectPr>
      </w:pPr>
    </w:p>
    <w:bookmarkStart w:id="36" w:name="page37"/>
    <w:bookmarkEnd w:id="36"/>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hyperlink w:anchor="page5">
        <w:r>
          <w:rPr>
            <w:rFonts w:ascii="Arial" w:cs="Arial" w:eastAsia="Arial" w:hAnsi="Arial"/>
            <w:sz w:val="12"/>
            <w:szCs w:val="12"/>
            <w:b w:val="1"/>
            <w:bCs w:val="1"/>
            <w:u w:val="single" w:color="auto"/>
            <w:color w:val="0000EE"/>
          </w:rPr>
          <w:t>Table of Contents</w:t>
        </w:r>
      </w:hyperlink>
    </w:p>
    <w:p>
      <w:pPr>
        <w:spacing w:after="0" w:line="216" w:lineRule="exact"/>
        <w:rPr>
          <w:sz w:val="20"/>
          <w:szCs w:val="20"/>
          <w:color w:val="auto"/>
        </w:rPr>
      </w:pPr>
    </w:p>
    <w:p>
      <w:pPr>
        <w:jc w:val="both"/>
        <w:ind w:left="2060" w:right="839"/>
        <w:spacing w:after="0" w:line="241" w:lineRule="auto"/>
        <w:rPr>
          <w:sz w:val="20"/>
          <w:szCs w:val="20"/>
          <w:color w:val="auto"/>
        </w:rPr>
      </w:pPr>
      <w:r>
        <w:rPr>
          <w:rFonts w:ascii="Arial" w:cs="Arial" w:eastAsia="Arial" w:hAnsi="Arial"/>
          <w:sz w:val="11"/>
          <w:szCs w:val="11"/>
          <w:color w:val="050505"/>
        </w:rPr>
        <w:t>regulations or other laws and regulations concerning extended warranties on a federal, state, local, or international level may cause us to incur costs or have additional regulatory requirements to meet in the future. Our failure to comply with past, present, and future similar laws could result in reduced sales of our products, reputational damage, penalties, and other sanctions, which could have an adverse effect on our business, financial condition, and operating results.</w:t>
      </w:r>
    </w:p>
    <w:p>
      <w:pPr>
        <w:spacing w:after="0" w:line="128" w:lineRule="exact"/>
        <w:rPr>
          <w:sz w:val="20"/>
          <w:szCs w:val="20"/>
          <w:color w:val="auto"/>
        </w:rPr>
      </w:pPr>
    </w:p>
    <w:p>
      <w:pPr>
        <w:jc w:val="both"/>
        <w:ind w:left="2060" w:right="839"/>
        <w:spacing w:after="0" w:line="268" w:lineRule="auto"/>
        <w:rPr>
          <w:sz w:val="20"/>
          <w:szCs w:val="20"/>
          <w:color w:val="auto"/>
        </w:rPr>
      </w:pPr>
      <w:r>
        <w:rPr>
          <w:rFonts w:ascii="Arial" w:cs="Arial" w:eastAsia="Arial" w:hAnsi="Arial"/>
          <w:sz w:val="11"/>
          <w:szCs w:val="11"/>
          <w:b w:val="1"/>
          <w:bCs w:val="1"/>
          <w:i w:val="1"/>
          <w:iCs w:val="1"/>
          <w:color w:val="auto"/>
        </w:rPr>
        <w:t>We or our Subscribers may be subject to sales and other taxes, and we may be subject to liabilities on past sales for taxes, surcharges, and fees.</w:t>
      </w:r>
    </w:p>
    <w:p>
      <w:pPr>
        <w:spacing w:after="0" w:line="126" w:lineRule="exact"/>
        <w:rPr>
          <w:sz w:val="20"/>
          <w:szCs w:val="20"/>
          <w:color w:val="auto"/>
        </w:rPr>
      </w:pPr>
    </w:p>
    <w:p>
      <w:pPr>
        <w:jc w:val="both"/>
        <w:ind w:left="2060" w:right="839"/>
        <w:spacing w:after="0"/>
        <w:rPr>
          <w:sz w:val="20"/>
          <w:szCs w:val="20"/>
          <w:color w:val="auto"/>
        </w:rPr>
      </w:pPr>
      <w:r>
        <w:rPr>
          <w:rFonts w:ascii="Arial" w:cs="Arial" w:eastAsia="Arial" w:hAnsi="Arial"/>
          <w:sz w:val="11"/>
          <w:szCs w:val="11"/>
          <w:color w:val="050505"/>
        </w:rPr>
        <w:t>The application of indirect taxes, such as sales and use tax, subscription sales tax, value-added tax, provincial taxes, goods and services tax, business tax, and gross receipt tax, to businesses like ours and to our Subscribers is a complex and evolving issue. Significant judgment is required to evaluate applicable tax obligations. In many cases, the ultimate tax determination is uncertain because it is not clear how existing statutes apply to our business. One or more states, the federal government, or other countries may seek to impose additional reporting, record-keeping, or indirect tax collection obligations on businesses like ours that offer subscription services and other fitness offerings. New taxes could also require us to incur substantial costs to capture data and collect and remit taxes. If such obligations were imposed, the additional costs associated with tax collection, remittance, and audit requirements could have an adverse effect on our business, financial condition, and operating results.</w:t>
      </w:r>
    </w:p>
    <w:p>
      <w:pPr>
        <w:spacing w:after="0" w:line="141" w:lineRule="exact"/>
        <w:rPr>
          <w:sz w:val="20"/>
          <w:szCs w:val="20"/>
          <w:color w:val="auto"/>
        </w:rPr>
      </w:pPr>
    </w:p>
    <w:p>
      <w:pPr>
        <w:jc w:val="both"/>
        <w:ind w:left="2060" w:right="839"/>
        <w:spacing w:after="0" w:line="245" w:lineRule="auto"/>
        <w:rPr>
          <w:sz w:val="20"/>
          <w:szCs w:val="20"/>
          <w:color w:val="auto"/>
        </w:rPr>
      </w:pPr>
      <w:r>
        <w:rPr>
          <w:rFonts w:ascii="Arial" w:cs="Arial" w:eastAsia="Arial" w:hAnsi="Arial"/>
          <w:sz w:val="11"/>
          <w:szCs w:val="11"/>
          <w:color w:val="050505"/>
        </w:rPr>
        <w:t>We continue to analyze our exposure for taxes and liabilities and have accrued $5.7 million and $4.1 million for fiscal 2018 and 2019, respectively, for loss contingencies resulting from potential taxes and liabilities.</w:t>
      </w:r>
    </w:p>
    <w:p>
      <w:pPr>
        <w:spacing w:after="0" w:line="126" w:lineRule="exact"/>
        <w:rPr>
          <w:sz w:val="20"/>
          <w:szCs w:val="20"/>
          <w:color w:val="auto"/>
        </w:rPr>
      </w:pPr>
    </w:p>
    <w:p>
      <w:pPr>
        <w:jc w:val="both"/>
        <w:ind w:left="2060" w:right="839"/>
        <w:spacing w:after="0" w:line="268" w:lineRule="auto"/>
        <w:rPr>
          <w:sz w:val="20"/>
          <w:szCs w:val="20"/>
          <w:color w:val="auto"/>
        </w:rPr>
      </w:pPr>
      <w:r>
        <w:rPr>
          <w:rFonts w:ascii="Arial" w:cs="Arial" w:eastAsia="Arial" w:hAnsi="Arial"/>
          <w:sz w:val="11"/>
          <w:szCs w:val="11"/>
          <w:b w:val="1"/>
          <w:bCs w:val="1"/>
          <w:i w:val="1"/>
          <w:iCs w:val="1"/>
          <w:color w:val="050505"/>
        </w:rPr>
        <w:t>From time to time, we may be subject to legal proceedings, regulatory disputes, and governmental inquiries that could cause us to incur significant expenses, divert our management’s attention, and materially harm our business, financial condition, and operating results.</w:t>
      </w:r>
    </w:p>
    <w:p>
      <w:pPr>
        <w:spacing w:after="0" w:line="126" w:lineRule="exact"/>
        <w:rPr>
          <w:sz w:val="20"/>
          <w:szCs w:val="20"/>
          <w:color w:val="auto"/>
        </w:rPr>
      </w:pPr>
    </w:p>
    <w:p>
      <w:pPr>
        <w:jc w:val="both"/>
        <w:ind w:left="2060" w:right="839"/>
        <w:spacing w:after="0"/>
        <w:rPr>
          <w:sz w:val="20"/>
          <w:szCs w:val="20"/>
          <w:color w:val="auto"/>
        </w:rPr>
      </w:pPr>
      <w:r>
        <w:rPr>
          <w:rFonts w:ascii="Arial" w:cs="Arial" w:eastAsia="Arial" w:hAnsi="Arial"/>
          <w:sz w:val="11"/>
          <w:szCs w:val="11"/>
          <w:color w:val="050505"/>
        </w:rPr>
        <w:t>From time to time, we may be subject to claims, lawsuits, government investigations, and other proceedings involving products liability, competition and antitrust, intellectual property, privacy, consumer protection, securities, tax, labor and employment, commercial disputes, and other matters that could adversely affect our business operations and financial condition. As we have grown, we have seen a rise in the number and significance of these disputes and inquiries. Litigation and regulatory proceedings, and particularly the intellectual property infringement matters that we are currently facing or could face, may be protracted and expensive, and the results are difficult to predict. Certain of these matters include speculative claims for substantial or indeterminate amounts of damages and include claims for injunctive relief. Additionally, our litigation costs could be significant. Adverse outcomes with respect to litigation or any of these legal proceedings may result in significant settlement costs or judgments, penalties and fines, or require us to modify our products or services, make content unavailable, or require us to stop offering certain features, all of which could negatively affect our membership and revenue growth. See the section titled “Business—Legal Proceedings”</w:t>
      </w:r>
    </w:p>
    <w:p>
      <w:pPr>
        <w:spacing w:after="0" w:line="141" w:lineRule="exact"/>
        <w:rPr>
          <w:sz w:val="20"/>
          <w:szCs w:val="20"/>
          <w:color w:val="auto"/>
        </w:rPr>
      </w:pPr>
    </w:p>
    <w:p>
      <w:pPr>
        <w:jc w:val="both"/>
        <w:ind w:left="2060" w:right="839"/>
        <w:spacing w:after="0" w:line="241" w:lineRule="auto"/>
        <w:rPr>
          <w:sz w:val="20"/>
          <w:szCs w:val="20"/>
          <w:color w:val="auto"/>
        </w:rPr>
      </w:pPr>
      <w:r>
        <w:rPr>
          <w:rFonts w:ascii="Arial" w:cs="Arial" w:eastAsia="Arial" w:hAnsi="Arial"/>
          <w:sz w:val="11"/>
          <w:szCs w:val="11"/>
          <w:color w:val="050505"/>
        </w:rPr>
        <w:t>The results of litigation, investigations, claims, and regulatory proceedings cannot be predicted with certainty, and determining reserves for pending litigation and other legal and regulatory matters requires significant judgment. There can be no assurance that our expectations will prove correct, and even if these matters are resolved in our favor or without significant cash settlements, these matters, and the time and resources necessary to litigate or resolve them, could harm our business, financial condition, and operating results.</w:t>
      </w:r>
    </w:p>
    <w:p>
      <w:pPr>
        <w:spacing w:after="0" w:line="128" w:lineRule="exact"/>
        <w:rPr>
          <w:sz w:val="20"/>
          <w:szCs w:val="20"/>
          <w:color w:val="auto"/>
        </w:rPr>
      </w:pPr>
    </w:p>
    <w:p>
      <w:pPr>
        <w:ind w:left="2060"/>
        <w:spacing w:after="0"/>
        <w:rPr>
          <w:sz w:val="20"/>
          <w:szCs w:val="20"/>
          <w:color w:val="auto"/>
        </w:rPr>
      </w:pPr>
      <w:r>
        <w:rPr>
          <w:rFonts w:ascii="Arial" w:cs="Arial" w:eastAsia="Arial" w:hAnsi="Arial"/>
          <w:sz w:val="11"/>
          <w:szCs w:val="11"/>
          <w:b w:val="1"/>
          <w:bCs w:val="1"/>
          <w:i w:val="1"/>
          <w:iCs w:val="1"/>
          <w:color w:val="050505"/>
        </w:rPr>
        <w:t>Changes in how we market our products and services could adversely affect our marketing expenses and subscription levels.</w:t>
      </w:r>
    </w:p>
    <w:p>
      <w:pPr>
        <w:spacing w:after="0" w:line="156" w:lineRule="exact"/>
        <w:rPr>
          <w:sz w:val="20"/>
          <w:szCs w:val="20"/>
          <w:color w:val="auto"/>
        </w:rPr>
      </w:pPr>
    </w:p>
    <w:p>
      <w:pPr>
        <w:jc w:val="both"/>
        <w:ind w:left="2060" w:right="839"/>
        <w:spacing w:after="0" w:line="268" w:lineRule="auto"/>
        <w:rPr>
          <w:sz w:val="20"/>
          <w:szCs w:val="20"/>
          <w:color w:val="auto"/>
        </w:rPr>
      </w:pPr>
      <w:r>
        <w:rPr>
          <w:rFonts w:ascii="Arial" w:cs="Arial" w:eastAsia="Arial" w:hAnsi="Arial"/>
          <w:sz w:val="10"/>
          <w:szCs w:val="10"/>
          <w:color w:val="050505"/>
        </w:rPr>
        <w:t>We use a broad mix of marketing and other brand-building measures to attract Members. We use traditional television and online advertising, as well as third-party social media platforms such as Facebook, Twitter, and Instagram, as marketing tools. As television advertising, online, and social media platforms continue to rapidly evolve or grow more competitive, we must continue to maintain a presence on these platforms and establish a presence on new or emerging popular social media and advertising and marketing platforms. If we cannot cost effectively use these marketing tools or if we fail to promote our products and services efficiently and effectively, our ability to acquire new Members and our financial condition may suffer. In addition, an increase in the use of television, online, and social media for product promotion and marketing may increase the burden on us to monitor compliance of such materials and increase the risk that such materials could contain problematic product or marketing claims in violation of applicable regulations.</w:t>
      </w:r>
    </w:p>
    <w:p>
      <w:pPr>
        <w:spacing w:after="0" w:line="83" w:lineRule="exact"/>
        <w:rPr>
          <w:sz w:val="20"/>
          <w:szCs w:val="20"/>
          <w:color w:val="auto"/>
        </w:rPr>
      </w:pPr>
    </w:p>
    <w:p>
      <w:pPr>
        <w:ind w:left="5680"/>
        <w:spacing w:after="0"/>
        <w:rPr>
          <w:sz w:val="20"/>
          <w:szCs w:val="20"/>
          <w:color w:val="auto"/>
        </w:rPr>
      </w:pPr>
      <w:r>
        <w:rPr>
          <w:rFonts w:ascii="Arial" w:cs="Arial" w:eastAsia="Arial" w:hAnsi="Arial"/>
          <w:sz w:val="11"/>
          <w:szCs w:val="11"/>
          <w:color w:val="050505"/>
        </w:rPr>
        <w:t>32</w:t>
      </w:r>
    </w:p>
    <w:p>
      <w:pPr>
        <w:sectPr>
          <w:pgSz w:w="11900" w:h="16838" w:orient="portrait"/>
          <w:cols w:equalWidth="0" w:num="1">
            <w:col w:w="10239"/>
          </w:cols>
          <w:pgMar w:left="220" w:top="354" w:right="1440" w:bottom="1440" w:gutter="0" w:footer="0" w:header="0"/>
        </w:sectPr>
      </w:pPr>
    </w:p>
    <w:bookmarkStart w:id="37" w:name="page38"/>
    <w:bookmarkEnd w:id="37"/>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hyperlink w:anchor="page5">
        <w:r>
          <w:rPr>
            <w:rFonts w:ascii="Arial" w:cs="Arial" w:eastAsia="Arial" w:hAnsi="Arial"/>
            <w:sz w:val="12"/>
            <w:szCs w:val="12"/>
            <w:b w:val="1"/>
            <w:bCs w:val="1"/>
            <w:u w:val="single" w:color="auto"/>
            <w:color w:val="0000EE"/>
          </w:rPr>
          <w:t>Table of Contents</w:t>
        </w:r>
      </w:hyperlink>
    </w:p>
    <w:p>
      <w:pPr>
        <w:spacing w:after="0" w:line="204" w:lineRule="exact"/>
        <w:rPr>
          <w:sz w:val="20"/>
          <w:szCs w:val="20"/>
          <w:color w:val="auto"/>
        </w:rPr>
      </w:pPr>
    </w:p>
    <w:p>
      <w:pPr>
        <w:jc w:val="both"/>
        <w:ind w:left="2060" w:right="839"/>
        <w:spacing w:after="0" w:line="268" w:lineRule="auto"/>
        <w:rPr>
          <w:sz w:val="20"/>
          <w:szCs w:val="20"/>
          <w:color w:val="auto"/>
        </w:rPr>
      </w:pPr>
      <w:r>
        <w:rPr>
          <w:rFonts w:ascii="Arial" w:cs="Arial" w:eastAsia="Arial" w:hAnsi="Arial"/>
          <w:sz w:val="11"/>
          <w:szCs w:val="11"/>
          <w:b w:val="1"/>
          <w:bCs w:val="1"/>
          <w:i w:val="1"/>
          <w:iCs w:val="1"/>
          <w:color w:val="050505"/>
        </w:rPr>
        <w:t>An economic downturn or economic uncertainty may adversely affect consumer discretionary spending and demand for our products and services.</w:t>
      </w:r>
    </w:p>
    <w:p>
      <w:pPr>
        <w:spacing w:after="0" w:line="126" w:lineRule="exact"/>
        <w:rPr>
          <w:sz w:val="20"/>
          <w:szCs w:val="20"/>
          <w:color w:val="auto"/>
        </w:rPr>
      </w:pPr>
    </w:p>
    <w:p>
      <w:pPr>
        <w:jc w:val="both"/>
        <w:ind w:left="2060" w:right="839"/>
        <w:spacing w:after="0"/>
        <w:rPr>
          <w:sz w:val="20"/>
          <w:szCs w:val="20"/>
          <w:color w:val="auto"/>
        </w:rPr>
      </w:pPr>
      <w:r>
        <w:rPr>
          <w:rFonts w:ascii="Arial" w:cs="Arial" w:eastAsia="Arial" w:hAnsi="Arial"/>
          <w:sz w:val="11"/>
          <w:szCs w:val="11"/>
          <w:color w:val="050505"/>
        </w:rPr>
        <w:t>Our products and services may be considered discretionary items for consumers. Factors affecting the level of consumer spending for such discretionary items include general economic conditions, and other factors, such as consumer confidence in future economic conditions, fears of recession, the availability and cost of consumer credit, levels of unemployment, and tax rates. In recent years, the United States and other significant economic markets have experienced cyclical downturns and worldwide economic conditions remain uncertain. As global economic conditions continue to be volatile or economic uncertainty remains, trends in consumer discretionary spending also remain unpredictable and subject to reductions. To date, our business has operated almost exclusively in a relatively strong economic environment and, therefore, we cannot be sure the extent to which we may be affected by recessionary conditions. Unfavorable economic conditions may lead consumers to delay or reduce purchases of our products and services and consumer demand for our products and services may not grow as we expect. Our sensitivity to economic cycles and any related fluctuation in consumer demand for our products and services could have an adverse effect on our business, financial condition, and operating results.</w:t>
      </w:r>
    </w:p>
    <w:p>
      <w:pPr>
        <w:spacing w:after="0" w:line="129" w:lineRule="exact"/>
        <w:rPr>
          <w:sz w:val="20"/>
          <w:szCs w:val="20"/>
          <w:color w:val="auto"/>
        </w:rPr>
      </w:pPr>
    </w:p>
    <w:p>
      <w:pPr>
        <w:jc w:val="both"/>
        <w:ind w:left="2060" w:right="839"/>
        <w:spacing w:after="0" w:line="268" w:lineRule="auto"/>
        <w:rPr>
          <w:sz w:val="20"/>
          <w:szCs w:val="20"/>
          <w:color w:val="auto"/>
        </w:rPr>
      </w:pPr>
      <w:r>
        <w:rPr>
          <w:rFonts w:ascii="Arial" w:cs="Arial" w:eastAsia="Arial" w:hAnsi="Arial"/>
          <w:sz w:val="11"/>
          <w:szCs w:val="11"/>
          <w:b w:val="1"/>
          <w:bCs w:val="1"/>
          <w:i w:val="1"/>
          <w:iCs w:val="1"/>
          <w:color w:val="050505"/>
        </w:rPr>
        <w:t>Covenants in the loan and security agreement governing our revolving credit facility may restrict our operations, and if we do not effectively manage our business to comply with these covenants, our financial condition could be adversely impacted.</w:t>
      </w:r>
    </w:p>
    <w:p>
      <w:pPr>
        <w:spacing w:after="0" w:line="126" w:lineRule="exact"/>
        <w:rPr>
          <w:sz w:val="20"/>
          <w:szCs w:val="20"/>
          <w:color w:val="auto"/>
        </w:rPr>
      </w:pPr>
    </w:p>
    <w:p>
      <w:pPr>
        <w:jc w:val="both"/>
        <w:ind w:left="2060" w:right="839"/>
        <w:spacing w:after="0"/>
        <w:rPr>
          <w:sz w:val="20"/>
          <w:szCs w:val="20"/>
          <w:color w:val="auto"/>
        </w:rPr>
      </w:pPr>
      <w:r>
        <w:rPr>
          <w:rFonts w:ascii="Arial" w:cs="Arial" w:eastAsia="Arial" w:hAnsi="Arial"/>
          <w:sz w:val="11"/>
          <w:szCs w:val="11"/>
          <w:color w:val="050505"/>
        </w:rPr>
        <w:t>We entered into an amended and restated loan and security agreement, the Credit Agreement, with JPMorgan Chase Bank, N.A., Bank of America, N.A., Barclays Bank PLC, Goldman Sachs Lending Partners LLC, and Silicon Valley Bank in June 2019, which amended and restated the loan and security agreement that we previously entered into in November 2017, providing for a $250 million secured revolving line of credit. The term loan and revolving credit facility contains various restrictive covenants, including, among other things, minimum liquidity and revenue requirements, restrictions on our ability to dispose of assets, make acquisitions or investments, incur debt or liens, make distributions to our stockholders, or enter into certain types of related party transactions. These restrictions may restrict our current and future operations, particularly our ability to respond to certain changes in our business or industry, or take future actions. Pursuant to the agreement, we granted the parties thereto a security interest in substantially all of our assets. See the section titled “Management’s Discussion and Analysis of Financial Condition and Results of Operations—Liquidity and Capital Resources—Credit Agreement” for additional information.</w:t>
      </w:r>
    </w:p>
    <w:p>
      <w:pPr>
        <w:spacing w:after="0" w:line="141" w:lineRule="exact"/>
        <w:rPr>
          <w:sz w:val="20"/>
          <w:szCs w:val="20"/>
          <w:color w:val="auto"/>
        </w:rPr>
      </w:pPr>
    </w:p>
    <w:p>
      <w:pPr>
        <w:jc w:val="both"/>
        <w:ind w:left="2060" w:right="839"/>
        <w:spacing w:after="0"/>
        <w:rPr>
          <w:sz w:val="20"/>
          <w:szCs w:val="20"/>
          <w:color w:val="auto"/>
        </w:rPr>
      </w:pPr>
      <w:r>
        <w:rPr>
          <w:rFonts w:ascii="Arial" w:cs="Arial" w:eastAsia="Arial" w:hAnsi="Arial"/>
          <w:sz w:val="11"/>
          <w:szCs w:val="11"/>
          <w:color w:val="050505"/>
        </w:rPr>
        <w:t>Our ability to meet these restrictive covenants can be impacted by events beyond our control and we may be unable to do so. Our loan and security agreement provide that our breach or failure to satisfy certain covenants constitutes an event of default. Upon the occurrence of an event of default, our lenders could elect to declare all amounts outstanding under its debt agreements to be immediately due and payable. In addition, our lenders would have the right to proceed against the assets we provided as collateral pursuant to the loan and security agreement. If the debt under our loan and security agreement was to be accelerated, we may not have sufficient cash on hand or be able to sell sufficient collateral to repay it, which would have an immediate adverse effect on our business and operating results. This could potentially cause us to cease operations and result in a complete loss of your investment in our Class A common stock.</w:t>
      </w:r>
    </w:p>
    <w:p>
      <w:pPr>
        <w:spacing w:after="0" w:line="129" w:lineRule="exact"/>
        <w:rPr>
          <w:sz w:val="20"/>
          <w:szCs w:val="20"/>
          <w:color w:val="auto"/>
        </w:rPr>
      </w:pPr>
    </w:p>
    <w:p>
      <w:pPr>
        <w:jc w:val="both"/>
        <w:ind w:left="2060" w:right="839"/>
        <w:spacing w:after="0" w:line="268" w:lineRule="auto"/>
        <w:rPr>
          <w:sz w:val="20"/>
          <w:szCs w:val="20"/>
          <w:color w:val="auto"/>
        </w:rPr>
      </w:pPr>
      <w:r>
        <w:rPr>
          <w:rFonts w:ascii="Arial" w:cs="Arial" w:eastAsia="Arial" w:hAnsi="Arial"/>
          <w:sz w:val="11"/>
          <w:szCs w:val="11"/>
          <w:b w:val="1"/>
          <w:bCs w:val="1"/>
          <w:i w:val="1"/>
          <w:iCs w:val="1"/>
          <w:color w:val="050505"/>
        </w:rPr>
        <w:t>We may engage in merger and acquisition activities, which could require significant management attention, disrupt our business, dilute stockholder value, and adversely affect our operating results.</w:t>
      </w:r>
    </w:p>
    <w:p>
      <w:pPr>
        <w:spacing w:after="0" w:line="126" w:lineRule="exact"/>
        <w:rPr>
          <w:sz w:val="20"/>
          <w:szCs w:val="20"/>
          <w:color w:val="auto"/>
        </w:rPr>
      </w:pPr>
    </w:p>
    <w:p>
      <w:pPr>
        <w:jc w:val="both"/>
        <w:ind w:left="2060" w:right="839"/>
        <w:spacing w:after="0" w:line="267" w:lineRule="auto"/>
        <w:rPr>
          <w:sz w:val="20"/>
          <w:szCs w:val="20"/>
          <w:color w:val="auto"/>
        </w:rPr>
      </w:pPr>
      <w:r>
        <w:rPr>
          <w:rFonts w:ascii="Arial" w:cs="Arial" w:eastAsia="Arial" w:hAnsi="Arial"/>
          <w:sz w:val="10"/>
          <w:szCs w:val="10"/>
          <w:color w:val="050505"/>
        </w:rPr>
        <w:t>As part of our business strategy, we acquired our first company in 2018 and have made or may make investments in other companies, products, or technologies in the future. We may not be able to find suitable acquisition candidates and we may not be able to complete acquisitions on favorable terms, if at all, in the future. If we do complete acquisitions, we may not ultimately strengthen our competitive position or achieve our goals, and any acquisitions we complete could be viewed negatively by Members or investors. Moreover, an acquisition, investment, or business relationship may result in unforeseen operating difficulties and expenditures, including disrupting our ongoing operations, diverting management from their primary responsibilities, subjecting us to additional liabilities, increasing our expenses, and adversely impacting our business, financial condition, and operating results. Moreover, we may be exposed to unknown liabilities and the anticipated benefits of any acquisition, investment, or business relationship may not be realized, if, for example, we fail to successfully integrate such acquisitions, or the technologies associated with such acquisitions, into our company.</w:t>
      </w:r>
    </w:p>
    <w:p>
      <w:pPr>
        <w:spacing w:after="0" w:line="129" w:lineRule="exact"/>
        <w:rPr>
          <w:sz w:val="20"/>
          <w:szCs w:val="20"/>
          <w:color w:val="auto"/>
        </w:rPr>
      </w:pPr>
    </w:p>
    <w:p>
      <w:pPr>
        <w:jc w:val="both"/>
        <w:ind w:left="2060" w:right="839"/>
        <w:spacing w:after="0" w:line="245" w:lineRule="auto"/>
        <w:rPr>
          <w:sz w:val="20"/>
          <w:szCs w:val="20"/>
          <w:color w:val="auto"/>
        </w:rPr>
      </w:pPr>
      <w:r>
        <w:rPr>
          <w:rFonts w:ascii="Arial" w:cs="Arial" w:eastAsia="Arial" w:hAnsi="Arial"/>
          <w:sz w:val="11"/>
          <w:szCs w:val="11"/>
          <w:color w:val="050505"/>
        </w:rPr>
        <w:t>To pay for any such acquisitions, we would have to use cash, incur debt, or issue equity securities, each of which may affect our financial condition or the value of our capital stock and could result in dilution to our stockholders. If we incur more debt</w:t>
      </w:r>
    </w:p>
    <w:p>
      <w:pPr>
        <w:spacing w:after="0" w:line="93" w:lineRule="exact"/>
        <w:rPr>
          <w:sz w:val="20"/>
          <w:szCs w:val="20"/>
          <w:color w:val="auto"/>
        </w:rPr>
      </w:pPr>
    </w:p>
    <w:p>
      <w:pPr>
        <w:ind w:left="5680"/>
        <w:spacing w:after="0"/>
        <w:rPr>
          <w:sz w:val="20"/>
          <w:szCs w:val="20"/>
          <w:color w:val="auto"/>
        </w:rPr>
      </w:pPr>
      <w:r>
        <w:rPr>
          <w:rFonts w:ascii="Arial" w:cs="Arial" w:eastAsia="Arial" w:hAnsi="Arial"/>
          <w:sz w:val="11"/>
          <w:szCs w:val="11"/>
          <w:color w:val="050505"/>
        </w:rPr>
        <w:t>33</w:t>
      </w:r>
    </w:p>
    <w:p>
      <w:pPr>
        <w:sectPr>
          <w:pgSz w:w="11900" w:h="16838" w:orient="portrait"/>
          <w:cols w:equalWidth="0" w:num="1">
            <w:col w:w="10239"/>
          </w:cols>
          <w:pgMar w:left="220" w:top="354" w:right="1440" w:bottom="1440" w:gutter="0" w:footer="0" w:header="0"/>
        </w:sectPr>
      </w:pPr>
    </w:p>
    <w:bookmarkStart w:id="38" w:name="page39"/>
    <w:bookmarkEnd w:id="38"/>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hyperlink w:anchor="page5">
        <w:r>
          <w:rPr>
            <w:rFonts w:ascii="Arial" w:cs="Arial" w:eastAsia="Arial" w:hAnsi="Arial"/>
            <w:sz w:val="12"/>
            <w:szCs w:val="12"/>
            <w:b w:val="1"/>
            <w:bCs w:val="1"/>
            <w:u w:val="single" w:color="auto"/>
            <w:color w:val="0000EE"/>
          </w:rPr>
          <w:t>Table of Contents</w:t>
        </w:r>
      </w:hyperlink>
    </w:p>
    <w:p>
      <w:pPr>
        <w:spacing w:after="0" w:line="216" w:lineRule="exact"/>
        <w:rPr>
          <w:sz w:val="20"/>
          <w:szCs w:val="20"/>
          <w:color w:val="auto"/>
        </w:rPr>
      </w:pPr>
    </w:p>
    <w:p>
      <w:pPr>
        <w:jc w:val="both"/>
        <w:ind w:left="2060" w:right="839"/>
        <w:spacing w:after="0" w:line="241" w:lineRule="auto"/>
        <w:rPr>
          <w:sz w:val="20"/>
          <w:szCs w:val="20"/>
          <w:color w:val="auto"/>
        </w:rPr>
      </w:pPr>
      <w:r>
        <w:rPr>
          <w:rFonts w:ascii="Arial" w:cs="Arial" w:eastAsia="Arial" w:hAnsi="Arial"/>
          <w:sz w:val="11"/>
          <w:szCs w:val="11"/>
          <w:color w:val="050505"/>
        </w:rPr>
        <w:t>it would result in increased fixed obligations and could also subject us to covenants or other restrictions that would impede our ability to manage our operations. Additionally, we may receive indications of interest from other parties interested in acquiring some or all of our business. The time required to evaluate such indications of interest could require significant attention from management, disrupt the ordinary functioning of our business, and could have an adverse effect on our business, financial condition, and operating results.</w:t>
      </w:r>
    </w:p>
    <w:p>
      <w:pPr>
        <w:spacing w:after="0" w:line="128" w:lineRule="exact"/>
        <w:rPr>
          <w:sz w:val="20"/>
          <w:szCs w:val="20"/>
          <w:color w:val="auto"/>
        </w:rPr>
      </w:pPr>
    </w:p>
    <w:p>
      <w:pPr>
        <w:jc w:val="both"/>
        <w:ind w:left="2060" w:right="839"/>
        <w:spacing w:after="0" w:line="268" w:lineRule="auto"/>
        <w:rPr>
          <w:sz w:val="20"/>
          <w:szCs w:val="20"/>
          <w:color w:val="auto"/>
        </w:rPr>
      </w:pPr>
      <w:r>
        <w:rPr>
          <w:rFonts w:ascii="Arial" w:cs="Arial" w:eastAsia="Arial" w:hAnsi="Arial"/>
          <w:sz w:val="11"/>
          <w:szCs w:val="11"/>
          <w:b w:val="1"/>
          <w:bCs w:val="1"/>
          <w:i w:val="1"/>
          <w:iCs w:val="1"/>
          <w:color w:val="auto"/>
        </w:rPr>
        <w:t>We may require additional capital to support business growth and objectives, and this capital might not be available to us on reasonable terms, if at all, and may result in stockholder dilution.</w:t>
      </w:r>
    </w:p>
    <w:p>
      <w:pPr>
        <w:spacing w:after="0" w:line="126" w:lineRule="exact"/>
        <w:rPr>
          <w:sz w:val="20"/>
          <w:szCs w:val="20"/>
          <w:color w:val="auto"/>
        </w:rPr>
      </w:pPr>
    </w:p>
    <w:p>
      <w:pPr>
        <w:jc w:val="both"/>
        <w:ind w:left="2060" w:right="839"/>
        <w:spacing w:after="0" w:line="239" w:lineRule="auto"/>
        <w:rPr>
          <w:sz w:val="20"/>
          <w:szCs w:val="20"/>
          <w:color w:val="auto"/>
        </w:rPr>
      </w:pPr>
      <w:r>
        <w:rPr>
          <w:rFonts w:ascii="Arial" w:cs="Arial" w:eastAsia="Arial" w:hAnsi="Arial"/>
          <w:sz w:val="11"/>
          <w:szCs w:val="11"/>
          <w:color w:val="050505"/>
        </w:rPr>
        <w:t>We expect that our existing cash and cash equivalents, together with our net proceeds from this offering, will be sufficient to meet our anticipated cash needs for the foreseeable future. However, we intend to continue to make investments to support our business growth and may require additional capital to fund our business and to respond to competitive challenges, including the need to promote our products and services, develop new products and services, enhance our existing products, services, and operating infrastructure, and potentially to acquire complementary businesses and technologies. Accordingly, we may need to engage in equity or debt financings to secure additional funds. There can be no assurance that such additional funding will be available on terms attractive to us, or at all. Our inability to obtain additional funding when needed could have an adverse effect on our business, financial condition, and operating results. If additional funds are raised through the issuance of equity or convertible debt securities, holders of our Class A common stock could suffer significant dilution, and any new shares we issue could have rights, preferences, and privileges superior to those of our Class A common stock. Any debt financing secured by us in the future could involve restrictive covenants relating to our capital raising activities and other financial and operational matters, which may make it more difficult for us to obtain additional capital and to pursue business opportunities, including potential acquisitions.</w:t>
      </w:r>
    </w:p>
    <w:p>
      <w:pPr>
        <w:spacing w:after="0" w:line="134" w:lineRule="exact"/>
        <w:rPr>
          <w:sz w:val="20"/>
          <w:szCs w:val="20"/>
          <w:color w:val="auto"/>
        </w:rPr>
      </w:pPr>
    </w:p>
    <w:p>
      <w:pPr>
        <w:ind w:left="2060"/>
        <w:spacing w:after="0"/>
        <w:rPr>
          <w:sz w:val="20"/>
          <w:szCs w:val="20"/>
          <w:color w:val="auto"/>
        </w:rPr>
      </w:pPr>
      <w:r>
        <w:rPr>
          <w:rFonts w:ascii="Arial" w:cs="Arial" w:eastAsia="Arial" w:hAnsi="Arial"/>
          <w:sz w:val="11"/>
          <w:szCs w:val="11"/>
          <w:b w:val="1"/>
          <w:bCs w:val="1"/>
          <w:i w:val="1"/>
          <w:iCs w:val="1"/>
          <w:color w:val="auto"/>
        </w:rPr>
        <w:t>We are subject to payment processing risk.</w:t>
      </w:r>
    </w:p>
    <w:p>
      <w:pPr>
        <w:spacing w:after="0" w:line="156" w:lineRule="exact"/>
        <w:rPr>
          <w:sz w:val="20"/>
          <w:szCs w:val="20"/>
          <w:color w:val="auto"/>
        </w:rPr>
      </w:pPr>
    </w:p>
    <w:p>
      <w:pPr>
        <w:jc w:val="both"/>
        <w:ind w:left="2060" w:right="839"/>
        <w:spacing w:after="0" w:line="267" w:lineRule="auto"/>
        <w:rPr>
          <w:sz w:val="20"/>
          <w:szCs w:val="20"/>
          <w:color w:val="auto"/>
        </w:rPr>
      </w:pPr>
      <w:r>
        <w:rPr>
          <w:rFonts w:ascii="Arial" w:cs="Arial" w:eastAsia="Arial" w:hAnsi="Arial"/>
          <w:sz w:val="10"/>
          <w:szCs w:val="10"/>
          <w:color w:val="050505"/>
        </w:rPr>
        <w:t>Our customers pay for our products and services using a variety of different payment methods, including credit and debit cards, gift cards, and online wallets. We rely on internal systems as well as those of third parties to process payment. Acceptance and processing of these payment methods are subject to certain rules and regulations and require payment of interchange and other fees. To the extent there are disruptions in our payment processing systems, increases in payment processing fees, material changes in the payment ecosystem, such as large re-issuances of payment cards, delays in receiving payments from payment processors, or changes to rules or regulations concerning payment processing, our revenue, operating expenses and results of operation could be adversely impacted. We leverage our third-party payment processors to bill Subscribers on our behalf. If these third parties become unwilling or unable to continue processing payments on our behalf, we would have to find alternative methods of collecting payments, which could adversely impact Subscriber acquisition and retention. In addition, from time to time, we encounter fraudulent use of payment methods, which could impact our results of operation and if not adequately controlled and managed could create negative consumer perceptions of our service.</w:t>
      </w:r>
    </w:p>
    <w:p>
      <w:pPr>
        <w:spacing w:after="0" w:line="116" w:lineRule="exact"/>
        <w:rPr>
          <w:sz w:val="20"/>
          <w:szCs w:val="20"/>
          <w:color w:val="auto"/>
        </w:rPr>
      </w:pPr>
    </w:p>
    <w:p>
      <w:pPr>
        <w:ind w:left="2060"/>
        <w:spacing w:after="0"/>
        <w:rPr>
          <w:sz w:val="20"/>
          <w:szCs w:val="20"/>
          <w:color w:val="auto"/>
        </w:rPr>
      </w:pPr>
      <w:r>
        <w:rPr>
          <w:rFonts w:ascii="Arial" w:cs="Arial" w:eastAsia="Arial" w:hAnsi="Arial"/>
          <w:sz w:val="11"/>
          <w:szCs w:val="11"/>
          <w:b w:val="1"/>
          <w:bCs w:val="1"/>
          <w:i w:val="1"/>
          <w:iCs w:val="1"/>
          <w:color w:val="auto"/>
        </w:rPr>
        <w:t>Our ability to use our net operating loss to offset future taxable income may be subject to certain limitations.</w:t>
      </w:r>
    </w:p>
    <w:p>
      <w:pPr>
        <w:spacing w:after="0" w:line="156" w:lineRule="exact"/>
        <w:rPr>
          <w:sz w:val="20"/>
          <w:szCs w:val="20"/>
          <w:color w:val="auto"/>
        </w:rPr>
      </w:pPr>
    </w:p>
    <w:p>
      <w:pPr>
        <w:jc w:val="both"/>
        <w:ind w:left="2060" w:right="839"/>
        <w:spacing w:after="0" w:line="241" w:lineRule="auto"/>
        <w:rPr>
          <w:sz w:val="20"/>
          <w:szCs w:val="20"/>
          <w:color w:val="auto"/>
        </w:rPr>
      </w:pPr>
      <w:r>
        <w:rPr>
          <w:rFonts w:ascii="Arial" w:cs="Arial" w:eastAsia="Arial" w:hAnsi="Arial"/>
          <w:sz w:val="11"/>
          <w:szCs w:val="11"/>
          <w:color w:val="050505"/>
        </w:rPr>
        <w:t>As of June 30, 2019, we had U.S. federal net operating loss carryforwards, or NOLs, and state NOLs of approximately $112.6 million and $95.8 million, respectively, due to prior period losses which if not utilized will begin to expire for federal and state tax purposes beginning in 2036 and 2021, respectively. Realization of these NOLs depends on future income, and there is a risk that our existing NOLs could expire unused and be unavailable to offset future income tax liabilities, which could adversely affect our operating results.</w:t>
      </w:r>
    </w:p>
    <w:p>
      <w:pPr>
        <w:spacing w:after="0" w:line="140" w:lineRule="exact"/>
        <w:rPr>
          <w:sz w:val="20"/>
          <w:szCs w:val="20"/>
          <w:color w:val="auto"/>
        </w:rPr>
      </w:pPr>
    </w:p>
    <w:p>
      <w:pPr>
        <w:jc w:val="both"/>
        <w:ind w:left="2060" w:right="839"/>
        <w:spacing w:after="0"/>
        <w:rPr>
          <w:sz w:val="20"/>
          <w:szCs w:val="20"/>
          <w:color w:val="auto"/>
        </w:rPr>
      </w:pPr>
      <w:r>
        <w:rPr>
          <w:rFonts w:ascii="Arial" w:cs="Arial" w:eastAsia="Arial" w:hAnsi="Arial"/>
          <w:sz w:val="11"/>
          <w:szCs w:val="11"/>
          <w:color w:val="050505"/>
        </w:rPr>
        <w:t>In general, under Section 382 of the Internal Revenue Code of 1986, as amended, or the Code, a corporation that undergoes an “ownership change” is subject to limitations on its ability to utilize its NOLs to offset future taxable income. We have undergone two ownership changes on November 30, 2015 and April 18, 2017 and our NOLs arising before those dates are subject to one or more Section 382 limitations which may materially limit the use of such NOLs to offset our future taxable income. In addition, this offering, as well as future changes in our stock ownership, the causes of which may be outside of our control, could result in an additional ownership change under Section 382 of the Code. Our NOLs may also be impaired under state laws. In addition, under the 2017 Tax Cuts and Jobs Act, or the Tax Act, tax losses generated in taxable years beginning after December 31, 2017 may be utilized to offset no more than 80% of taxable income annually. This change</w:t>
      </w:r>
    </w:p>
    <w:p>
      <w:pPr>
        <w:spacing w:after="0" w:line="96" w:lineRule="exact"/>
        <w:rPr>
          <w:sz w:val="20"/>
          <w:szCs w:val="20"/>
          <w:color w:val="auto"/>
        </w:rPr>
      </w:pPr>
    </w:p>
    <w:p>
      <w:pPr>
        <w:ind w:left="5680"/>
        <w:spacing w:after="0"/>
        <w:rPr>
          <w:sz w:val="20"/>
          <w:szCs w:val="20"/>
          <w:color w:val="auto"/>
        </w:rPr>
      </w:pPr>
      <w:r>
        <w:rPr>
          <w:rFonts w:ascii="Arial" w:cs="Arial" w:eastAsia="Arial" w:hAnsi="Arial"/>
          <w:sz w:val="11"/>
          <w:szCs w:val="11"/>
          <w:color w:val="050505"/>
        </w:rPr>
        <w:t>34</w:t>
      </w:r>
    </w:p>
    <w:p>
      <w:pPr>
        <w:sectPr>
          <w:pgSz w:w="11900" w:h="16838" w:orient="portrait"/>
          <w:cols w:equalWidth="0" w:num="1">
            <w:col w:w="10239"/>
          </w:cols>
          <w:pgMar w:left="220" w:top="354" w:right="1440" w:bottom="1440" w:gutter="0" w:footer="0" w:header="0"/>
        </w:sectPr>
      </w:pPr>
    </w:p>
    <w:bookmarkStart w:id="39" w:name="page40"/>
    <w:bookmarkEnd w:id="39"/>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hyperlink w:anchor="page5">
        <w:r>
          <w:rPr>
            <w:rFonts w:ascii="Arial" w:cs="Arial" w:eastAsia="Arial" w:hAnsi="Arial"/>
            <w:sz w:val="12"/>
            <w:szCs w:val="12"/>
            <w:b w:val="1"/>
            <w:bCs w:val="1"/>
            <w:u w:val="single" w:color="auto"/>
            <w:color w:val="0000EE"/>
          </w:rPr>
          <w:t>Table of Contents</w:t>
        </w:r>
      </w:hyperlink>
    </w:p>
    <w:p>
      <w:pPr>
        <w:spacing w:after="0" w:line="216" w:lineRule="exact"/>
        <w:rPr>
          <w:sz w:val="20"/>
          <w:szCs w:val="20"/>
          <w:color w:val="auto"/>
        </w:rPr>
      </w:pPr>
    </w:p>
    <w:p>
      <w:pPr>
        <w:jc w:val="both"/>
        <w:ind w:left="2060" w:right="839"/>
        <w:spacing w:after="0" w:line="241" w:lineRule="auto"/>
        <w:rPr>
          <w:sz w:val="20"/>
          <w:szCs w:val="20"/>
          <w:color w:val="auto"/>
        </w:rPr>
      </w:pPr>
      <w:r>
        <w:rPr>
          <w:rFonts w:ascii="Arial" w:cs="Arial" w:eastAsia="Arial" w:hAnsi="Arial"/>
          <w:sz w:val="11"/>
          <w:szCs w:val="11"/>
          <w:color w:val="050505"/>
        </w:rPr>
        <w:t>may require us to pay federal income taxes in future years despite generating a loss for federal income tax purposes. There is also a risk that due to regulatory changes, such as suspensions on the use of NOLs, or other unforeseen reasons, our existing NOLs could expire or otherwise be unavailable to offset future income tax liabilities. For these reasons, we may not be able to realize a tax benefit from the use of our NOLs, whether or not we attain profitability.</w:t>
      </w:r>
    </w:p>
    <w:p>
      <w:pPr>
        <w:spacing w:after="0" w:line="128" w:lineRule="exact"/>
        <w:rPr>
          <w:sz w:val="20"/>
          <w:szCs w:val="20"/>
          <w:color w:val="auto"/>
        </w:rPr>
      </w:pPr>
    </w:p>
    <w:p>
      <w:pPr>
        <w:ind w:left="2060"/>
        <w:spacing w:after="0"/>
        <w:rPr>
          <w:sz w:val="20"/>
          <w:szCs w:val="20"/>
          <w:color w:val="auto"/>
        </w:rPr>
      </w:pPr>
      <w:r>
        <w:rPr>
          <w:rFonts w:ascii="Arial" w:cs="Arial" w:eastAsia="Arial" w:hAnsi="Arial"/>
          <w:sz w:val="11"/>
          <w:szCs w:val="11"/>
          <w:b w:val="1"/>
          <w:bCs w:val="1"/>
          <w:i w:val="1"/>
          <w:iCs w:val="1"/>
          <w:color w:val="auto"/>
        </w:rPr>
        <w:t>We may face exposure to foreign currency exchange rate fluctuations.</w:t>
      </w:r>
    </w:p>
    <w:p>
      <w:pPr>
        <w:spacing w:after="0" w:line="156" w:lineRule="exact"/>
        <w:rPr>
          <w:sz w:val="20"/>
          <w:szCs w:val="20"/>
          <w:color w:val="auto"/>
        </w:rPr>
      </w:pPr>
    </w:p>
    <w:p>
      <w:pPr>
        <w:jc w:val="both"/>
        <w:ind w:left="2060" w:right="839"/>
        <w:spacing w:after="0" w:line="239" w:lineRule="auto"/>
        <w:rPr>
          <w:sz w:val="20"/>
          <w:szCs w:val="20"/>
          <w:color w:val="auto"/>
        </w:rPr>
      </w:pPr>
      <w:r>
        <w:rPr>
          <w:rFonts w:ascii="Arial" w:cs="Arial" w:eastAsia="Arial" w:hAnsi="Arial"/>
          <w:sz w:val="11"/>
          <w:szCs w:val="11"/>
          <w:color w:val="050505"/>
        </w:rPr>
        <w:t>While we have historically transacted in U.S. dollars with the majority of our Subscribers and suppliers, we have transacted in some foreign currencies, such as the Canadian Dollar and U.K Pound Sterling, and may transact in more foreign currencies in the future. Further, certain of our manufacturing agreements provide for fixed costs of our Connected Fitness Products and hardware in Taiwanese dollars but provide for payment in U.S. dollars based on the then-current Taiwanese dollar to U.S. dollar spot rate. Accordingly, changes in the value of foreign currencies relative to the U.S. dollar can affect our revenue and operating results. As a result of such foreign currency exchange rate fluctuations, it could be more difficult to detect underlying trends in our business and operating results. In addition, to the extent that fluctuations in currency exchange rates cause our operating results to differ from our expectations or the expectations of our investors, the trading price of our Class A common stock could be lowered. We do not currently maintain a program to hedge transactional exposures in foreign currencies. However, in the future, we may use derivative instruments, such as foreign currency forward and option contracts, to hedge certain exposures to fluctuations in foreign currency exchange rates. The use of such hedging activities may not offset any or more than a portion of the adverse financial effects of unfavorable movements in foreign exchange rates over the limited time the hedges are in place and may introduce additional risks if we are unable to structure effective hedges with such instruments.</w:t>
      </w:r>
    </w:p>
    <w:p>
      <w:pPr>
        <w:spacing w:after="0" w:line="134" w:lineRule="exact"/>
        <w:rPr>
          <w:sz w:val="20"/>
          <w:szCs w:val="20"/>
          <w:color w:val="auto"/>
        </w:rPr>
      </w:pPr>
    </w:p>
    <w:p>
      <w:pPr>
        <w:jc w:val="both"/>
        <w:ind w:left="2060" w:right="839"/>
        <w:spacing w:after="0" w:line="268" w:lineRule="auto"/>
        <w:rPr>
          <w:sz w:val="20"/>
          <w:szCs w:val="20"/>
          <w:color w:val="auto"/>
        </w:rPr>
      </w:pPr>
      <w:r>
        <w:rPr>
          <w:rFonts w:ascii="Arial" w:cs="Arial" w:eastAsia="Arial" w:hAnsi="Arial"/>
          <w:sz w:val="11"/>
          <w:szCs w:val="11"/>
          <w:b w:val="1"/>
          <w:bCs w:val="1"/>
          <w:i w:val="1"/>
          <w:iCs w:val="1"/>
          <w:color w:val="auto"/>
        </w:rPr>
        <w:t>We are subject to governmental export and import controls and economic sanctions laws that could subject us to liability and impair our ability to compete in international markets.</w:t>
      </w:r>
    </w:p>
    <w:p>
      <w:pPr>
        <w:spacing w:after="0" w:line="126" w:lineRule="exact"/>
        <w:rPr>
          <w:sz w:val="20"/>
          <w:szCs w:val="20"/>
          <w:color w:val="auto"/>
        </w:rPr>
      </w:pPr>
    </w:p>
    <w:p>
      <w:pPr>
        <w:jc w:val="both"/>
        <w:ind w:left="2060" w:right="839"/>
        <w:spacing w:after="0"/>
        <w:rPr>
          <w:sz w:val="20"/>
          <w:szCs w:val="20"/>
          <w:color w:val="auto"/>
        </w:rPr>
      </w:pPr>
      <w:r>
        <w:rPr>
          <w:rFonts w:ascii="Arial" w:cs="Arial" w:eastAsia="Arial" w:hAnsi="Arial"/>
          <w:sz w:val="11"/>
          <w:szCs w:val="11"/>
          <w:color w:val="050505"/>
        </w:rPr>
        <w:t>The United States and various foreign governments have imposed controls, export license requirements, and restrictions on the import or export of certain technologies. Our products may be subject to U.S. export controls, which may require submission of a product classification and annual or semi-annual reports. Compliance with applicable regulatory requirements regarding the export of our products and services may create delays in the introduction of our products and services in international markets, prevent our international Members from accessing our products and services, and, in some cases, prevent the export of our products and services to some countries altogether.</w:t>
      </w:r>
    </w:p>
    <w:p>
      <w:pPr>
        <w:spacing w:after="0" w:line="142" w:lineRule="exact"/>
        <w:rPr>
          <w:sz w:val="20"/>
          <w:szCs w:val="20"/>
          <w:color w:val="auto"/>
        </w:rPr>
      </w:pPr>
    </w:p>
    <w:p>
      <w:pPr>
        <w:jc w:val="both"/>
        <w:ind w:left="2060" w:right="839"/>
        <w:spacing w:after="0"/>
        <w:rPr>
          <w:sz w:val="20"/>
          <w:szCs w:val="20"/>
          <w:color w:val="auto"/>
        </w:rPr>
      </w:pPr>
      <w:r>
        <w:rPr>
          <w:rFonts w:ascii="Arial" w:cs="Arial" w:eastAsia="Arial" w:hAnsi="Arial"/>
          <w:sz w:val="11"/>
          <w:szCs w:val="11"/>
          <w:color w:val="050505"/>
        </w:rPr>
        <w:t>Furthermore, U.S. export control laws and economic sanctions prohibit the provision of products and services to countries, governments, and persons targeted by U.S. sanctions. Even though we take precautions to prevent our products from being provided to targets of U.S. sanctions, our products and services, including our firmware updates, could be provided to those targets or provided by our Members. Any such provision could have negative consequences, including government investigations, penalties, reputational harm. Our failure to obtain required import or export approval for our products could harm our international and domestic sales and adversely affect our revenue.</w:t>
      </w:r>
    </w:p>
    <w:p>
      <w:pPr>
        <w:spacing w:after="0" w:line="142" w:lineRule="exact"/>
        <w:rPr>
          <w:sz w:val="20"/>
          <w:szCs w:val="20"/>
          <w:color w:val="auto"/>
        </w:rPr>
      </w:pPr>
    </w:p>
    <w:p>
      <w:pPr>
        <w:jc w:val="both"/>
        <w:ind w:left="2060" w:right="839"/>
        <w:spacing w:after="0" w:line="242" w:lineRule="auto"/>
        <w:rPr>
          <w:sz w:val="20"/>
          <w:szCs w:val="20"/>
          <w:color w:val="auto"/>
        </w:rPr>
      </w:pPr>
      <w:r>
        <w:rPr>
          <w:rFonts w:ascii="Arial" w:cs="Arial" w:eastAsia="Arial" w:hAnsi="Arial"/>
          <w:sz w:val="11"/>
          <w:szCs w:val="11"/>
          <w:color w:val="050505"/>
        </w:rPr>
        <w:t>We could be subject to future enforcement action with respect to compliance with governmental export and import controls and economic sanctions laws that result in penalties, costs, and restrictions on export privileges that could have an adverse effect on our business, financial condition, and operating results.</w:t>
      </w:r>
    </w:p>
    <w:p>
      <w:pPr>
        <w:spacing w:after="0" w:line="128" w:lineRule="exact"/>
        <w:rPr>
          <w:sz w:val="20"/>
          <w:szCs w:val="20"/>
          <w:color w:val="auto"/>
        </w:rPr>
      </w:pPr>
    </w:p>
    <w:p>
      <w:pPr>
        <w:jc w:val="both"/>
        <w:ind w:left="2060" w:right="839"/>
        <w:spacing w:after="0" w:line="268" w:lineRule="auto"/>
        <w:rPr>
          <w:sz w:val="20"/>
          <w:szCs w:val="20"/>
          <w:color w:val="auto"/>
        </w:rPr>
      </w:pPr>
      <w:r>
        <w:rPr>
          <w:rFonts w:ascii="Arial" w:cs="Arial" w:eastAsia="Arial" w:hAnsi="Arial"/>
          <w:sz w:val="11"/>
          <w:szCs w:val="11"/>
          <w:b w:val="1"/>
          <w:bCs w:val="1"/>
          <w:i w:val="1"/>
          <w:iCs w:val="1"/>
          <w:color w:val="auto"/>
        </w:rPr>
        <w:t>Failure to comply with anti-corruption and anti-money laundering laws, including the FCPA and similar laws associated with our activities outside of the United States, could subject us to penalties and other adverse consequences.</w:t>
      </w:r>
    </w:p>
    <w:p>
      <w:pPr>
        <w:spacing w:after="0" w:line="126" w:lineRule="exact"/>
        <w:rPr>
          <w:sz w:val="20"/>
          <w:szCs w:val="20"/>
          <w:color w:val="auto"/>
        </w:rPr>
      </w:pPr>
    </w:p>
    <w:p>
      <w:pPr>
        <w:jc w:val="both"/>
        <w:ind w:left="2060" w:right="839"/>
        <w:spacing w:after="0"/>
        <w:rPr>
          <w:sz w:val="20"/>
          <w:szCs w:val="20"/>
          <w:color w:val="auto"/>
        </w:rPr>
      </w:pPr>
      <w:r>
        <w:rPr>
          <w:rFonts w:ascii="Arial" w:cs="Arial" w:eastAsia="Arial" w:hAnsi="Arial"/>
          <w:sz w:val="11"/>
          <w:szCs w:val="11"/>
          <w:color w:val="050505"/>
        </w:rPr>
        <w:t>We operate a global business and may have direct or indirect interactions with officials and employees of government agencies or state-owned or affiliated entities. We are subject to the FCPA, the U.S. domestic bribery statute contained in 18 U.S.C. § 201, the U.S. Travel Act, the USA PATRIOT Act, the U.K. Bribery Act, and possibly other anti-bribery and anti-money laundering laws in countries in which we conduct activities. These laws that prohibit companies and their employees and third-party intermediaries from corruptly promising, authorizing, offering, or providing, directly or indirectly, improper payments or anything of value to foreign government officials, political parties, and private-sector recipients for the purpose of obtaining or retaining business, directing business to any person, or securing any advantage. In addition, U.S. public companies are required to maintain records that accurately and fairly represent their transactions and have an adequate</w:t>
      </w:r>
    </w:p>
    <w:p>
      <w:pPr>
        <w:spacing w:after="0" w:line="96" w:lineRule="exact"/>
        <w:rPr>
          <w:sz w:val="20"/>
          <w:szCs w:val="20"/>
          <w:color w:val="auto"/>
        </w:rPr>
      </w:pPr>
    </w:p>
    <w:p>
      <w:pPr>
        <w:ind w:left="5680"/>
        <w:spacing w:after="0"/>
        <w:rPr>
          <w:sz w:val="20"/>
          <w:szCs w:val="20"/>
          <w:color w:val="auto"/>
        </w:rPr>
      </w:pPr>
      <w:r>
        <w:rPr>
          <w:rFonts w:ascii="Arial" w:cs="Arial" w:eastAsia="Arial" w:hAnsi="Arial"/>
          <w:sz w:val="11"/>
          <w:szCs w:val="11"/>
          <w:color w:val="050505"/>
        </w:rPr>
        <w:t>35</w:t>
      </w:r>
    </w:p>
    <w:p>
      <w:pPr>
        <w:sectPr>
          <w:pgSz w:w="11900" w:h="16838" w:orient="portrait"/>
          <w:cols w:equalWidth="0" w:num="1">
            <w:col w:w="10239"/>
          </w:cols>
          <w:pgMar w:left="220" w:top="354" w:right="1440" w:bottom="1440" w:gutter="0" w:footer="0" w:header="0"/>
        </w:sectPr>
      </w:pPr>
    </w:p>
    <w:bookmarkStart w:id="40" w:name="page41"/>
    <w:bookmarkEnd w:id="40"/>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hyperlink w:anchor="page5">
        <w:r>
          <w:rPr>
            <w:rFonts w:ascii="Arial" w:cs="Arial" w:eastAsia="Arial" w:hAnsi="Arial"/>
            <w:sz w:val="12"/>
            <w:szCs w:val="12"/>
            <w:b w:val="1"/>
            <w:bCs w:val="1"/>
            <w:u w:val="single" w:color="auto"/>
            <w:color w:val="0000EE"/>
          </w:rPr>
          <w:t>Table of Contents</w:t>
        </w:r>
      </w:hyperlink>
    </w:p>
    <w:p>
      <w:pPr>
        <w:spacing w:after="0" w:line="216" w:lineRule="exact"/>
        <w:rPr>
          <w:sz w:val="20"/>
          <w:szCs w:val="20"/>
          <w:color w:val="auto"/>
        </w:rPr>
      </w:pPr>
    </w:p>
    <w:p>
      <w:pPr>
        <w:jc w:val="both"/>
        <w:ind w:left="2060" w:right="839"/>
        <w:spacing w:after="0"/>
        <w:rPr>
          <w:sz w:val="20"/>
          <w:szCs w:val="20"/>
          <w:color w:val="auto"/>
        </w:rPr>
      </w:pPr>
      <w:r>
        <w:rPr>
          <w:rFonts w:ascii="Arial" w:cs="Arial" w:eastAsia="Arial" w:hAnsi="Arial"/>
          <w:sz w:val="11"/>
          <w:szCs w:val="11"/>
          <w:color w:val="050505"/>
        </w:rPr>
        <w:t>system of internal accounting controls. In many foreign countries, including countries in which we may conduct business, it may be a local custom that businesses engage in practices that are prohibited by the FCPA or other applicable laws and regulations. We face significant risks if we or any of our directors, officers, employees, agents or other partners or representatives fail to comply with these laws and governmental authorities in the United States and elsewhere could seek to impose substantial civil and/or criminal fines and penalties which could have a material adverse effect on our business, reputation, operating results and financial condition.</w:t>
      </w:r>
    </w:p>
    <w:p>
      <w:pPr>
        <w:spacing w:after="0" w:line="142" w:lineRule="exact"/>
        <w:rPr>
          <w:sz w:val="20"/>
          <w:szCs w:val="20"/>
          <w:color w:val="auto"/>
        </w:rPr>
      </w:pPr>
    </w:p>
    <w:p>
      <w:pPr>
        <w:jc w:val="both"/>
        <w:ind w:left="2060" w:right="839"/>
        <w:spacing w:after="0" w:line="242" w:lineRule="auto"/>
        <w:rPr>
          <w:sz w:val="20"/>
          <w:szCs w:val="20"/>
          <w:color w:val="auto"/>
        </w:rPr>
      </w:pPr>
      <w:r>
        <w:rPr>
          <w:rFonts w:ascii="Arial" w:cs="Arial" w:eastAsia="Arial" w:hAnsi="Arial"/>
          <w:sz w:val="11"/>
          <w:szCs w:val="11"/>
          <w:color w:val="050505"/>
        </w:rPr>
        <w:t>We have begun to implement an anti-corruption compliance program and policies, procedures and training designed to foster compliance with these laws, however, our employees, contractors, and agents, and companies to which we outsource certain of our business operations, may take actions in violation of our policies or applicable law. Any such violation could have an adverse effect on our reputation, business, operating results and prospects.</w:t>
      </w:r>
    </w:p>
    <w:p>
      <w:pPr>
        <w:spacing w:after="0" w:line="140" w:lineRule="exact"/>
        <w:rPr>
          <w:sz w:val="20"/>
          <w:szCs w:val="20"/>
          <w:color w:val="auto"/>
        </w:rPr>
      </w:pPr>
    </w:p>
    <w:p>
      <w:pPr>
        <w:jc w:val="both"/>
        <w:ind w:left="2060" w:right="839"/>
        <w:spacing w:after="0"/>
        <w:rPr>
          <w:sz w:val="20"/>
          <w:szCs w:val="20"/>
          <w:color w:val="auto"/>
        </w:rPr>
      </w:pPr>
      <w:r>
        <w:rPr>
          <w:rFonts w:ascii="Arial" w:cs="Arial" w:eastAsia="Arial" w:hAnsi="Arial"/>
          <w:sz w:val="11"/>
          <w:szCs w:val="11"/>
          <w:color w:val="050505"/>
        </w:rPr>
        <w:t>Any violation of the FCPA, other applicable anti-corruption laws, or anti-money laundering laws could result in whistleblower complaints, adverse media coverage, investigations, loss of export privileges, severe criminal or civil sanctions and, in the case of the FCPA, suspension or debarment from U.S. government contracts, any of which could have a materially adverse effect on our reputation, business, operating results, and prospects. In addition, responding to any enforcement action may result in a significant diversion of management’s attention and resources and significant defense costs and other professional fees.</w:t>
      </w:r>
    </w:p>
    <w:p>
      <w:pPr>
        <w:spacing w:after="0" w:line="130" w:lineRule="exact"/>
        <w:rPr>
          <w:sz w:val="20"/>
          <w:szCs w:val="20"/>
          <w:color w:val="auto"/>
        </w:rPr>
      </w:pPr>
    </w:p>
    <w:p>
      <w:pPr>
        <w:jc w:val="both"/>
        <w:ind w:left="2060" w:right="839"/>
        <w:spacing w:after="0" w:line="268" w:lineRule="auto"/>
        <w:rPr>
          <w:sz w:val="20"/>
          <w:szCs w:val="20"/>
          <w:color w:val="auto"/>
        </w:rPr>
      </w:pPr>
      <w:r>
        <w:rPr>
          <w:rFonts w:ascii="Arial" w:cs="Arial" w:eastAsia="Arial" w:hAnsi="Arial"/>
          <w:sz w:val="11"/>
          <w:szCs w:val="11"/>
          <w:b w:val="1"/>
          <w:bCs w:val="1"/>
          <w:i w:val="1"/>
          <w:iCs w:val="1"/>
          <w:color w:val="auto"/>
        </w:rPr>
        <w:t>Changes in legislation in U.S. and foreign taxation of international business activities or the adoption of other tax reform policies, as well as the application of such laws, could adversely impact our financial position and operating results.</w:t>
      </w:r>
    </w:p>
    <w:p>
      <w:pPr>
        <w:spacing w:after="0" w:line="126" w:lineRule="exact"/>
        <w:rPr>
          <w:sz w:val="20"/>
          <w:szCs w:val="20"/>
          <w:color w:val="auto"/>
        </w:rPr>
      </w:pPr>
    </w:p>
    <w:p>
      <w:pPr>
        <w:jc w:val="both"/>
        <w:ind w:left="2060" w:right="839"/>
        <w:spacing w:after="0" w:line="267" w:lineRule="auto"/>
        <w:rPr>
          <w:sz w:val="20"/>
          <w:szCs w:val="20"/>
          <w:color w:val="auto"/>
        </w:rPr>
      </w:pPr>
      <w:r>
        <w:rPr>
          <w:rFonts w:ascii="Arial" w:cs="Arial" w:eastAsia="Arial" w:hAnsi="Arial"/>
          <w:sz w:val="10"/>
          <w:szCs w:val="10"/>
          <w:color w:val="050505"/>
        </w:rPr>
        <w:t>Recent or future changes to U.S., U.K. and other foreign tax laws could impact the tax treatment of our foreign earnings. We generally conduct our international operations through wholly owned subsidiaries, branches, or representative offices and report our taxable income in various jurisdictions worldwide based upon our business operations in those jurisdictions. Further, we are in the process of implementing an international structure that aligns with our financial and operational objectives as evaluated based on our international markets, expansion plans, and operational needs for headcount and physical infrastructure outside the United States. The intercompany relationships between our legal entities are subject to complex transfer pricing regulations administered by taxing authorities in various jurisdictions. Although we believe we are compliant with applicable transfer pricing and other tax laws in the United States, the United Kingdom, and other relevant countries, due to changes in such laws and rules, we may have to modify our international structure in the future, which will incur costs, may increase our worldwide effective tax rate, and may adversely affect our financial position and operating results. In addition, significant judgment is required in evaluating our tax positions and determining our provision for income taxes.</w:t>
      </w:r>
    </w:p>
    <w:p>
      <w:pPr>
        <w:spacing w:after="0" w:line="128" w:lineRule="exact"/>
        <w:rPr>
          <w:sz w:val="20"/>
          <w:szCs w:val="20"/>
          <w:color w:val="auto"/>
        </w:rPr>
      </w:pPr>
    </w:p>
    <w:p>
      <w:pPr>
        <w:jc w:val="both"/>
        <w:ind w:left="2060" w:right="839"/>
        <w:spacing w:after="0"/>
        <w:rPr>
          <w:sz w:val="20"/>
          <w:szCs w:val="20"/>
          <w:color w:val="auto"/>
        </w:rPr>
      </w:pPr>
      <w:r>
        <w:rPr>
          <w:rFonts w:ascii="Arial" w:cs="Arial" w:eastAsia="Arial" w:hAnsi="Arial"/>
          <w:sz w:val="11"/>
          <w:szCs w:val="11"/>
          <w:color w:val="050505"/>
        </w:rPr>
        <w:t>During the ordinary course of business, there are many transactions and calculations for which the ultimate tax determination is uncertain. For example, our effective tax rates could be adversely affected by earnings being lower than anticipated in countries where we have lower statutory rates and higher than anticipated in countries where we have higher statutory rates, by changes in foreign currency exchange rates, or by changes in the relevant tax, accounting, and other laws, regulations, principles, and interpretations. As we operate in numerous taxing jurisdictions, the application of tax laws can be subject to diverging and sometimes conflicting interpretations by tax authorities of these jurisdictions. It is not uncommon for taxing authorities in different countries to have conflicting views with respect to, among other things, the manner in which the arm’s-length standard is applied for transfer pricing purposes, or with respect to the valuation of intellectual property.</w:t>
      </w:r>
    </w:p>
    <w:p>
      <w:pPr>
        <w:spacing w:after="0" w:line="141" w:lineRule="exact"/>
        <w:rPr>
          <w:sz w:val="20"/>
          <w:szCs w:val="20"/>
          <w:color w:val="auto"/>
        </w:rPr>
      </w:pPr>
    </w:p>
    <w:p>
      <w:pPr>
        <w:jc w:val="both"/>
        <w:ind w:left="2060" w:right="839"/>
        <w:spacing w:after="0" w:line="242" w:lineRule="auto"/>
        <w:rPr>
          <w:sz w:val="20"/>
          <w:szCs w:val="20"/>
          <w:color w:val="auto"/>
        </w:rPr>
      </w:pPr>
      <w:r>
        <w:rPr>
          <w:rFonts w:ascii="Arial" w:cs="Arial" w:eastAsia="Arial" w:hAnsi="Arial"/>
          <w:sz w:val="11"/>
          <w:szCs w:val="11"/>
          <w:color w:val="050505"/>
        </w:rPr>
        <w:t>If U.S., U.K., or other foreign tax laws further change, if our current or future structures and arrangements are challenged by a taxing authority, or if we are unable to appropriately adapt the manner in which we operate our business, we may have to undertake further costly modifications to our international structure and our tax liabilities and operating results may be adversely affected.</w:t>
      </w:r>
    </w:p>
    <w:p>
      <w:pPr>
        <w:spacing w:after="0" w:line="128" w:lineRule="exact"/>
        <w:rPr>
          <w:sz w:val="20"/>
          <w:szCs w:val="20"/>
          <w:color w:val="auto"/>
        </w:rPr>
      </w:pPr>
    </w:p>
    <w:p>
      <w:pPr>
        <w:jc w:val="both"/>
        <w:ind w:left="2060" w:right="839"/>
        <w:spacing w:after="0" w:line="253" w:lineRule="auto"/>
        <w:rPr>
          <w:sz w:val="20"/>
          <w:szCs w:val="20"/>
          <w:color w:val="auto"/>
        </w:rPr>
      </w:pPr>
      <w:r>
        <w:rPr>
          <w:rFonts w:ascii="Arial" w:cs="Arial" w:eastAsia="Arial" w:hAnsi="Arial"/>
          <w:sz w:val="11"/>
          <w:szCs w:val="11"/>
          <w:b w:val="1"/>
          <w:bCs w:val="1"/>
          <w:i w:val="1"/>
          <w:iCs w:val="1"/>
          <w:color w:val="auto"/>
        </w:rPr>
        <w:t>The requirements of being a public company, including maintaining adequate internal control over our financial and management systems, may strain our resources, divert management’s attention, and affect our ability to attract and retain executive management and qualified board members.</w:t>
      </w:r>
    </w:p>
    <w:p>
      <w:pPr>
        <w:spacing w:after="0" w:line="134" w:lineRule="exact"/>
        <w:rPr>
          <w:sz w:val="20"/>
          <w:szCs w:val="20"/>
          <w:color w:val="auto"/>
        </w:rPr>
      </w:pPr>
    </w:p>
    <w:p>
      <w:pPr>
        <w:jc w:val="both"/>
        <w:ind w:left="2060" w:right="839"/>
        <w:spacing w:after="0" w:line="245" w:lineRule="auto"/>
        <w:rPr>
          <w:sz w:val="20"/>
          <w:szCs w:val="20"/>
          <w:color w:val="auto"/>
        </w:rPr>
      </w:pPr>
      <w:r>
        <w:rPr>
          <w:rFonts w:ascii="Arial" w:cs="Arial" w:eastAsia="Arial" w:hAnsi="Arial"/>
          <w:sz w:val="11"/>
          <w:szCs w:val="11"/>
          <w:color w:val="050505"/>
        </w:rPr>
        <w:t>As a public company we will incur significant legal, accounting, and other expenses that we did not incur as a private company. We are subject to reporting requirements of the Securities Exchange Act of 1934, as amended, or the Exchange</w:t>
      </w:r>
    </w:p>
    <w:p>
      <w:pPr>
        <w:spacing w:after="0" w:line="93" w:lineRule="exact"/>
        <w:rPr>
          <w:sz w:val="20"/>
          <w:szCs w:val="20"/>
          <w:color w:val="auto"/>
        </w:rPr>
      </w:pPr>
    </w:p>
    <w:p>
      <w:pPr>
        <w:ind w:left="5680"/>
        <w:spacing w:after="0"/>
        <w:rPr>
          <w:sz w:val="20"/>
          <w:szCs w:val="20"/>
          <w:color w:val="auto"/>
        </w:rPr>
      </w:pPr>
      <w:r>
        <w:rPr>
          <w:rFonts w:ascii="Arial" w:cs="Arial" w:eastAsia="Arial" w:hAnsi="Arial"/>
          <w:sz w:val="11"/>
          <w:szCs w:val="11"/>
          <w:color w:val="050505"/>
        </w:rPr>
        <w:t>36</w:t>
      </w:r>
    </w:p>
    <w:p>
      <w:pPr>
        <w:sectPr>
          <w:pgSz w:w="11900" w:h="16838" w:orient="portrait"/>
          <w:cols w:equalWidth="0" w:num="1">
            <w:col w:w="10239"/>
          </w:cols>
          <w:pgMar w:left="220" w:top="354" w:right="1440" w:bottom="1440" w:gutter="0" w:footer="0" w:header="0"/>
        </w:sectPr>
      </w:pPr>
    </w:p>
    <w:bookmarkStart w:id="41" w:name="page42"/>
    <w:bookmarkEnd w:id="41"/>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hyperlink w:anchor="page5">
        <w:r>
          <w:rPr>
            <w:rFonts w:ascii="Arial" w:cs="Arial" w:eastAsia="Arial" w:hAnsi="Arial"/>
            <w:sz w:val="12"/>
            <w:szCs w:val="12"/>
            <w:b w:val="1"/>
            <w:bCs w:val="1"/>
            <w:u w:val="single" w:color="auto"/>
            <w:color w:val="0000EE"/>
          </w:rPr>
          <w:t>Table of Contents</w:t>
        </w:r>
      </w:hyperlink>
    </w:p>
    <w:p>
      <w:pPr>
        <w:spacing w:after="0" w:line="216" w:lineRule="exact"/>
        <w:rPr>
          <w:sz w:val="20"/>
          <w:szCs w:val="20"/>
          <w:color w:val="auto"/>
        </w:rPr>
      </w:pPr>
    </w:p>
    <w:p>
      <w:pPr>
        <w:jc w:val="both"/>
        <w:ind w:left="2060" w:right="839"/>
        <w:spacing w:after="0" w:line="242" w:lineRule="auto"/>
        <w:rPr>
          <w:sz w:val="20"/>
          <w:szCs w:val="20"/>
          <w:color w:val="auto"/>
        </w:rPr>
      </w:pPr>
      <w:r>
        <w:rPr>
          <w:rFonts w:ascii="Arial" w:cs="Arial" w:eastAsia="Arial" w:hAnsi="Arial"/>
          <w:sz w:val="11"/>
          <w:szCs w:val="11"/>
          <w:color w:val="050505"/>
        </w:rPr>
        <w:t>Act, the Sarbanes-Oxley Act of 2002, or the Sarbanes-Oxley Act, the rules subsequently implemented by the SEC, the rules and regulations of the listing standards of The Nasdaq Stock Market LLC, or Nasdaq, and other applicable securities rules and regulations. Compliance with these rules and regulations will likely strain our financial and management systems, internal controls, and employees.</w:t>
      </w:r>
    </w:p>
    <w:p>
      <w:pPr>
        <w:spacing w:after="0" w:line="140" w:lineRule="exact"/>
        <w:rPr>
          <w:sz w:val="20"/>
          <w:szCs w:val="20"/>
          <w:color w:val="auto"/>
        </w:rPr>
      </w:pPr>
    </w:p>
    <w:p>
      <w:pPr>
        <w:jc w:val="both"/>
        <w:ind w:left="2060" w:right="839"/>
        <w:spacing w:after="0"/>
        <w:rPr>
          <w:sz w:val="20"/>
          <w:szCs w:val="20"/>
          <w:color w:val="auto"/>
        </w:rPr>
      </w:pPr>
      <w:r>
        <w:rPr>
          <w:rFonts w:ascii="Arial" w:cs="Arial" w:eastAsia="Arial" w:hAnsi="Arial"/>
          <w:sz w:val="11"/>
          <w:szCs w:val="11"/>
          <w:color w:val="050505"/>
        </w:rPr>
        <w:t>The Exchange Act requires, among other things, that we file annual, quarterly, and current reports with respect to our business and operating results. Moreover, the Sarbanes-Oxley Act requires, among other things, that we maintain effective disclosure controls and procedures, and internal control, over financial reporting. In order to maintain and, if required, improve our disclosure controls and procedures, and internal control over, financial reporting to meet this standard, significant resources and management oversight may be required. In the course of preparing our financial statements for fiscal 2018, we identified material weaknesses in our internal control over financial reporting. If, in the future, we have material weaknesses or deficiencies in our internal control over financial reporting, we may not detect errors on a timely basis and our consolidated financial statements may be materially misstated. Effective internal control is necessary for us to produce reliable financial reports and is important to prevent fraud.</w:t>
      </w:r>
    </w:p>
    <w:p>
      <w:pPr>
        <w:spacing w:after="0" w:line="141" w:lineRule="exact"/>
        <w:rPr>
          <w:sz w:val="20"/>
          <w:szCs w:val="20"/>
          <w:color w:val="auto"/>
        </w:rPr>
      </w:pPr>
    </w:p>
    <w:p>
      <w:pPr>
        <w:jc w:val="both"/>
        <w:ind w:left="2060" w:right="839"/>
        <w:spacing w:after="0" w:line="269" w:lineRule="auto"/>
        <w:rPr>
          <w:sz w:val="20"/>
          <w:szCs w:val="20"/>
          <w:color w:val="auto"/>
        </w:rPr>
      </w:pPr>
      <w:r>
        <w:rPr>
          <w:rFonts w:ascii="Arial" w:cs="Arial" w:eastAsia="Arial" w:hAnsi="Arial"/>
          <w:sz w:val="10"/>
          <w:szCs w:val="10"/>
          <w:color w:val="050505"/>
        </w:rPr>
        <w:t>In addition, we will be required to comply with the auditor attestation requirements of Section 404 of the Sarbanes-Oxley Act when we cease to be an emerging growth company. We expect to incur significant expenses and devote substantial management effort toward ensuring compliance with the auditor attestation requirements of Section 404 of the Sarbanes-Oxley Act. As a result of the complexity involved in complying with the rules and regulations applicable to public companies, our management’s attention may be diverted from other business concerns, which could harm our business, operating results, and financial condition. Although we have already hired additional employees to assist us in complying with these requirements, our finance team is small and we may need to hire more employees in the future, or engage outside consultants, which will increase our operating expenses.</w:t>
      </w:r>
    </w:p>
    <w:p>
      <w:pPr>
        <w:spacing w:after="0" w:line="127" w:lineRule="exact"/>
        <w:rPr>
          <w:sz w:val="20"/>
          <w:szCs w:val="20"/>
          <w:color w:val="auto"/>
        </w:rPr>
      </w:pPr>
    </w:p>
    <w:p>
      <w:pPr>
        <w:jc w:val="both"/>
        <w:ind w:left="2060" w:right="839"/>
        <w:spacing w:after="0" w:line="242" w:lineRule="auto"/>
        <w:rPr>
          <w:sz w:val="20"/>
          <w:szCs w:val="20"/>
          <w:color w:val="auto"/>
        </w:rPr>
      </w:pPr>
      <w:r>
        <w:rPr>
          <w:rFonts w:ascii="Arial" w:cs="Arial" w:eastAsia="Arial" w:hAnsi="Arial"/>
          <w:sz w:val="11"/>
          <w:szCs w:val="11"/>
          <w:color w:val="050505"/>
        </w:rPr>
        <w:t>We also expect that being a public company and complying with applicable rules and regulations will make it more expensive for us to obtain director and officer liability insurance, and we may be required to incur substantially higher costs to obtain and maintain the same or similar coverage. These factors could also make it more difficult for us to attract and retain qualified members of our board of directors and qualified executive officers.</w:t>
      </w:r>
    </w:p>
    <w:p>
      <w:pPr>
        <w:spacing w:after="0" w:line="128" w:lineRule="exact"/>
        <w:rPr>
          <w:sz w:val="20"/>
          <w:szCs w:val="20"/>
          <w:color w:val="auto"/>
        </w:rPr>
      </w:pPr>
    </w:p>
    <w:p>
      <w:pPr>
        <w:jc w:val="both"/>
        <w:ind w:left="2060" w:right="839"/>
        <w:spacing w:after="0" w:line="253" w:lineRule="auto"/>
        <w:rPr>
          <w:sz w:val="20"/>
          <w:szCs w:val="20"/>
          <w:color w:val="auto"/>
        </w:rPr>
      </w:pPr>
      <w:r>
        <w:rPr>
          <w:rFonts w:ascii="Arial" w:cs="Arial" w:eastAsia="Arial" w:hAnsi="Arial"/>
          <w:sz w:val="11"/>
          <w:szCs w:val="11"/>
          <w:b w:val="1"/>
          <w:bCs w:val="1"/>
          <w:i w:val="1"/>
          <w:iCs w:val="1"/>
          <w:color w:val="auto"/>
        </w:rPr>
        <w:t>We have identified material weaknesses in our internal control over financial reporting and if our remediation of such material weaknesses is not effective, or if we fail to develop and maintain an effective system of disclosure controls and internal control over financial reporting, our ability to produce timely and accurate financial statements or comply with applicable laws and regulations could be impaired.</w:t>
      </w:r>
    </w:p>
    <w:p>
      <w:pPr>
        <w:spacing w:after="0" w:line="134" w:lineRule="exact"/>
        <w:rPr>
          <w:sz w:val="20"/>
          <w:szCs w:val="20"/>
          <w:color w:val="auto"/>
        </w:rPr>
      </w:pPr>
    </w:p>
    <w:p>
      <w:pPr>
        <w:jc w:val="both"/>
        <w:ind w:left="2060" w:right="839"/>
        <w:spacing w:after="0"/>
        <w:rPr>
          <w:sz w:val="20"/>
          <w:szCs w:val="20"/>
          <w:color w:val="auto"/>
        </w:rPr>
      </w:pPr>
      <w:r>
        <w:rPr>
          <w:rFonts w:ascii="Arial" w:cs="Arial" w:eastAsia="Arial" w:hAnsi="Arial"/>
          <w:sz w:val="11"/>
          <w:szCs w:val="11"/>
          <w:color w:val="050505"/>
        </w:rPr>
        <w:t>In the course of preparing our financial statements for fiscal 2018, we identified material weaknesses in our internal control over financial reporting. The material weakness had not been remediated as of June 30, 2019. A material weakness is a deficiency, or combination of deficiencies, in internal control over financial reporting, such that there is a reasonable possibility that a material misstatement of the annual or interim financial statements will not be prevented or detected on a timely basis. The material weaknesses identified relate to information technology general controls, controls to address segregation of certain accounting duties, timely reconciliation and analysis of certain key accounts and the review of journal entries. We have concluded that these material weaknesses arose because, as a private company, we did not have the necessary business processes, systems, personnel and related internal controls necessary to satisfy the accounting and financial reporting requirements of a public company.</w:t>
      </w:r>
    </w:p>
    <w:p>
      <w:pPr>
        <w:spacing w:after="0" w:line="141" w:lineRule="exact"/>
        <w:rPr>
          <w:sz w:val="20"/>
          <w:szCs w:val="20"/>
          <w:color w:val="auto"/>
        </w:rPr>
      </w:pPr>
    </w:p>
    <w:p>
      <w:pPr>
        <w:jc w:val="both"/>
        <w:ind w:left="2060" w:right="839"/>
        <w:spacing w:after="0" w:line="241" w:lineRule="auto"/>
        <w:rPr>
          <w:sz w:val="20"/>
          <w:szCs w:val="20"/>
          <w:color w:val="auto"/>
        </w:rPr>
      </w:pPr>
      <w:r>
        <w:rPr>
          <w:rFonts w:ascii="Arial" w:cs="Arial" w:eastAsia="Arial" w:hAnsi="Arial"/>
          <w:sz w:val="11"/>
          <w:szCs w:val="11"/>
          <w:color w:val="050505"/>
        </w:rPr>
        <w:t>To address our material weaknesses, we have added personnel as well as implemented new financial systems and processes. We intend to continue to take steps to remediate the material weaknesses described above through hiring additional qualified accounting and financial reporting personnel, and further evolving our accounting processes. We will not be able to fully remediate these material weaknesses until these steps have been completed and have been operating effectively for a sufficient period of time.</w:t>
      </w:r>
    </w:p>
    <w:p>
      <w:pPr>
        <w:spacing w:after="0" w:line="140" w:lineRule="exact"/>
        <w:rPr>
          <w:sz w:val="20"/>
          <w:szCs w:val="20"/>
          <w:color w:val="auto"/>
        </w:rPr>
      </w:pPr>
    </w:p>
    <w:p>
      <w:pPr>
        <w:jc w:val="both"/>
        <w:ind w:left="2060" w:right="839"/>
        <w:spacing w:after="0"/>
        <w:rPr>
          <w:sz w:val="20"/>
          <w:szCs w:val="20"/>
          <w:color w:val="auto"/>
        </w:rPr>
      </w:pPr>
      <w:r>
        <w:rPr>
          <w:rFonts w:ascii="Arial" w:cs="Arial" w:eastAsia="Arial" w:hAnsi="Arial"/>
          <w:sz w:val="11"/>
          <w:szCs w:val="11"/>
          <w:color w:val="050505"/>
        </w:rPr>
        <w:t>Furthermore, we cannot assure you that the measures we have taken to date, and actions we may take in the future, will be sufficient to remediate the control deficiencies that led to our material weaknesses in our internal control over financial reporting or that they will prevent or avoid potential future material weaknesses. Our current controls and any new controls that we develop may become inadequate because of changes in conditions in our business. Further, weaknesses in our disclosure controls and internal control over financial reporting may be discovered in the future. Any failure to develop or</w:t>
      </w:r>
    </w:p>
    <w:p>
      <w:pPr>
        <w:spacing w:after="0" w:line="97" w:lineRule="exact"/>
        <w:rPr>
          <w:sz w:val="20"/>
          <w:szCs w:val="20"/>
          <w:color w:val="auto"/>
        </w:rPr>
      </w:pPr>
    </w:p>
    <w:p>
      <w:pPr>
        <w:ind w:left="5680"/>
        <w:spacing w:after="0"/>
        <w:rPr>
          <w:sz w:val="20"/>
          <w:szCs w:val="20"/>
          <w:color w:val="auto"/>
        </w:rPr>
      </w:pPr>
      <w:r>
        <w:rPr>
          <w:rFonts w:ascii="Arial" w:cs="Arial" w:eastAsia="Arial" w:hAnsi="Arial"/>
          <w:sz w:val="11"/>
          <w:szCs w:val="11"/>
          <w:color w:val="050505"/>
        </w:rPr>
        <w:t>37</w:t>
      </w:r>
    </w:p>
    <w:p>
      <w:pPr>
        <w:sectPr>
          <w:pgSz w:w="11900" w:h="16838" w:orient="portrait"/>
          <w:cols w:equalWidth="0" w:num="1">
            <w:col w:w="10239"/>
          </w:cols>
          <w:pgMar w:left="220" w:top="354" w:right="1440" w:bottom="1440" w:gutter="0" w:footer="0" w:header="0"/>
        </w:sectPr>
      </w:pPr>
    </w:p>
    <w:bookmarkStart w:id="42" w:name="page43"/>
    <w:bookmarkEnd w:id="42"/>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hyperlink w:anchor="page5">
        <w:r>
          <w:rPr>
            <w:rFonts w:ascii="Arial" w:cs="Arial" w:eastAsia="Arial" w:hAnsi="Arial"/>
            <w:sz w:val="12"/>
            <w:szCs w:val="12"/>
            <w:b w:val="1"/>
            <w:bCs w:val="1"/>
            <w:u w:val="single" w:color="auto"/>
            <w:color w:val="0000EE"/>
          </w:rPr>
          <w:t>Table of Contents</w:t>
        </w:r>
      </w:hyperlink>
    </w:p>
    <w:p>
      <w:pPr>
        <w:spacing w:after="0" w:line="216" w:lineRule="exact"/>
        <w:rPr>
          <w:sz w:val="20"/>
          <w:szCs w:val="20"/>
          <w:color w:val="auto"/>
        </w:rPr>
      </w:pPr>
    </w:p>
    <w:p>
      <w:pPr>
        <w:jc w:val="both"/>
        <w:ind w:left="2060" w:right="839"/>
        <w:spacing w:after="0" w:line="245" w:lineRule="auto"/>
        <w:rPr>
          <w:sz w:val="20"/>
          <w:szCs w:val="20"/>
          <w:color w:val="auto"/>
        </w:rPr>
      </w:pPr>
      <w:r>
        <w:rPr>
          <w:rFonts w:ascii="Arial" w:cs="Arial" w:eastAsia="Arial" w:hAnsi="Arial"/>
          <w:sz w:val="11"/>
          <w:szCs w:val="11"/>
          <w:color w:val="050505"/>
        </w:rPr>
        <w:t>maintain effective controls or any difficulties encountered in their implementation or improvement could harm our operating results or cause us to fail to meet our reporting obligations and may result in a restatement of our financial statements for prior periods.</w:t>
      </w:r>
    </w:p>
    <w:p>
      <w:pPr>
        <w:spacing w:after="0" w:line="138" w:lineRule="exact"/>
        <w:rPr>
          <w:sz w:val="20"/>
          <w:szCs w:val="20"/>
          <w:color w:val="auto"/>
        </w:rPr>
      </w:pPr>
    </w:p>
    <w:p>
      <w:pPr>
        <w:jc w:val="both"/>
        <w:ind w:left="2060" w:right="839"/>
        <w:spacing w:after="0"/>
        <w:rPr>
          <w:sz w:val="20"/>
          <w:szCs w:val="20"/>
          <w:color w:val="auto"/>
        </w:rPr>
      </w:pPr>
      <w:r>
        <w:rPr>
          <w:rFonts w:ascii="Arial" w:cs="Arial" w:eastAsia="Arial" w:hAnsi="Arial"/>
          <w:sz w:val="11"/>
          <w:szCs w:val="11"/>
          <w:color w:val="050505"/>
        </w:rPr>
        <w:t>Our independent registered public accounting firm is not required to formally attest to the effectiveness of our internal control over financial reporting until after we are no longer an “emerging growth company” as defined in the JOBS Act. At such time, our independent registered public accounting firm may issue a report that is adverse in the event it is not satisfied with the level at which our internal control over financial reporting is documented, designed, or operating. Any failure to implement and maintain effective internal control over financial reporting also could adversely affect the results of periodic management evaluations and annual independent registered public accounting firm attestation reports regarding the effectiveness of our internal control over financial reporting that we will eventually be required to include in our periodic reports that are filed with the SEC. Ineffective disclosure controls and procedures and internal control over financial reporting could also cause investors to lose confidence in our reported financial and other information, which would likely have a negative effect on the trading price of our Class A common stock. In addition, if we are unable to continue to meet these requirements, we may not be able to remain listed on the Nasdaq Global Select Market.</w:t>
      </w:r>
    </w:p>
    <w:p>
      <w:pPr>
        <w:spacing w:after="0" w:line="129" w:lineRule="exact"/>
        <w:rPr>
          <w:sz w:val="20"/>
          <w:szCs w:val="20"/>
          <w:color w:val="auto"/>
        </w:rPr>
      </w:pPr>
    </w:p>
    <w:p>
      <w:pPr>
        <w:jc w:val="both"/>
        <w:ind w:left="2060" w:right="839"/>
        <w:spacing w:after="0" w:line="268" w:lineRule="auto"/>
        <w:rPr>
          <w:sz w:val="20"/>
          <w:szCs w:val="20"/>
          <w:color w:val="auto"/>
        </w:rPr>
      </w:pPr>
      <w:r>
        <w:rPr>
          <w:rFonts w:ascii="Arial" w:cs="Arial" w:eastAsia="Arial" w:hAnsi="Arial"/>
          <w:sz w:val="11"/>
          <w:szCs w:val="11"/>
          <w:b w:val="1"/>
          <w:bCs w:val="1"/>
          <w:i w:val="1"/>
          <w:iCs w:val="1"/>
          <w:color w:val="auto"/>
        </w:rPr>
        <w:t>If our estimates or judgments relating to our critical accounting policies prove to be incorrect, our operating results could be adversely affected.</w:t>
      </w:r>
    </w:p>
    <w:p>
      <w:pPr>
        <w:spacing w:after="0" w:line="126" w:lineRule="exact"/>
        <w:rPr>
          <w:sz w:val="20"/>
          <w:szCs w:val="20"/>
          <w:color w:val="auto"/>
        </w:rPr>
      </w:pPr>
    </w:p>
    <w:p>
      <w:pPr>
        <w:jc w:val="both"/>
        <w:ind w:left="2060" w:right="839"/>
        <w:spacing w:after="0" w:line="239" w:lineRule="auto"/>
        <w:rPr>
          <w:sz w:val="20"/>
          <w:szCs w:val="20"/>
          <w:color w:val="auto"/>
        </w:rPr>
      </w:pPr>
      <w:r>
        <w:rPr>
          <w:rFonts w:ascii="Arial" w:cs="Arial" w:eastAsia="Arial" w:hAnsi="Arial"/>
          <w:sz w:val="11"/>
          <w:szCs w:val="11"/>
          <w:color w:val="050505"/>
        </w:rPr>
        <w:t>The preparation of financial statements in conformity with GAAP requires management to make estimates and assumptions that affect the amounts reported in the consolidated financial statements and accompanying notes. We base our estimates on historical experience and on various other assumptions that we believe to be reasonable under the circumstances, as provided in “Management’s Discussion and Analysis of Financial Condition and Results of Operations—Critical Accounting Policies and Estimates.” The results of these estimates form the basis for making judgments about the carrying values of assets, liabilities, and stockholders’ equity/deficit, and the amount of revenue and expenses that are not readily apparent from other sources. Significant assumptions and estimates used in preparing our consolidated financial statements include those related to revenue related reserves, content costs for past use reserve, fair value measurements including common stock valuations, useful lives of property plant and equipment, product warranty, goodwill and finite-lived intangible assets, accounting for income taxes, stock-based compensation expense and commitments and contingencies. Our operating results may be adversely affected if our assumptions change or if actual circumstances differ from those in our assumptions, which could cause our operating results to fall below the expectations of securities analysts and investors, resulting in a decline in the price of our Class A common stock.</w:t>
      </w:r>
    </w:p>
    <w:p>
      <w:pPr>
        <w:spacing w:after="0" w:line="134" w:lineRule="exact"/>
        <w:rPr>
          <w:sz w:val="20"/>
          <w:szCs w:val="20"/>
          <w:color w:val="auto"/>
        </w:rPr>
      </w:pPr>
    </w:p>
    <w:p>
      <w:pPr>
        <w:ind w:left="2060"/>
        <w:spacing w:after="0"/>
        <w:rPr>
          <w:sz w:val="20"/>
          <w:szCs w:val="20"/>
          <w:color w:val="auto"/>
        </w:rPr>
      </w:pPr>
      <w:r>
        <w:rPr>
          <w:rFonts w:ascii="Arial" w:cs="Arial" w:eastAsia="Arial" w:hAnsi="Arial"/>
          <w:sz w:val="11"/>
          <w:szCs w:val="11"/>
          <w:b w:val="1"/>
          <w:bCs w:val="1"/>
          <w:i w:val="1"/>
          <w:iCs w:val="1"/>
          <w:color w:val="auto"/>
        </w:rPr>
        <w:t>Our reported financial results may be negatively impacted by the changes in GAAP.</w:t>
      </w:r>
    </w:p>
    <w:p>
      <w:pPr>
        <w:spacing w:after="0" w:line="156" w:lineRule="exact"/>
        <w:rPr>
          <w:sz w:val="20"/>
          <w:szCs w:val="20"/>
          <w:color w:val="auto"/>
        </w:rPr>
      </w:pPr>
    </w:p>
    <w:p>
      <w:pPr>
        <w:jc w:val="both"/>
        <w:ind w:left="2060" w:right="839"/>
        <w:spacing w:after="0"/>
        <w:rPr>
          <w:sz w:val="20"/>
          <w:szCs w:val="20"/>
          <w:color w:val="auto"/>
        </w:rPr>
      </w:pPr>
      <w:r>
        <w:rPr>
          <w:rFonts w:ascii="Arial" w:cs="Arial" w:eastAsia="Arial" w:hAnsi="Arial"/>
          <w:sz w:val="11"/>
          <w:szCs w:val="11"/>
          <w:color w:val="050505"/>
        </w:rPr>
        <w:t xml:space="preserve">GAAP is subject to interpretation by the Financial Accounting Standards Board, or FASB, the SEC and various bodies formed to promulgate and interpret appropriate accounting principles. A change in these principles or interpretations could have a significant effect on our reported financial results, and may even affect the reporting of transactions completed before the announcement or effectiveness of a change. For example, in February 2016, the FASB issued ASU No. 2016-02, or Topic 842, </w:t>
      </w:r>
      <w:r>
        <w:rPr>
          <w:rFonts w:ascii="Arial" w:cs="Arial" w:eastAsia="Arial" w:hAnsi="Arial"/>
          <w:sz w:val="11"/>
          <w:szCs w:val="11"/>
          <w:i w:val="1"/>
          <w:iCs w:val="1"/>
          <w:color w:val="050505"/>
        </w:rPr>
        <w:t>Leases</w:t>
      </w:r>
      <w:r>
        <w:rPr>
          <w:rFonts w:ascii="Arial" w:cs="Arial" w:eastAsia="Arial" w:hAnsi="Arial"/>
          <w:sz w:val="11"/>
          <w:szCs w:val="11"/>
          <w:color w:val="050505"/>
        </w:rPr>
        <w:t>, which requires recognition of lease assets and lease liabilities on the balance sheet by lessees for leases classified as operating leases with a term of more than 12 months. Topic 842 is effective for financial statements issued for fiscal years beginning after December 15, 2019, and interim periods within those fiscal years. We early adopted this standard as of July 1, 2019. The most significant change related to the recognition of new right-of-use assets and lease liabilities on our balance sheet for real estate operating leases, as well as the de-recognition of the build-to-suit asset and liability. See Note 2 of the notes to our audited consolidated financial statements included elsewhere in this prospectus for additional information.</w:t>
      </w:r>
    </w:p>
    <w:p>
      <w:pPr>
        <w:spacing w:after="0" w:line="129" w:lineRule="exact"/>
        <w:rPr>
          <w:sz w:val="20"/>
          <w:szCs w:val="20"/>
          <w:color w:val="auto"/>
        </w:rPr>
      </w:pPr>
    </w:p>
    <w:p>
      <w:pPr>
        <w:jc w:val="both"/>
        <w:ind w:left="2060" w:right="839"/>
        <w:spacing w:after="0" w:line="268" w:lineRule="auto"/>
        <w:rPr>
          <w:sz w:val="20"/>
          <w:szCs w:val="20"/>
          <w:color w:val="auto"/>
        </w:rPr>
      </w:pPr>
      <w:r>
        <w:rPr>
          <w:rFonts w:ascii="Arial" w:cs="Arial" w:eastAsia="Arial" w:hAnsi="Arial"/>
          <w:sz w:val="11"/>
          <w:szCs w:val="11"/>
          <w:b w:val="1"/>
          <w:bCs w:val="1"/>
          <w:i w:val="1"/>
          <w:iCs w:val="1"/>
          <w:color w:val="auto"/>
        </w:rPr>
        <w:t>The forecasts of market growth included in this prospectus may prove to be inaccurate, and even if the market in which we compete achieves the forecasted growth, we cannot assure you that our business will grow at a similar rate, if at all.</w:t>
      </w:r>
    </w:p>
    <w:p>
      <w:pPr>
        <w:spacing w:after="0" w:line="126" w:lineRule="exact"/>
        <w:rPr>
          <w:sz w:val="20"/>
          <w:szCs w:val="20"/>
          <w:color w:val="auto"/>
        </w:rPr>
      </w:pPr>
    </w:p>
    <w:p>
      <w:pPr>
        <w:jc w:val="both"/>
        <w:ind w:left="2060" w:right="839"/>
        <w:spacing w:after="0" w:line="241" w:lineRule="auto"/>
        <w:rPr>
          <w:sz w:val="20"/>
          <w:szCs w:val="20"/>
          <w:color w:val="auto"/>
        </w:rPr>
      </w:pPr>
      <w:r>
        <w:rPr>
          <w:rFonts w:ascii="Arial" w:cs="Arial" w:eastAsia="Arial" w:hAnsi="Arial"/>
          <w:sz w:val="11"/>
          <w:szCs w:val="11"/>
          <w:color w:val="050505"/>
        </w:rPr>
        <w:t>Growth forecasts are subject to significant uncertainty and are based on assumptions and estimates that may not prove to be accurate. The forecasts in this prospectus relating to the expected growth in the connected fitness and wellness market, including estimates based on our own internal survey data, may prove to be inaccurate. Even if the market experiences the forecasted growth described in this prospectus, we may not grow our business at a similar rate, or at all. Our growth is</w:t>
      </w:r>
    </w:p>
    <w:p>
      <w:pPr>
        <w:spacing w:after="0" w:line="95" w:lineRule="exact"/>
        <w:rPr>
          <w:sz w:val="20"/>
          <w:szCs w:val="20"/>
          <w:color w:val="auto"/>
        </w:rPr>
      </w:pPr>
    </w:p>
    <w:p>
      <w:pPr>
        <w:ind w:left="5680"/>
        <w:spacing w:after="0"/>
        <w:rPr>
          <w:sz w:val="20"/>
          <w:szCs w:val="20"/>
          <w:color w:val="auto"/>
        </w:rPr>
      </w:pPr>
      <w:r>
        <w:rPr>
          <w:rFonts w:ascii="Arial" w:cs="Arial" w:eastAsia="Arial" w:hAnsi="Arial"/>
          <w:sz w:val="11"/>
          <w:szCs w:val="11"/>
          <w:color w:val="050505"/>
        </w:rPr>
        <w:t>38</w:t>
      </w:r>
    </w:p>
    <w:p>
      <w:pPr>
        <w:sectPr>
          <w:pgSz w:w="11900" w:h="16838" w:orient="portrait"/>
          <w:cols w:equalWidth="0" w:num="1">
            <w:col w:w="10239"/>
          </w:cols>
          <w:pgMar w:left="220" w:top="354" w:right="1440" w:bottom="1440" w:gutter="0" w:footer="0" w:header="0"/>
        </w:sectPr>
      </w:pPr>
    </w:p>
    <w:bookmarkStart w:id="43" w:name="page44"/>
    <w:bookmarkEnd w:id="43"/>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hyperlink w:anchor="page5">
        <w:r>
          <w:rPr>
            <w:rFonts w:ascii="Arial" w:cs="Arial" w:eastAsia="Arial" w:hAnsi="Arial"/>
            <w:sz w:val="12"/>
            <w:szCs w:val="12"/>
            <w:b w:val="1"/>
            <w:bCs w:val="1"/>
            <w:u w:val="single" w:color="auto"/>
            <w:color w:val="0000EE"/>
          </w:rPr>
          <w:t>Table of Contents</w:t>
        </w:r>
      </w:hyperlink>
    </w:p>
    <w:p>
      <w:pPr>
        <w:spacing w:after="0" w:line="216" w:lineRule="exact"/>
        <w:rPr>
          <w:sz w:val="20"/>
          <w:szCs w:val="20"/>
          <w:color w:val="auto"/>
        </w:rPr>
      </w:pPr>
    </w:p>
    <w:p>
      <w:pPr>
        <w:jc w:val="both"/>
        <w:ind w:left="2060" w:right="839"/>
        <w:spacing w:after="0" w:line="245" w:lineRule="auto"/>
        <w:rPr>
          <w:sz w:val="20"/>
          <w:szCs w:val="20"/>
          <w:color w:val="auto"/>
        </w:rPr>
      </w:pPr>
      <w:r>
        <w:rPr>
          <w:rFonts w:ascii="Arial" w:cs="Arial" w:eastAsia="Arial" w:hAnsi="Arial"/>
          <w:sz w:val="11"/>
          <w:szCs w:val="11"/>
          <w:color w:val="050505"/>
        </w:rPr>
        <w:t>subject to many factors, including our success in implementing our business strategy, which is subject to many risks and uncertainties. Accordingly, the forecasts of market growth included in this prospectus should not be taken as indicative of our future growth.</w:t>
      </w:r>
    </w:p>
    <w:p>
      <w:pPr>
        <w:spacing w:after="0" w:line="126" w:lineRule="exact"/>
        <w:rPr>
          <w:sz w:val="20"/>
          <w:szCs w:val="20"/>
          <w:color w:val="auto"/>
        </w:rPr>
      </w:pPr>
    </w:p>
    <w:p>
      <w:pPr>
        <w:ind w:left="2060"/>
        <w:spacing w:after="0"/>
        <w:rPr>
          <w:sz w:val="20"/>
          <w:szCs w:val="20"/>
          <w:color w:val="auto"/>
        </w:rPr>
      </w:pPr>
      <w:r>
        <w:rPr>
          <w:rFonts w:ascii="Arial" w:cs="Arial" w:eastAsia="Arial" w:hAnsi="Arial"/>
          <w:sz w:val="11"/>
          <w:szCs w:val="11"/>
          <w:b w:val="1"/>
          <w:bCs w:val="1"/>
          <w:i w:val="1"/>
          <w:iCs w:val="1"/>
          <w:color w:val="auto"/>
        </w:rPr>
        <w:t>Our management team has limited experience managing a public company.</w:t>
      </w:r>
    </w:p>
    <w:p>
      <w:pPr>
        <w:spacing w:after="0" w:line="156" w:lineRule="exact"/>
        <w:rPr>
          <w:sz w:val="20"/>
          <w:szCs w:val="20"/>
          <w:color w:val="auto"/>
        </w:rPr>
      </w:pPr>
    </w:p>
    <w:p>
      <w:pPr>
        <w:jc w:val="both"/>
        <w:ind w:left="2060" w:right="839"/>
        <w:spacing w:after="0"/>
        <w:rPr>
          <w:sz w:val="20"/>
          <w:szCs w:val="20"/>
          <w:color w:val="auto"/>
        </w:rPr>
      </w:pPr>
      <w:r>
        <w:rPr>
          <w:rFonts w:ascii="Arial" w:cs="Arial" w:eastAsia="Arial" w:hAnsi="Arial"/>
          <w:sz w:val="11"/>
          <w:szCs w:val="11"/>
          <w:color w:val="050505"/>
        </w:rPr>
        <w:t>Most members of our management team have limited experience managing a publicly traded company, interacting with public company investors, and complying with the increasingly complex laws pertaining to public companies. Our management team may not successfully or efficiently manage our transition to being a public company subject to significant regulatory oversight and reporting obligations under the federal securities laws and the continuous scrutiny of securities analysts and investors. These new obligations and constituents will require significant attention from our senior management and could divert their attention away from the day-to-day management of our business, which could adversely affect our business, financial condition, and operating results.</w:t>
      </w:r>
    </w:p>
    <w:p>
      <w:pPr>
        <w:spacing w:after="0" w:line="130" w:lineRule="exact"/>
        <w:rPr>
          <w:sz w:val="20"/>
          <w:szCs w:val="20"/>
          <w:color w:val="auto"/>
        </w:rPr>
      </w:pPr>
    </w:p>
    <w:p>
      <w:pPr>
        <w:jc w:val="both"/>
        <w:ind w:left="2060" w:right="839"/>
        <w:spacing w:after="0" w:line="268" w:lineRule="auto"/>
        <w:rPr>
          <w:sz w:val="20"/>
          <w:szCs w:val="20"/>
          <w:color w:val="auto"/>
        </w:rPr>
      </w:pPr>
      <w:r>
        <w:rPr>
          <w:rFonts w:ascii="Arial" w:cs="Arial" w:eastAsia="Arial" w:hAnsi="Arial"/>
          <w:sz w:val="11"/>
          <w:szCs w:val="11"/>
          <w:b w:val="1"/>
          <w:bCs w:val="1"/>
          <w:i w:val="1"/>
          <w:iCs w:val="1"/>
          <w:color w:val="auto"/>
        </w:rPr>
        <w:t>Our business is subject to the risk of earthquakes, fire, power outages, floods, and other catastrophic events, and to interruption by manmade problems such as terrorism.</w:t>
      </w:r>
    </w:p>
    <w:p>
      <w:pPr>
        <w:spacing w:after="0" w:line="126" w:lineRule="exact"/>
        <w:rPr>
          <w:sz w:val="20"/>
          <w:szCs w:val="20"/>
          <w:color w:val="auto"/>
        </w:rPr>
      </w:pPr>
    </w:p>
    <w:p>
      <w:pPr>
        <w:jc w:val="both"/>
        <w:ind w:left="2060" w:right="839"/>
        <w:spacing w:after="0" w:line="239" w:lineRule="auto"/>
        <w:rPr>
          <w:sz w:val="20"/>
          <w:szCs w:val="20"/>
          <w:color w:val="auto"/>
        </w:rPr>
      </w:pPr>
      <w:r>
        <w:rPr>
          <w:rFonts w:ascii="Arial" w:cs="Arial" w:eastAsia="Arial" w:hAnsi="Arial"/>
          <w:sz w:val="11"/>
          <w:szCs w:val="11"/>
          <w:color w:val="050505"/>
        </w:rPr>
        <w:t>Our business is vulnerable to damage or interruption from earthquakes, fires, floods, power losses, telecommunications failures, terrorist attacks, acts of war, human errors, break-ins, and similar events. The third-party systems and operations and manufacturers we rely on are subject to similar risks. For example, a significant natural disaster, such as an earthquake, fire, or flood, could have an adverse effect on our business, financial condition and operating results, and our insurance coverage may be insufficient to compensate us for losses that may occur. Acts of terrorism, which may be targeted at metropolitan areas that have higher population density than rural areas, could also cause disruptions in our or our suppliers’ and manufacturers’ businesses or the economy as a whole. We may not have sufficient protection or recovery plans in some circumstances, such as natural disasters affecting locations that store significant inventory of our products, that house our servers, or from which we generate content. As we rely heavily on our computer and communications systems, and the internet to conduct our business and provide high-quality customer service, these disruptions could negatively impact our ability to run our business and either directly or indirectly disrupt suppliers’ and manufacturers’ businesses, which could have an adverse effect on our business, financial condition, and operating results.</w:t>
      </w:r>
    </w:p>
    <w:p>
      <w:pPr>
        <w:spacing w:after="0" w:line="134" w:lineRule="exact"/>
        <w:rPr>
          <w:sz w:val="20"/>
          <w:szCs w:val="20"/>
          <w:color w:val="auto"/>
        </w:rPr>
      </w:pPr>
    </w:p>
    <w:p>
      <w:pPr>
        <w:jc w:val="both"/>
        <w:ind w:left="2060" w:right="839"/>
        <w:spacing w:after="0" w:line="268" w:lineRule="auto"/>
        <w:rPr>
          <w:sz w:val="20"/>
          <w:szCs w:val="20"/>
          <w:color w:val="auto"/>
        </w:rPr>
      </w:pPr>
      <w:r>
        <w:rPr>
          <w:rFonts w:ascii="Arial" w:cs="Arial" w:eastAsia="Arial" w:hAnsi="Arial"/>
          <w:sz w:val="11"/>
          <w:szCs w:val="11"/>
          <w:b w:val="1"/>
          <w:bCs w:val="1"/>
          <w:i w:val="1"/>
          <w:iCs w:val="1"/>
          <w:color w:val="auto"/>
        </w:rPr>
        <w:t>Regulations related to conflict minerals may cause us to incur additional expenses and could limit the supply and increase the costs of certain metals used in the manufacturing of our products.</w:t>
      </w:r>
    </w:p>
    <w:p>
      <w:pPr>
        <w:spacing w:after="0" w:line="126" w:lineRule="exact"/>
        <w:rPr>
          <w:sz w:val="20"/>
          <w:szCs w:val="20"/>
          <w:color w:val="auto"/>
        </w:rPr>
      </w:pPr>
    </w:p>
    <w:p>
      <w:pPr>
        <w:jc w:val="both"/>
        <w:ind w:left="2060" w:right="839"/>
        <w:spacing w:after="0"/>
        <w:rPr>
          <w:sz w:val="20"/>
          <w:szCs w:val="20"/>
          <w:color w:val="auto"/>
        </w:rPr>
      </w:pPr>
      <w:r>
        <w:rPr>
          <w:rFonts w:ascii="Arial" w:cs="Arial" w:eastAsia="Arial" w:hAnsi="Arial"/>
          <w:sz w:val="11"/>
          <w:szCs w:val="11"/>
          <w:color w:val="050505"/>
        </w:rPr>
        <w:t>We are subject to requirements under the Dodd-Frank Wall Street Reform and Consumer Protection Act of 2010, which will require us to conduct due diligence on and disclose whether or not our products contain conflict minerals. The implementation of these requirements could adversely affect the sourcing, availability, and pricing of the materials used in the manufacture of components used in our products. In addition, we will incur additional costs to comply with the disclosure requirements, including costs related to conducting diligence procedures to determine the sources of minerals that may be used or necessary to the production of our products and, if applicable, potential changes to products, processes, or sources of supply as a consequence of such due diligence activities. It is also possible that we may face reputational harm if we determine that certain of our products contain minerals not determined to be conflict free or if we are unable to alter our products, processes, or sources of supply to avoid such materials.</w:t>
      </w:r>
    </w:p>
    <w:p>
      <w:pPr>
        <w:spacing w:after="0" w:line="129" w:lineRule="exact"/>
        <w:rPr>
          <w:sz w:val="20"/>
          <w:szCs w:val="20"/>
          <w:color w:val="auto"/>
        </w:rPr>
      </w:pPr>
    </w:p>
    <w:p>
      <w:pPr>
        <w:ind w:left="2060"/>
        <w:spacing w:after="0"/>
        <w:rPr>
          <w:sz w:val="20"/>
          <w:szCs w:val="20"/>
          <w:color w:val="auto"/>
        </w:rPr>
      </w:pPr>
      <w:r>
        <w:rPr>
          <w:rFonts w:ascii="Arial" w:cs="Arial" w:eastAsia="Arial" w:hAnsi="Arial"/>
          <w:sz w:val="11"/>
          <w:szCs w:val="11"/>
          <w:b w:val="1"/>
          <w:bCs w:val="1"/>
          <w:u w:val="single" w:color="auto"/>
          <w:color w:val="auto"/>
        </w:rPr>
        <w:t>Risks Related to the Ownership of Our Class A Common Stock</w:t>
      </w:r>
    </w:p>
    <w:p>
      <w:pPr>
        <w:spacing w:after="0" w:line="144" w:lineRule="exact"/>
        <w:rPr>
          <w:sz w:val="20"/>
          <w:szCs w:val="20"/>
          <w:color w:val="auto"/>
        </w:rPr>
      </w:pPr>
    </w:p>
    <w:p>
      <w:pPr>
        <w:jc w:val="both"/>
        <w:ind w:left="2060" w:right="839"/>
        <w:spacing w:after="0" w:line="268" w:lineRule="auto"/>
        <w:rPr>
          <w:sz w:val="20"/>
          <w:szCs w:val="20"/>
          <w:color w:val="auto"/>
        </w:rPr>
      </w:pPr>
      <w:r>
        <w:rPr>
          <w:rFonts w:ascii="Arial" w:cs="Arial" w:eastAsia="Arial" w:hAnsi="Arial"/>
          <w:sz w:val="11"/>
          <w:szCs w:val="11"/>
          <w:b w:val="1"/>
          <w:bCs w:val="1"/>
          <w:i w:val="1"/>
          <w:iCs w:val="1"/>
          <w:color w:val="auto"/>
        </w:rPr>
        <w:t>There has been no prior public market for our Class A common stock, the stock price of our Class A common stock may be volatile or may decline regardless of our operating performance, and you may not be able to resell your shares at or above the initial public offering price.</w:t>
      </w:r>
    </w:p>
    <w:p>
      <w:pPr>
        <w:spacing w:after="0" w:line="126" w:lineRule="exact"/>
        <w:rPr>
          <w:sz w:val="20"/>
          <w:szCs w:val="20"/>
          <w:color w:val="auto"/>
        </w:rPr>
      </w:pPr>
    </w:p>
    <w:p>
      <w:pPr>
        <w:jc w:val="both"/>
        <w:ind w:left="2060" w:right="839"/>
        <w:spacing w:after="0" w:line="241" w:lineRule="auto"/>
        <w:rPr>
          <w:sz w:val="20"/>
          <w:szCs w:val="20"/>
          <w:color w:val="auto"/>
        </w:rPr>
      </w:pPr>
      <w:r>
        <w:rPr>
          <w:rFonts w:ascii="Arial" w:cs="Arial" w:eastAsia="Arial" w:hAnsi="Arial"/>
          <w:sz w:val="11"/>
          <w:szCs w:val="11"/>
          <w:color w:val="050505"/>
        </w:rPr>
        <w:t>There has been no public market for our Class A common stock prior to this offering. The initial public offering price for our Class A common stock was determined through negotiations between us and the underwriters and may vary from the market price of our Class A common stock following this offering. The market prices of the securities of newly public companies such as us have historically been highly volatile. The market price of our Class A common stock may fluctuate significantly in response to numerous factors, many of which are beyond our control, including:</w:t>
      </w:r>
    </w:p>
    <w:p>
      <w:pPr>
        <w:spacing w:after="0" w:line="158" w:lineRule="exact"/>
        <w:rPr>
          <w:sz w:val="20"/>
          <w:szCs w:val="20"/>
          <w:color w:val="auto"/>
        </w:rPr>
      </w:pPr>
    </w:p>
    <w:p>
      <w:pPr>
        <w:ind w:left="5680" w:right="2959" w:hanging="3477"/>
        <w:spacing w:after="0" w:line="433" w:lineRule="auto"/>
        <w:tabs>
          <w:tab w:leader="none" w:pos="2425" w:val="left"/>
        </w:tabs>
        <w:numPr>
          <w:ilvl w:val="0"/>
          <w:numId w:val="20"/>
        </w:numPr>
        <w:rPr>
          <w:rFonts w:ascii="Arial" w:cs="Arial" w:eastAsia="Arial" w:hAnsi="Arial"/>
          <w:sz w:val="11"/>
          <w:szCs w:val="11"/>
          <w:color w:val="F7323F"/>
        </w:rPr>
      </w:pPr>
      <w:r>
        <w:rPr>
          <w:rFonts w:ascii="Arial" w:cs="Arial" w:eastAsia="Arial" w:hAnsi="Arial"/>
          <w:sz w:val="11"/>
          <w:szCs w:val="11"/>
          <w:color w:val="050505"/>
        </w:rPr>
        <w:t>overall performance of the equity markets and the performance of technology companies in particular; 39</w:t>
      </w:r>
    </w:p>
    <w:p>
      <w:pPr>
        <w:sectPr>
          <w:pgSz w:w="11900" w:h="16838" w:orient="portrait"/>
          <w:cols w:equalWidth="0" w:num="1">
            <w:col w:w="10239"/>
          </w:cols>
          <w:pgMar w:left="220" w:top="354" w:right="1440" w:bottom="1440" w:gutter="0" w:footer="0" w:header="0"/>
        </w:sectPr>
      </w:pPr>
    </w:p>
    <w:bookmarkStart w:id="44" w:name="page45"/>
    <w:bookmarkEnd w:id="44"/>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hyperlink w:anchor="page5">
        <w:r>
          <w:rPr>
            <w:rFonts w:ascii="Arial" w:cs="Arial" w:eastAsia="Arial" w:hAnsi="Arial"/>
            <w:sz w:val="12"/>
            <w:szCs w:val="12"/>
            <w:b w:val="1"/>
            <w:bCs w:val="1"/>
            <w:u w:val="single" w:color="auto"/>
            <w:color w:val="0000EE"/>
          </w:rPr>
          <w:t>Table of Contents</w:t>
        </w:r>
      </w:hyperlink>
    </w:p>
    <w:p>
      <w:pPr>
        <w:spacing w:after="0" w:line="216" w:lineRule="exact"/>
        <w:rPr>
          <w:sz w:val="20"/>
          <w:szCs w:val="20"/>
          <w:color w:val="auto"/>
        </w:rPr>
      </w:pPr>
    </w:p>
    <w:p>
      <w:pPr>
        <w:ind w:left="2420" w:right="839" w:hanging="217"/>
        <w:spacing w:after="0" w:line="245" w:lineRule="auto"/>
        <w:tabs>
          <w:tab w:leader="none" w:pos="2420" w:val="left"/>
        </w:tabs>
        <w:numPr>
          <w:ilvl w:val="0"/>
          <w:numId w:val="21"/>
        </w:numPr>
        <w:rPr>
          <w:rFonts w:ascii="Arial" w:cs="Arial" w:eastAsia="Arial" w:hAnsi="Arial"/>
          <w:sz w:val="11"/>
          <w:szCs w:val="11"/>
          <w:color w:val="F7323F"/>
        </w:rPr>
      </w:pPr>
      <w:r>
        <w:rPr>
          <w:rFonts w:ascii="Arial" w:cs="Arial" w:eastAsia="Arial" w:hAnsi="Arial"/>
          <w:sz w:val="11"/>
          <w:szCs w:val="11"/>
          <w:color w:val="050505"/>
        </w:rPr>
        <w:t>variations in our operating results, cash flows, and other financial metrics and non-financial metrics, and how those results compare to analyst expectations;</w:t>
      </w:r>
    </w:p>
    <w:p>
      <w:pPr>
        <w:spacing w:after="0" w:line="38" w:lineRule="exact"/>
        <w:rPr>
          <w:rFonts w:ascii="Arial" w:cs="Arial" w:eastAsia="Arial" w:hAnsi="Arial"/>
          <w:sz w:val="11"/>
          <w:szCs w:val="11"/>
          <w:color w:val="F7323F"/>
        </w:rPr>
      </w:pPr>
    </w:p>
    <w:p>
      <w:pPr>
        <w:ind w:left="2420" w:hanging="217"/>
        <w:spacing w:after="0"/>
        <w:tabs>
          <w:tab w:leader="none" w:pos="2420" w:val="left"/>
        </w:tabs>
        <w:numPr>
          <w:ilvl w:val="0"/>
          <w:numId w:val="21"/>
        </w:numPr>
        <w:rPr>
          <w:rFonts w:ascii="Arial" w:cs="Arial" w:eastAsia="Arial" w:hAnsi="Arial"/>
          <w:sz w:val="11"/>
          <w:szCs w:val="11"/>
          <w:color w:val="F7323F"/>
        </w:rPr>
      </w:pPr>
      <w:r>
        <w:rPr>
          <w:rFonts w:ascii="Arial" w:cs="Arial" w:eastAsia="Arial" w:hAnsi="Arial"/>
          <w:sz w:val="11"/>
          <w:szCs w:val="11"/>
          <w:color w:val="050505"/>
        </w:rPr>
        <w:t>changes in the financial projections we may provide to the public or our failure to meet these projections;</w:t>
      </w:r>
    </w:p>
    <w:p>
      <w:pPr>
        <w:spacing w:after="0" w:line="44" w:lineRule="exact"/>
        <w:rPr>
          <w:rFonts w:ascii="Arial" w:cs="Arial" w:eastAsia="Arial" w:hAnsi="Arial"/>
          <w:sz w:val="11"/>
          <w:szCs w:val="11"/>
          <w:color w:val="F7323F"/>
        </w:rPr>
      </w:pPr>
    </w:p>
    <w:p>
      <w:pPr>
        <w:ind w:left="2420" w:right="839" w:hanging="217"/>
        <w:spacing w:after="0" w:line="245" w:lineRule="auto"/>
        <w:tabs>
          <w:tab w:leader="none" w:pos="2420" w:val="left"/>
        </w:tabs>
        <w:numPr>
          <w:ilvl w:val="0"/>
          <w:numId w:val="21"/>
        </w:numPr>
        <w:rPr>
          <w:rFonts w:ascii="Arial" w:cs="Arial" w:eastAsia="Arial" w:hAnsi="Arial"/>
          <w:sz w:val="11"/>
          <w:szCs w:val="11"/>
          <w:color w:val="F7323F"/>
        </w:rPr>
      </w:pPr>
      <w:r>
        <w:rPr>
          <w:rFonts w:ascii="Arial" w:cs="Arial" w:eastAsia="Arial" w:hAnsi="Arial"/>
          <w:sz w:val="11"/>
          <w:szCs w:val="11"/>
          <w:color w:val="050505"/>
        </w:rPr>
        <w:t>failure of securities analysts to initiate or maintain coverage of us, changes in financial estimates by any securities analysts who follow our company, or our failure to meet these estimates or the expectations of investors;</w:t>
      </w:r>
    </w:p>
    <w:p>
      <w:pPr>
        <w:spacing w:after="0" w:line="38" w:lineRule="exact"/>
        <w:rPr>
          <w:rFonts w:ascii="Arial" w:cs="Arial" w:eastAsia="Arial" w:hAnsi="Arial"/>
          <w:sz w:val="11"/>
          <w:szCs w:val="11"/>
          <w:color w:val="F7323F"/>
        </w:rPr>
      </w:pPr>
    </w:p>
    <w:p>
      <w:pPr>
        <w:ind w:left="2420" w:hanging="217"/>
        <w:spacing w:after="0"/>
        <w:tabs>
          <w:tab w:leader="none" w:pos="2420" w:val="left"/>
        </w:tabs>
        <w:numPr>
          <w:ilvl w:val="0"/>
          <w:numId w:val="21"/>
        </w:numPr>
        <w:rPr>
          <w:rFonts w:ascii="Arial" w:cs="Arial" w:eastAsia="Arial" w:hAnsi="Arial"/>
          <w:sz w:val="11"/>
          <w:szCs w:val="11"/>
          <w:color w:val="F7323F"/>
        </w:rPr>
      </w:pPr>
      <w:r>
        <w:rPr>
          <w:rFonts w:ascii="Arial" w:cs="Arial" w:eastAsia="Arial" w:hAnsi="Arial"/>
          <w:sz w:val="11"/>
          <w:szCs w:val="11"/>
          <w:color w:val="050505"/>
        </w:rPr>
        <w:t>recruitment or departure of key personnel;</w:t>
      </w:r>
    </w:p>
    <w:p>
      <w:pPr>
        <w:spacing w:after="0" w:line="44" w:lineRule="exact"/>
        <w:rPr>
          <w:rFonts w:ascii="Arial" w:cs="Arial" w:eastAsia="Arial" w:hAnsi="Arial"/>
          <w:sz w:val="11"/>
          <w:szCs w:val="11"/>
          <w:color w:val="F7323F"/>
        </w:rPr>
      </w:pPr>
    </w:p>
    <w:p>
      <w:pPr>
        <w:ind w:left="2420" w:hanging="217"/>
        <w:spacing w:after="0"/>
        <w:tabs>
          <w:tab w:leader="none" w:pos="2420" w:val="left"/>
        </w:tabs>
        <w:numPr>
          <w:ilvl w:val="0"/>
          <w:numId w:val="21"/>
        </w:numPr>
        <w:rPr>
          <w:rFonts w:ascii="Arial" w:cs="Arial" w:eastAsia="Arial" w:hAnsi="Arial"/>
          <w:sz w:val="11"/>
          <w:szCs w:val="11"/>
          <w:color w:val="F7323F"/>
        </w:rPr>
      </w:pPr>
      <w:r>
        <w:rPr>
          <w:rFonts w:ascii="Arial" w:cs="Arial" w:eastAsia="Arial" w:hAnsi="Arial"/>
          <w:sz w:val="11"/>
          <w:szCs w:val="11"/>
          <w:color w:val="050505"/>
        </w:rPr>
        <w:t>the economy as a whole and market conditions in our industry;</w:t>
      </w:r>
    </w:p>
    <w:p>
      <w:pPr>
        <w:spacing w:after="0" w:line="44" w:lineRule="exact"/>
        <w:rPr>
          <w:rFonts w:ascii="Arial" w:cs="Arial" w:eastAsia="Arial" w:hAnsi="Arial"/>
          <w:sz w:val="11"/>
          <w:szCs w:val="11"/>
          <w:color w:val="F7323F"/>
        </w:rPr>
      </w:pPr>
    </w:p>
    <w:p>
      <w:pPr>
        <w:ind w:left="2420" w:right="839" w:hanging="217"/>
        <w:spacing w:after="0" w:line="245" w:lineRule="auto"/>
        <w:tabs>
          <w:tab w:leader="none" w:pos="2420" w:val="left"/>
        </w:tabs>
        <w:numPr>
          <w:ilvl w:val="0"/>
          <w:numId w:val="21"/>
        </w:numPr>
        <w:rPr>
          <w:rFonts w:ascii="Arial" w:cs="Arial" w:eastAsia="Arial" w:hAnsi="Arial"/>
          <w:sz w:val="11"/>
          <w:szCs w:val="11"/>
          <w:color w:val="F7323F"/>
        </w:rPr>
      </w:pPr>
      <w:r>
        <w:rPr>
          <w:rFonts w:ascii="Arial" w:cs="Arial" w:eastAsia="Arial" w:hAnsi="Arial"/>
          <w:sz w:val="11"/>
          <w:szCs w:val="11"/>
          <w:color w:val="050505"/>
        </w:rPr>
        <w:t>negative publicity related to problems in our manufacturing or the real or perceived quality of our products, as well as the failure to timely launch new products or services that gain market acceptance;</w:t>
      </w:r>
    </w:p>
    <w:p>
      <w:pPr>
        <w:spacing w:after="0" w:line="38" w:lineRule="exact"/>
        <w:rPr>
          <w:rFonts w:ascii="Arial" w:cs="Arial" w:eastAsia="Arial" w:hAnsi="Arial"/>
          <w:sz w:val="11"/>
          <w:szCs w:val="11"/>
          <w:color w:val="F7323F"/>
        </w:rPr>
      </w:pPr>
    </w:p>
    <w:p>
      <w:pPr>
        <w:ind w:left="2420" w:hanging="217"/>
        <w:spacing w:after="0"/>
        <w:tabs>
          <w:tab w:leader="none" w:pos="2420" w:val="left"/>
        </w:tabs>
        <w:numPr>
          <w:ilvl w:val="0"/>
          <w:numId w:val="21"/>
        </w:numPr>
        <w:rPr>
          <w:rFonts w:ascii="Arial" w:cs="Arial" w:eastAsia="Arial" w:hAnsi="Arial"/>
          <w:sz w:val="11"/>
          <w:szCs w:val="11"/>
          <w:color w:val="F7323F"/>
        </w:rPr>
      </w:pPr>
      <w:r>
        <w:rPr>
          <w:rFonts w:ascii="Arial" w:cs="Arial" w:eastAsia="Arial" w:hAnsi="Arial"/>
          <w:sz w:val="11"/>
          <w:szCs w:val="11"/>
          <w:color w:val="050505"/>
        </w:rPr>
        <w:t>rumors and market speculation involving us or other companies in our industry;</w:t>
      </w:r>
    </w:p>
    <w:p>
      <w:pPr>
        <w:spacing w:after="0" w:line="44" w:lineRule="exact"/>
        <w:rPr>
          <w:rFonts w:ascii="Arial" w:cs="Arial" w:eastAsia="Arial" w:hAnsi="Arial"/>
          <w:sz w:val="11"/>
          <w:szCs w:val="11"/>
          <w:color w:val="F7323F"/>
        </w:rPr>
      </w:pPr>
    </w:p>
    <w:p>
      <w:pPr>
        <w:ind w:left="2420" w:right="839" w:hanging="217"/>
        <w:spacing w:after="0" w:line="245" w:lineRule="auto"/>
        <w:tabs>
          <w:tab w:leader="none" w:pos="2420" w:val="left"/>
        </w:tabs>
        <w:numPr>
          <w:ilvl w:val="0"/>
          <w:numId w:val="21"/>
        </w:numPr>
        <w:rPr>
          <w:rFonts w:ascii="Arial" w:cs="Arial" w:eastAsia="Arial" w:hAnsi="Arial"/>
          <w:sz w:val="11"/>
          <w:szCs w:val="11"/>
          <w:color w:val="F7323F"/>
        </w:rPr>
      </w:pPr>
      <w:r>
        <w:rPr>
          <w:rFonts w:ascii="Arial" w:cs="Arial" w:eastAsia="Arial" w:hAnsi="Arial"/>
          <w:sz w:val="11"/>
          <w:szCs w:val="11"/>
          <w:color w:val="050505"/>
        </w:rPr>
        <w:t>announcements by us or our competitors of new products, services, features and content, significant technical innovations, acquisitions, strategic partnerships, joint ventures, or capital commitments;</w:t>
      </w:r>
    </w:p>
    <w:p>
      <w:pPr>
        <w:spacing w:after="0" w:line="38" w:lineRule="exact"/>
        <w:rPr>
          <w:rFonts w:ascii="Arial" w:cs="Arial" w:eastAsia="Arial" w:hAnsi="Arial"/>
          <w:sz w:val="11"/>
          <w:szCs w:val="11"/>
          <w:color w:val="F7323F"/>
        </w:rPr>
      </w:pPr>
    </w:p>
    <w:p>
      <w:pPr>
        <w:ind w:left="2420" w:hanging="217"/>
        <w:spacing w:after="0"/>
        <w:tabs>
          <w:tab w:leader="none" w:pos="2420" w:val="left"/>
        </w:tabs>
        <w:numPr>
          <w:ilvl w:val="0"/>
          <w:numId w:val="21"/>
        </w:numPr>
        <w:rPr>
          <w:rFonts w:ascii="Arial" w:cs="Arial" w:eastAsia="Arial" w:hAnsi="Arial"/>
          <w:sz w:val="11"/>
          <w:szCs w:val="11"/>
          <w:color w:val="F7323F"/>
        </w:rPr>
      </w:pPr>
      <w:r>
        <w:rPr>
          <w:rFonts w:ascii="Arial" w:cs="Arial" w:eastAsia="Arial" w:hAnsi="Arial"/>
          <w:sz w:val="11"/>
          <w:szCs w:val="11"/>
          <w:color w:val="050505"/>
        </w:rPr>
        <w:t>new laws or regulations or new interpretations of existing laws or regulations applicable to our business;</w:t>
      </w:r>
    </w:p>
    <w:p>
      <w:pPr>
        <w:spacing w:after="0" w:line="44" w:lineRule="exact"/>
        <w:rPr>
          <w:rFonts w:ascii="Arial" w:cs="Arial" w:eastAsia="Arial" w:hAnsi="Arial"/>
          <w:sz w:val="11"/>
          <w:szCs w:val="11"/>
          <w:color w:val="F7323F"/>
        </w:rPr>
      </w:pPr>
    </w:p>
    <w:p>
      <w:pPr>
        <w:ind w:left="2420" w:hanging="217"/>
        <w:spacing w:after="0"/>
        <w:tabs>
          <w:tab w:leader="none" w:pos="2420" w:val="left"/>
        </w:tabs>
        <w:numPr>
          <w:ilvl w:val="0"/>
          <w:numId w:val="21"/>
        </w:numPr>
        <w:rPr>
          <w:rFonts w:ascii="Arial" w:cs="Arial" w:eastAsia="Arial" w:hAnsi="Arial"/>
          <w:sz w:val="11"/>
          <w:szCs w:val="11"/>
          <w:color w:val="F7323F"/>
        </w:rPr>
      </w:pPr>
      <w:r>
        <w:rPr>
          <w:rFonts w:ascii="Arial" w:cs="Arial" w:eastAsia="Arial" w:hAnsi="Arial"/>
          <w:sz w:val="11"/>
          <w:szCs w:val="11"/>
          <w:color w:val="050505"/>
        </w:rPr>
        <w:t>lawsuits threatened or filed against us, litigation involving our industry, or both;</w:t>
      </w:r>
    </w:p>
    <w:p>
      <w:pPr>
        <w:spacing w:after="0" w:line="44" w:lineRule="exact"/>
        <w:rPr>
          <w:rFonts w:ascii="Arial" w:cs="Arial" w:eastAsia="Arial" w:hAnsi="Arial"/>
          <w:sz w:val="11"/>
          <w:szCs w:val="11"/>
          <w:color w:val="F7323F"/>
        </w:rPr>
      </w:pPr>
    </w:p>
    <w:p>
      <w:pPr>
        <w:ind w:left="2420" w:hanging="217"/>
        <w:spacing w:after="0"/>
        <w:tabs>
          <w:tab w:leader="none" w:pos="2420" w:val="left"/>
        </w:tabs>
        <w:numPr>
          <w:ilvl w:val="0"/>
          <w:numId w:val="21"/>
        </w:numPr>
        <w:rPr>
          <w:rFonts w:ascii="Arial" w:cs="Arial" w:eastAsia="Arial" w:hAnsi="Arial"/>
          <w:sz w:val="11"/>
          <w:szCs w:val="11"/>
          <w:color w:val="F7323F"/>
        </w:rPr>
      </w:pPr>
      <w:r>
        <w:rPr>
          <w:rFonts w:ascii="Arial" w:cs="Arial" w:eastAsia="Arial" w:hAnsi="Arial"/>
          <w:sz w:val="11"/>
          <w:szCs w:val="11"/>
          <w:color w:val="050505"/>
        </w:rPr>
        <w:t>developments or disputes concerning our or other parties’ products, services, or intellectual property rights;</w:t>
      </w:r>
    </w:p>
    <w:p>
      <w:pPr>
        <w:spacing w:after="0" w:line="44" w:lineRule="exact"/>
        <w:rPr>
          <w:rFonts w:ascii="Arial" w:cs="Arial" w:eastAsia="Arial" w:hAnsi="Arial"/>
          <w:sz w:val="11"/>
          <w:szCs w:val="11"/>
          <w:color w:val="F7323F"/>
        </w:rPr>
      </w:pPr>
    </w:p>
    <w:p>
      <w:pPr>
        <w:ind w:left="2420" w:hanging="217"/>
        <w:spacing w:after="0"/>
        <w:tabs>
          <w:tab w:leader="none" w:pos="2420" w:val="left"/>
        </w:tabs>
        <w:numPr>
          <w:ilvl w:val="0"/>
          <w:numId w:val="21"/>
        </w:numPr>
        <w:rPr>
          <w:rFonts w:ascii="Arial" w:cs="Arial" w:eastAsia="Arial" w:hAnsi="Arial"/>
          <w:sz w:val="11"/>
          <w:szCs w:val="11"/>
          <w:color w:val="F7323F"/>
        </w:rPr>
      </w:pPr>
      <w:r>
        <w:rPr>
          <w:rFonts w:ascii="Arial" w:cs="Arial" w:eastAsia="Arial" w:hAnsi="Arial"/>
          <w:sz w:val="11"/>
          <w:szCs w:val="11"/>
          <w:color w:val="050505"/>
        </w:rPr>
        <w:t>other events or factors, including those resulting from war, incidents of terrorism, or responses to these events;</w:t>
      </w:r>
    </w:p>
    <w:p>
      <w:pPr>
        <w:spacing w:after="0" w:line="44" w:lineRule="exact"/>
        <w:rPr>
          <w:rFonts w:ascii="Arial" w:cs="Arial" w:eastAsia="Arial" w:hAnsi="Arial"/>
          <w:sz w:val="11"/>
          <w:szCs w:val="11"/>
          <w:color w:val="F7323F"/>
        </w:rPr>
      </w:pPr>
    </w:p>
    <w:p>
      <w:pPr>
        <w:ind w:left="2420" w:hanging="217"/>
        <w:spacing w:after="0"/>
        <w:tabs>
          <w:tab w:leader="none" w:pos="2420" w:val="left"/>
        </w:tabs>
        <w:numPr>
          <w:ilvl w:val="0"/>
          <w:numId w:val="21"/>
        </w:numPr>
        <w:rPr>
          <w:rFonts w:ascii="Arial" w:cs="Arial" w:eastAsia="Arial" w:hAnsi="Arial"/>
          <w:sz w:val="11"/>
          <w:szCs w:val="11"/>
          <w:color w:val="F7323F"/>
        </w:rPr>
      </w:pPr>
      <w:r>
        <w:rPr>
          <w:rFonts w:ascii="Arial" w:cs="Arial" w:eastAsia="Arial" w:hAnsi="Arial"/>
          <w:sz w:val="11"/>
          <w:szCs w:val="11"/>
          <w:color w:val="050505"/>
        </w:rPr>
        <w:t>the expiration of contractual lock-up or market standoff agreements; and</w:t>
      </w:r>
    </w:p>
    <w:p>
      <w:pPr>
        <w:spacing w:after="0" w:line="44" w:lineRule="exact"/>
        <w:rPr>
          <w:rFonts w:ascii="Arial" w:cs="Arial" w:eastAsia="Arial" w:hAnsi="Arial"/>
          <w:sz w:val="11"/>
          <w:szCs w:val="11"/>
          <w:color w:val="F7323F"/>
        </w:rPr>
      </w:pPr>
    </w:p>
    <w:p>
      <w:pPr>
        <w:ind w:left="2420" w:hanging="217"/>
        <w:spacing w:after="0"/>
        <w:tabs>
          <w:tab w:leader="none" w:pos="2420" w:val="left"/>
        </w:tabs>
        <w:numPr>
          <w:ilvl w:val="0"/>
          <w:numId w:val="21"/>
        </w:numPr>
        <w:rPr>
          <w:rFonts w:ascii="Arial" w:cs="Arial" w:eastAsia="Arial" w:hAnsi="Arial"/>
          <w:sz w:val="11"/>
          <w:szCs w:val="11"/>
          <w:color w:val="F7323F"/>
        </w:rPr>
      </w:pPr>
      <w:r>
        <w:rPr>
          <w:rFonts w:ascii="Arial" w:cs="Arial" w:eastAsia="Arial" w:hAnsi="Arial"/>
          <w:sz w:val="11"/>
          <w:szCs w:val="11"/>
          <w:color w:val="050505"/>
        </w:rPr>
        <w:t>sales of shares of our Class A common stock by us or our stockholders.</w:t>
      </w:r>
    </w:p>
    <w:p>
      <w:pPr>
        <w:spacing w:after="0" w:line="144" w:lineRule="exact"/>
        <w:rPr>
          <w:sz w:val="20"/>
          <w:szCs w:val="20"/>
          <w:color w:val="auto"/>
        </w:rPr>
      </w:pPr>
    </w:p>
    <w:p>
      <w:pPr>
        <w:jc w:val="both"/>
        <w:ind w:left="2060" w:right="839"/>
        <w:spacing w:after="0"/>
        <w:rPr>
          <w:sz w:val="20"/>
          <w:szCs w:val="20"/>
          <w:color w:val="auto"/>
        </w:rPr>
      </w:pPr>
      <w:r>
        <w:rPr>
          <w:rFonts w:ascii="Arial" w:cs="Arial" w:eastAsia="Arial" w:hAnsi="Arial"/>
          <w:sz w:val="11"/>
          <w:szCs w:val="11"/>
          <w:color w:val="050505"/>
        </w:rPr>
        <w:t>In addition, the stock markets have experienced extreme price and volume fluctuations that have affected and continue to affect the market prices of equity securities of many companies. Stock prices of many companies have fluctuated in a manner unrelated or disproportionate to the operating performance of those companies. In the past, stockholders have instituted securities class action litigation following periods of market volatility. If we were to become involved in securities litigation, it could subject us to substantial costs, divert resources and the attention of management from our business, and adversely affect our business.</w:t>
      </w:r>
    </w:p>
    <w:p>
      <w:pPr>
        <w:spacing w:after="0" w:line="130" w:lineRule="exact"/>
        <w:rPr>
          <w:sz w:val="20"/>
          <w:szCs w:val="20"/>
          <w:color w:val="auto"/>
        </w:rPr>
      </w:pPr>
    </w:p>
    <w:p>
      <w:pPr>
        <w:jc w:val="both"/>
        <w:ind w:left="2060" w:right="839"/>
        <w:spacing w:after="0" w:line="268" w:lineRule="auto"/>
        <w:rPr>
          <w:sz w:val="20"/>
          <w:szCs w:val="20"/>
          <w:color w:val="auto"/>
        </w:rPr>
      </w:pPr>
      <w:r>
        <w:rPr>
          <w:rFonts w:ascii="Arial" w:cs="Arial" w:eastAsia="Arial" w:hAnsi="Arial"/>
          <w:sz w:val="11"/>
          <w:szCs w:val="11"/>
          <w:b w:val="1"/>
          <w:bCs w:val="1"/>
          <w:i w:val="1"/>
          <w:iCs w:val="1"/>
          <w:color w:val="auto"/>
        </w:rPr>
        <w:t>Sales, directly or indirectly, of a substantial amount of our Class A common stock in the public markets by our existing security holders may cause the price of our Class A common stock to decline.</w:t>
      </w:r>
    </w:p>
    <w:p>
      <w:pPr>
        <w:spacing w:after="0" w:line="126" w:lineRule="exact"/>
        <w:rPr>
          <w:sz w:val="20"/>
          <w:szCs w:val="20"/>
          <w:color w:val="auto"/>
        </w:rPr>
      </w:pPr>
    </w:p>
    <w:p>
      <w:pPr>
        <w:jc w:val="both"/>
        <w:ind w:left="2060" w:right="839"/>
        <w:spacing w:after="0" w:line="268" w:lineRule="auto"/>
        <w:rPr>
          <w:sz w:val="20"/>
          <w:szCs w:val="20"/>
          <w:color w:val="auto"/>
        </w:rPr>
      </w:pPr>
      <w:r>
        <w:rPr>
          <w:rFonts w:ascii="Arial" w:cs="Arial" w:eastAsia="Arial" w:hAnsi="Arial"/>
          <w:sz w:val="10"/>
          <w:szCs w:val="10"/>
          <w:color w:val="050505"/>
        </w:rPr>
        <w:t>Sales of a substantial number of shares of our Class A common stock into the public market, particularly sales by our directors, executive officers, and principal stockholders, or the perception that these sales might occur, could cause the market price of our Class A common stock to decline and could impair our ability to raise capital through the sale of additional equity securities. Many of our existing security holders have substantial unrecognized gains on the value of the equity they hold, and may take, or attempt to take, steps to sell, directly or indirectly, their shares or otherwise secure, or limit the risk to, the value of their unrecognized gains on those shares. Based on zero shares of our Class A common stock and 235,942,233 shares of our Class B common stock outstanding as of June 30, 2019, we will have 43,448,275 (49,448,275 shares if the option to purchase additional shares is exercised in full) of our Class A common stock and 235,942,233 shares of our Class B common stock outstanding after this offering and the private placement.</w:t>
      </w:r>
    </w:p>
    <w:p>
      <w:pPr>
        <w:spacing w:after="0" w:line="128" w:lineRule="exact"/>
        <w:rPr>
          <w:sz w:val="20"/>
          <w:szCs w:val="20"/>
          <w:color w:val="auto"/>
        </w:rPr>
      </w:pPr>
    </w:p>
    <w:p>
      <w:pPr>
        <w:jc w:val="both"/>
        <w:ind w:left="2060" w:right="839"/>
        <w:spacing w:after="0"/>
        <w:rPr>
          <w:sz w:val="20"/>
          <w:szCs w:val="20"/>
          <w:color w:val="auto"/>
        </w:rPr>
      </w:pPr>
      <w:r>
        <w:rPr>
          <w:rFonts w:ascii="Arial" w:cs="Arial" w:eastAsia="Arial" w:hAnsi="Arial"/>
          <w:sz w:val="11"/>
          <w:szCs w:val="11"/>
          <w:color w:val="050505"/>
        </w:rPr>
        <w:t>All of the shares of Class A common stock sold in this offering are freely tradable without restrictions or further registration under the Securities Act except that any shares held by our affiliates, as defined in Rule 144 under the Securities Act, may only be sold in compliance with Rule 144 and any applicable lock-up agreements described below. Karen Boone and Howard Draft, two of our directors, have expressed an interest in purchasing $500,000 and $2.0 million in shares of our Class A common stock in this offering, respectively, which the underwriters have reserved for sale to Ms. Boone and Mr. Draft at our request (equal to 17,241 and 68,965 shares, respectively, based upon the initial public offering price of $29.00 per share). Any shares sold to Ms. Boone and Mr. Draft in this offering will be subject to the restrictions under the applicable securities laws and the lock-up agreement described below. The shares of Class A common stock sold in the private placement to entities affiliated with TCV, an existing stockholder, will also be subject to restrictions under the applicable securities laws and the lock-up agreement described below.</w:t>
      </w:r>
    </w:p>
    <w:p>
      <w:pPr>
        <w:spacing w:after="0" w:line="96" w:lineRule="exact"/>
        <w:rPr>
          <w:sz w:val="20"/>
          <w:szCs w:val="20"/>
          <w:color w:val="auto"/>
        </w:rPr>
      </w:pPr>
    </w:p>
    <w:p>
      <w:pPr>
        <w:ind w:left="5680"/>
        <w:spacing w:after="0"/>
        <w:rPr>
          <w:sz w:val="20"/>
          <w:szCs w:val="20"/>
          <w:color w:val="auto"/>
        </w:rPr>
      </w:pPr>
      <w:r>
        <w:rPr>
          <w:rFonts w:ascii="Arial" w:cs="Arial" w:eastAsia="Arial" w:hAnsi="Arial"/>
          <w:sz w:val="11"/>
          <w:szCs w:val="11"/>
          <w:color w:val="050505"/>
        </w:rPr>
        <w:t>40</w:t>
      </w:r>
    </w:p>
    <w:p>
      <w:pPr>
        <w:sectPr>
          <w:pgSz w:w="11900" w:h="16838" w:orient="portrait"/>
          <w:cols w:equalWidth="0" w:num="1">
            <w:col w:w="10239"/>
          </w:cols>
          <w:pgMar w:left="220" w:top="354" w:right="1440" w:bottom="1440" w:gutter="0" w:footer="0" w:header="0"/>
        </w:sectPr>
      </w:pPr>
    </w:p>
    <w:bookmarkStart w:id="45" w:name="page46"/>
    <w:bookmarkEnd w:id="45"/>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hyperlink w:anchor="page5">
        <w:r>
          <w:rPr>
            <w:rFonts w:ascii="Arial" w:cs="Arial" w:eastAsia="Arial" w:hAnsi="Arial"/>
            <w:sz w:val="12"/>
            <w:szCs w:val="12"/>
            <w:b w:val="1"/>
            <w:bCs w:val="1"/>
            <w:u w:val="single" w:color="auto"/>
            <w:color w:val="0000EE"/>
          </w:rPr>
          <w:t>Table of Contents</w:t>
        </w:r>
      </w:hyperlink>
    </w:p>
    <w:p>
      <w:pPr>
        <w:spacing w:after="0" w:line="216" w:lineRule="exact"/>
        <w:rPr>
          <w:sz w:val="20"/>
          <w:szCs w:val="20"/>
          <w:color w:val="auto"/>
        </w:rPr>
      </w:pPr>
    </w:p>
    <w:p>
      <w:pPr>
        <w:jc w:val="both"/>
        <w:ind w:left="2060" w:right="839"/>
        <w:spacing w:after="0"/>
        <w:rPr>
          <w:sz w:val="20"/>
          <w:szCs w:val="20"/>
          <w:color w:val="auto"/>
        </w:rPr>
      </w:pPr>
      <w:r>
        <w:rPr>
          <w:rFonts w:ascii="Arial" w:cs="Arial" w:eastAsia="Arial" w:hAnsi="Arial"/>
          <w:sz w:val="11"/>
          <w:szCs w:val="11"/>
          <w:color w:val="050505"/>
        </w:rPr>
        <w:t>In connection with this offering, subject to certain customary exceptions, we, all of our directors and executive officers, and substantially all of the holders of our common stock, or securities exercisable for or convertible into our common stock outstanding immediately prior to this offering, have entered into market standoff agreements with us or lock-up agreements with the underwriters that prohibit from selling, contracting to sell, granting any option for the sale of, transferring, or otherwise disposing of any shares of common stock, stock options, or any security or instrument related to common stock or stock options without the permission of Goldman Sachs &amp; Co. LLC and J.P. Morgan Securities LLC on behalf of the underwriters for a period of 180 days from the date of this prospectus, subject to early termination as described below.</w:t>
      </w:r>
    </w:p>
    <w:p>
      <w:pPr>
        <w:spacing w:after="0" w:line="142" w:lineRule="exact"/>
        <w:rPr>
          <w:sz w:val="20"/>
          <w:szCs w:val="20"/>
          <w:color w:val="auto"/>
        </w:rPr>
      </w:pPr>
    </w:p>
    <w:p>
      <w:pPr>
        <w:jc w:val="both"/>
        <w:ind w:left="2060" w:right="839"/>
        <w:spacing w:after="0" w:line="239" w:lineRule="auto"/>
        <w:rPr>
          <w:sz w:val="20"/>
          <w:szCs w:val="20"/>
          <w:color w:val="auto"/>
        </w:rPr>
      </w:pPr>
      <w:r>
        <w:rPr>
          <w:rFonts w:ascii="Arial" w:cs="Arial" w:eastAsia="Arial" w:hAnsi="Arial"/>
          <w:sz w:val="11"/>
          <w:szCs w:val="11"/>
          <w:color w:val="050505"/>
        </w:rPr>
        <w:t>We have a large number of security holders and such security holders have acquired their interests over an extended period of time and pursuant to a number of different agreements containing a variety of terms governing restrictions on the sale, short sale, transfer, hedging, pledging, or other disposition of their interests in our equity. Holders of our outstanding shares of Class A common stock and securities convertible into or exercisable or exchangeable for shares of our Class A common stock are subject to restrictions on their ability to sell or transfer their equity either prior to the pricing of this offering or from the pricing of this offering through the date that is 180 days after the date of this prospectus. We refer to such period as the lock-up period. Pursuant to the lock-up agreements with the underwriters, if (1) at least 120 days have elapsed since the date of this prospectus, (2) we have publicly released our earnings results for the quarterly period during which this offering occurred, and (3) such lock-up period is scheduled to end during or within five trading days prior to a broadly applicable period during which trading in our securities would not be permitted under our insider trading policy, or a blackout period, such lock-up period will end ten trading days prior to the commencement of such blackout period. We and the underwriters may release certain stockholders from the market standoff agreements or lock-up agreements prior to the end of the lock-up period. Record holders of our securities are typically the parties to the lock-up agreements with the underwriters and to the market standoff agreements with us referred to above, while holders of beneficial interests in our shares who are not also holders in respect of such shares are not typically subject to any such agreements or other similar restrictions. Accordingly, we believe that holders of beneficial interests who are not holders and are not bound by market standoff or lock-up agreements could enter into transactions with respect to those beneficial interests that negatively impact our stock price. In addition, an equity holder who is neither subject to a market standoff agreement with us nor a lock-up agreement with the underwriters may be able to sell, short sell, transfer, hedge, pledge, or otherwise dispose of or attempt to sell, short sell, transfer, hedge, pledge, or otherwise dispose of, their equity interests at any time after the closing of this offering. Any such transaction described above involving shares of our Class A common stock, or any perception by the market that such transaction may occur, could cause our stock price to decline.</w:t>
      </w:r>
    </w:p>
    <w:p>
      <w:pPr>
        <w:spacing w:after="0" w:line="147" w:lineRule="exact"/>
        <w:rPr>
          <w:sz w:val="20"/>
          <w:szCs w:val="20"/>
          <w:color w:val="auto"/>
        </w:rPr>
      </w:pPr>
    </w:p>
    <w:p>
      <w:pPr>
        <w:jc w:val="both"/>
        <w:ind w:left="2060" w:right="839"/>
        <w:spacing w:after="0"/>
        <w:rPr>
          <w:sz w:val="20"/>
          <w:szCs w:val="20"/>
          <w:color w:val="auto"/>
        </w:rPr>
      </w:pPr>
      <w:r>
        <w:rPr>
          <w:rFonts w:ascii="Arial" w:cs="Arial" w:eastAsia="Arial" w:hAnsi="Arial"/>
          <w:sz w:val="11"/>
          <w:szCs w:val="11"/>
          <w:color w:val="050505"/>
        </w:rPr>
        <w:t>When the applicable lock-up and market standoff periods described above expire, we and our security holders subject to a lock-up agreement or market standoff agreement will be able to sell our shares in the public market. In addition, Goldman Sachs &amp; Co. LLC and J.P. Morgan Securities LLC, on behalf of the underwriters, may, in their sole discretion, release all or some portion of the shares subject to lock-up agreements prior to the expiration of the lock-up period. Sales of a substantial number of such shares upon expiration of the lock-up and market standoff agreements, or the perception that such sales may occur, or early release of these agreements, could cause our market price to fall or make it more difficult for you to sell your Class A common stock at a time and price that you deem appropriate.</w:t>
      </w:r>
    </w:p>
    <w:p>
      <w:pPr>
        <w:spacing w:after="0" w:line="142" w:lineRule="exact"/>
        <w:rPr>
          <w:sz w:val="20"/>
          <w:szCs w:val="20"/>
          <w:color w:val="auto"/>
        </w:rPr>
      </w:pPr>
    </w:p>
    <w:p>
      <w:pPr>
        <w:jc w:val="both"/>
        <w:ind w:left="2060" w:right="839"/>
        <w:spacing w:after="0" w:line="241" w:lineRule="auto"/>
        <w:rPr>
          <w:sz w:val="20"/>
          <w:szCs w:val="20"/>
          <w:color w:val="auto"/>
        </w:rPr>
      </w:pPr>
      <w:r>
        <w:rPr>
          <w:rFonts w:ascii="Arial" w:cs="Arial" w:eastAsia="Arial" w:hAnsi="Arial"/>
          <w:sz w:val="11"/>
          <w:szCs w:val="11"/>
          <w:color w:val="050505"/>
        </w:rPr>
        <w:t>In addition, as of June 30, 2019, we had stock options outstanding that, if fully exercised, would result in the issuance of 64,602,124 shares of Class B common stock. All of the shares of Class B common stock issuable upon the exercise of stock options, and the shares reserved for future issuance under our equity incentive plans, will be registered for public resale under the Securities Act. Accordingly, these shares will be able to be freely sold in the public market upon issuance subject to existing lock-up or market standoff agreements and applicable vesting requirements.</w:t>
      </w:r>
    </w:p>
    <w:p>
      <w:pPr>
        <w:spacing w:after="0" w:line="140" w:lineRule="exact"/>
        <w:rPr>
          <w:sz w:val="20"/>
          <w:szCs w:val="20"/>
          <w:color w:val="auto"/>
        </w:rPr>
      </w:pPr>
    </w:p>
    <w:p>
      <w:pPr>
        <w:jc w:val="both"/>
        <w:ind w:left="2060" w:right="839"/>
        <w:spacing w:after="0" w:line="278" w:lineRule="auto"/>
        <w:rPr>
          <w:sz w:val="20"/>
          <w:szCs w:val="20"/>
          <w:color w:val="auto"/>
        </w:rPr>
      </w:pPr>
      <w:r>
        <w:rPr>
          <w:rFonts w:ascii="Arial" w:cs="Arial" w:eastAsia="Arial" w:hAnsi="Arial"/>
          <w:sz w:val="10"/>
          <w:szCs w:val="10"/>
          <w:color w:val="050505"/>
        </w:rPr>
        <w:t>Immediately following this offering, the holders of 225,793,616 shares of our common stock, including the shares of our Class A common stock sold in the private placement, will have rights, subject to some conditions, to require us to file registration statements for the public resale of the Class A common stock issuable upon conversion of such shares or to include such shares in registration statements that we may file for us or other stockholders.</w:t>
      </w:r>
    </w:p>
    <w:p>
      <w:pPr>
        <w:spacing w:after="0" w:line="78" w:lineRule="exact"/>
        <w:rPr>
          <w:sz w:val="20"/>
          <w:szCs w:val="20"/>
          <w:color w:val="auto"/>
        </w:rPr>
      </w:pPr>
    </w:p>
    <w:p>
      <w:pPr>
        <w:ind w:left="5680"/>
        <w:spacing w:after="0"/>
        <w:rPr>
          <w:sz w:val="20"/>
          <w:szCs w:val="20"/>
          <w:color w:val="auto"/>
        </w:rPr>
      </w:pPr>
      <w:r>
        <w:rPr>
          <w:rFonts w:ascii="Arial" w:cs="Arial" w:eastAsia="Arial" w:hAnsi="Arial"/>
          <w:sz w:val="11"/>
          <w:szCs w:val="11"/>
          <w:color w:val="050505"/>
        </w:rPr>
        <w:t>41</w:t>
      </w:r>
    </w:p>
    <w:p>
      <w:pPr>
        <w:sectPr>
          <w:pgSz w:w="11900" w:h="16838" w:orient="portrait"/>
          <w:cols w:equalWidth="0" w:num="1">
            <w:col w:w="10239"/>
          </w:cols>
          <w:pgMar w:left="220" w:top="354" w:right="1440" w:bottom="1440" w:gutter="0" w:footer="0" w:header="0"/>
        </w:sectPr>
      </w:pPr>
    </w:p>
    <w:bookmarkStart w:id="46" w:name="page47"/>
    <w:bookmarkEnd w:id="46"/>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hyperlink w:anchor="page5">
        <w:r>
          <w:rPr>
            <w:rFonts w:ascii="Arial" w:cs="Arial" w:eastAsia="Arial" w:hAnsi="Arial"/>
            <w:sz w:val="12"/>
            <w:szCs w:val="12"/>
            <w:b w:val="1"/>
            <w:bCs w:val="1"/>
            <w:u w:val="single" w:color="auto"/>
            <w:color w:val="0000EE"/>
          </w:rPr>
          <w:t>Table of Contents</w:t>
        </w:r>
      </w:hyperlink>
    </w:p>
    <w:p>
      <w:pPr>
        <w:spacing w:after="0" w:line="216" w:lineRule="exact"/>
        <w:rPr>
          <w:sz w:val="20"/>
          <w:szCs w:val="20"/>
          <w:color w:val="auto"/>
        </w:rPr>
      </w:pPr>
    </w:p>
    <w:p>
      <w:pPr>
        <w:jc w:val="both"/>
        <w:ind w:left="2060" w:right="839"/>
        <w:spacing w:after="0" w:line="242" w:lineRule="auto"/>
        <w:rPr>
          <w:sz w:val="20"/>
          <w:szCs w:val="20"/>
          <w:color w:val="auto"/>
        </w:rPr>
      </w:pPr>
      <w:r>
        <w:rPr>
          <w:rFonts w:ascii="Arial" w:cs="Arial" w:eastAsia="Arial" w:hAnsi="Arial"/>
          <w:sz w:val="11"/>
          <w:szCs w:val="11"/>
          <w:color w:val="050505"/>
        </w:rPr>
        <w:t>We may also issue our shares of common stock or securities convertible into shares of our common stock from time to time in connection with a financing, acquisition, investment, or otherwise. Any further issuance could result in substantial dilution to our existing stockholders and cause the market price of our Class A common stock to decline.</w:t>
      </w:r>
    </w:p>
    <w:p>
      <w:pPr>
        <w:spacing w:after="0" w:line="128" w:lineRule="exact"/>
        <w:rPr>
          <w:sz w:val="20"/>
          <w:szCs w:val="20"/>
          <w:color w:val="auto"/>
        </w:rPr>
      </w:pPr>
    </w:p>
    <w:p>
      <w:pPr>
        <w:jc w:val="both"/>
        <w:ind w:left="2060" w:right="839"/>
        <w:spacing w:after="0" w:line="246" w:lineRule="auto"/>
        <w:rPr>
          <w:sz w:val="20"/>
          <w:szCs w:val="20"/>
          <w:color w:val="auto"/>
        </w:rPr>
      </w:pPr>
      <w:r>
        <w:rPr>
          <w:rFonts w:ascii="Arial" w:cs="Arial" w:eastAsia="Arial" w:hAnsi="Arial"/>
          <w:sz w:val="11"/>
          <w:szCs w:val="11"/>
          <w:b w:val="1"/>
          <w:bCs w:val="1"/>
          <w:i w:val="1"/>
          <w:iCs w:val="1"/>
          <w:color w:val="auto"/>
        </w:rPr>
        <w:t>The dual class structure of our common stock will have the effect of concentrating voting control with those stockholders who held our capital stock prior to the completion of this offering and the private placement, including our directors, executive officers, and 5% stockholders who will hold in the aggregate 59.9% of the voting power of our capital stock following the completion of this offering and the private placement, which will limit or preclude your ability to influence corporate matters, including the election of directors and the approval of any change of control transaction.</w:t>
      </w:r>
    </w:p>
    <w:p>
      <w:pPr>
        <w:spacing w:after="0" w:line="138" w:lineRule="exact"/>
        <w:rPr>
          <w:sz w:val="20"/>
          <w:szCs w:val="20"/>
          <w:color w:val="auto"/>
        </w:rPr>
      </w:pPr>
    </w:p>
    <w:p>
      <w:pPr>
        <w:jc w:val="both"/>
        <w:ind w:left="2060" w:right="839"/>
        <w:spacing w:after="0" w:line="239" w:lineRule="auto"/>
        <w:rPr>
          <w:sz w:val="20"/>
          <w:szCs w:val="20"/>
          <w:color w:val="auto"/>
        </w:rPr>
      </w:pPr>
      <w:r>
        <w:rPr>
          <w:rFonts w:ascii="Arial" w:cs="Arial" w:eastAsia="Arial" w:hAnsi="Arial"/>
          <w:sz w:val="11"/>
          <w:szCs w:val="11"/>
          <w:color w:val="050505"/>
        </w:rPr>
        <w:t>Our Class B common stock has 20 votes per share, and our Class A common stock, which is the stock we are offering in this offering and the private placement, has one vote per share. Following this offering and the private placement, the holders of our outstanding Class B common stock will hold 99.1% of the voting power of our outstanding capital stock, with our directors, executive officers, and holders of more than 5% of our common stock, and their respective affiliates, holding in the aggregate 59.9% of the voting power of our capital stock. Because of the twenty-to-one voting ratio between our Class B and Class A common stock, the holders of our Class B common stock collectively will continue to control a majority of the combined voting power of our common stock and therefore be able to control all matters submitted to our stockholders for approval until the earlier of (i) the date specified by a vote of the holders of 66 2/3% of the then outstanding shares of Class B common stock, (ii) ten years from the closing of this offering, and (iii) the date the shares of Class B common stock cease to represent at least 1% of all outstanding shares of our common stock. This concentrated control will limit or preclude your ability to influence corporate matters for the foreseeable future, including the election of directors, amendments of our organizational documents, and any merger, consolidation, sale of all or substantially all of our assets, or other major corporate transaction requiring stockholder approval. In addition, this may prevent or discourage unsolicited acquisition proposals or offers for our capital stock that you may feel are in your best interest as one of our stockholders.</w:t>
      </w:r>
    </w:p>
    <w:p>
      <w:pPr>
        <w:spacing w:after="0" w:line="146" w:lineRule="exact"/>
        <w:rPr>
          <w:sz w:val="20"/>
          <w:szCs w:val="20"/>
          <w:color w:val="auto"/>
        </w:rPr>
      </w:pPr>
    </w:p>
    <w:p>
      <w:pPr>
        <w:jc w:val="both"/>
        <w:ind w:left="2060" w:right="839"/>
        <w:spacing w:after="0" w:line="241" w:lineRule="auto"/>
        <w:rPr>
          <w:sz w:val="20"/>
          <w:szCs w:val="20"/>
          <w:color w:val="auto"/>
        </w:rPr>
      </w:pPr>
      <w:r>
        <w:rPr>
          <w:rFonts w:ascii="Arial" w:cs="Arial" w:eastAsia="Arial" w:hAnsi="Arial"/>
          <w:sz w:val="11"/>
          <w:szCs w:val="11"/>
          <w:color w:val="050505"/>
        </w:rPr>
        <w:t>Future transfers by holders of Class B common stock will generally result in those shares converting to Class A common stock, subject to limited exceptions, such as certain transfers effected for estate planning purposes. The conversion of Class B common stock to Class A common stock will have the effect, over time, of increasing the relative voting power of those holders of Class B common stock who retain their shares in the long term. See the section titled “Description of Capital Stock—Anti-Takeover Provisions” for additional information.</w:t>
      </w:r>
    </w:p>
    <w:p>
      <w:pPr>
        <w:spacing w:after="0" w:line="128" w:lineRule="exact"/>
        <w:rPr>
          <w:sz w:val="20"/>
          <w:szCs w:val="20"/>
          <w:color w:val="auto"/>
        </w:rPr>
      </w:pPr>
    </w:p>
    <w:p>
      <w:pPr>
        <w:ind w:left="2060"/>
        <w:spacing w:after="0"/>
        <w:rPr>
          <w:sz w:val="20"/>
          <w:szCs w:val="20"/>
          <w:color w:val="auto"/>
        </w:rPr>
      </w:pPr>
      <w:r>
        <w:rPr>
          <w:rFonts w:ascii="Arial" w:cs="Arial" w:eastAsia="Arial" w:hAnsi="Arial"/>
          <w:sz w:val="11"/>
          <w:szCs w:val="11"/>
          <w:b w:val="1"/>
          <w:bCs w:val="1"/>
          <w:i w:val="1"/>
          <w:iCs w:val="1"/>
          <w:color w:val="auto"/>
        </w:rPr>
        <w:t>The dual class structure of our common stock may adversely affect the trading market for our Class A common stock.</w:t>
      </w:r>
    </w:p>
    <w:p>
      <w:pPr>
        <w:spacing w:after="0" w:line="156" w:lineRule="exact"/>
        <w:rPr>
          <w:sz w:val="20"/>
          <w:szCs w:val="20"/>
          <w:color w:val="auto"/>
        </w:rPr>
      </w:pPr>
    </w:p>
    <w:p>
      <w:pPr>
        <w:jc w:val="both"/>
        <w:ind w:left="2060" w:right="839"/>
        <w:spacing w:after="0" w:line="268" w:lineRule="auto"/>
        <w:rPr>
          <w:sz w:val="20"/>
          <w:szCs w:val="20"/>
          <w:color w:val="auto"/>
        </w:rPr>
      </w:pPr>
      <w:r>
        <w:rPr>
          <w:rFonts w:ascii="Arial" w:cs="Arial" w:eastAsia="Arial" w:hAnsi="Arial"/>
          <w:sz w:val="10"/>
          <w:szCs w:val="10"/>
          <w:color w:val="050505"/>
        </w:rPr>
        <w:t>Certain stock index providers, such as S&amp;P Dow Jones, exclude companies with multiple classes of shares of common stock from being added to certain stock indices, including the S&amp;P 500. In addition, several stockholder advisory firms and large institutional investors oppose the use of multiple class structures. As a result, the dual class structure of our common stock may prevent the inclusion of our Class A common stock in such indices, may cause stockholder advisory firms to publish negative commentary about our corporate governance practices or otherwise seek to cause us to change our capital structure, and may result in large institutional investors not purchasing shares of our Class A common stock. Any exclusion from stock indices could result in a less active trading market for our Class A common stock. Any actions or publications by stockholder advisory firms or institutional investors critical of our corporate governance practices or capital structure could also adversely affect the value of our Class A common stock.</w:t>
      </w:r>
    </w:p>
    <w:p>
      <w:pPr>
        <w:spacing w:after="0" w:line="116" w:lineRule="exact"/>
        <w:rPr>
          <w:sz w:val="20"/>
          <w:szCs w:val="20"/>
          <w:color w:val="auto"/>
        </w:rPr>
      </w:pPr>
    </w:p>
    <w:p>
      <w:pPr>
        <w:jc w:val="both"/>
        <w:ind w:left="2060" w:right="839"/>
        <w:spacing w:after="0" w:line="268" w:lineRule="auto"/>
        <w:rPr>
          <w:sz w:val="20"/>
          <w:szCs w:val="20"/>
          <w:color w:val="auto"/>
        </w:rPr>
      </w:pPr>
      <w:r>
        <w:rPr>
          <w:rFonts w:ascii="Arial" w:cs="Arial" w:eastAsia="Arial" w:hAnsi="Arial"/>
          <w:sz w:val="11"/>
          <w:szCs w:val="11"/>
          <w:b w:val="1"/>
          <w:bCs w:val="1"/>
          <w:i w:val="1"/>
          <w:iCs w:val="1"/>
          <w:color w:val="auto"/>
        </w:rPr>
        <w:t>We are an “emerging growth company” and intend to take advantage of the reduced disclosure requirements applicable to emerging growth companies which may make our Class A common stock less attractive to investors.</w:t>
      </w:r>
    </w:p>
    <w:p>
      <w:pPr>
        <w:spacing w:after="0" w:line="126" w:lineRule="exact"/>
        <w:rPr>
          <w:sz w:val="20"/>
          <w:szCs w:val="20"/>
          <w:color w:val="auto"/>
        </w:rPr>
      </w:pPr>
    </w:p>
    <w:p>
      <w:pPr>
        <w:jc w:val="both"/>
        <w:ind w:left="2060" w:right="839"/>
        <w:spacing w:after="0"/>
        <w:rPr>
          <w:sz w:val="20"/>
          <w:szCs w:val="20"/>
          <w:color w:val="auto"/>
        </w:rPr>
      </w:pPr>
      <w:r>
        <w:rPr>
          <w:rFonts w:ascii="Arial" w:cs="Arial" w:eastAsia="Arial" w:hAnsi="Arial"/>
          <w:sz w:val="11"/>
          <w:szCs w:val="11"/>
          <w:color w:val="050505"/>
        </w:rPr>
        <w:t>We are an “emerging growth company” as defined in the JOBS Act. We will remain an emerging growth company until the earliest of (1) the last day of the fiscal year in which we have total annual gross revenue of $1.07 billion or more; (2) the last day of the fiscal year following the fifth anniversary of the date of the completion of this offering; (3) the date on which we have issued more than $1.0 billion in nonconvertible debt during the previous three years; and (4) the date on which we are deemed to be a “large accelerated filer” under the rules of the SEC. For so long as we remain an emerging growth company, we are permitted to, and intend to, rely on exemptions from certain disclosure requirements that are applicable to other public companies that are not “emerging growth companies,” including:</w:t>
      </w:r>
    </w:p>
    <w:p>
      <w:pPr>
        <w:spacing w:after="0" w:line="160" w:lineRule="exact"/>
        <w:rPr>
          <w:sz w:val="20"/>
          <w:szCs w:val="20"/>
          <w:color w:val="auto"/>
        </w:rPr>
      </w:pPr>
    </w:p>
    <w:p>
      <w:pPr>
        <w:ind w:left="5680" w:right="2459" w:hanging="3477"/>
        <w:spacing w:after="0" w:line="433" w:lineRule="auto"/>
        <w:tabs>
          <w:tab w:leader="none" w:pos="2425" w:val="left"/>
        </w:tabs>
        <w:numPr>
          <w:ilvl w:val="0"/>
          <w:numId w:val="22"/>
        </w:numPr>
        <w:rPr>
          <w:rFonts w:ascii="Arial" w:cs="Arial" w:eastAsia="Arial" w:hAnsi="Arial"/>
          <w:sz w:val="11"/>
          <w:szCs w:val="11"/>
          <w:color w:val="F7323F"/>
        </w:rPr>
      </w:pPr>
      <w:r>
        <w:rPr>
          <w:rFonts w:ascii="Arial" w:cs="Arial" w:eastAsia="Arial" w:hAnsi="Arial"/>
          <w:sz w:val="11"/>
          <w:szCs w:val="11"/>
          <w:color w:val="050505"/>
        </w:rPr>
        <w:t>not being required to comply with the auditor attestation requirements of Section 404 of the Sarbanes-Oxley Act; 42</w:t>
      </w:r>
    </w:p>
    <w:p>
      <w:pPr>
        <w:sectPr>
          <w:pgSz w:w="11900" w:h="16838" w:orient="portrait"/>
          <w:cols w:equalWidth="0" w:num="1">
            <w:col w:w="10239"/>
          </w:cols>
          <w:pgMar w:left="220" w:top="354" w:right="1440" w:bottom="1440" w:gutter="0" w:footer="0" w:header="0"/>
        </w:sectPr>
      </w:pPr>
    </w:p>
    <w:bookmarkStart w:id="47" w:name="page48"/>
    <w:bookmarkEnd w:id="47"/>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hyperlink w:anchor="page5">
        <w:r>
          <w:rPr>
            <w:rFonts w:ascii="Arial" w:cs="Arial" w:eastAsia="Arial" w:hAnsi="Arial"/>
            <w:sz w:val="12"/>
            <w:szCs w:val="12"/>
            <w:b w:val="1"/>
            <w:bCs w:val="1"/>
            <w:u w:val="single" w:color="auto"/>
            <w:color w:val="0000EE"/>
          </w:rPr>
          <w:t>Table of Contents</w:t>
        </w:r>
      </w:hyperlink>
    </w:p>
    <w:p>
      <w:pPr>
        <w:spacing w:after="0" w:line="216" w:lineRule="exact"/>
        <w:rPr>
          <w:sz w:val="20"/>
          <w:szCs w:val="20"/>
          <w:color w:val="auto"/>
        </w:rPr>
      </w:pPr>
    </w:p>
    <w:p>
      <w:pPr>
        <w:ind w:left="2420" w:hanging="217"/>
        <w:spacing w:after="0"/>
        <w:tabs>
          <w:tab w:leader="none" w:pos="2420" w:val="left"/>
        </w:tabs>
        <w:numPr>
          <w:ilvl w:val="0"/>
          <w:numId w:val="23"/>
        </w:numPr>
        <w:rPr>
          <w:rFonts w:ascii="Arial" w:cs="Arial" w:eastAsia="Arial" w:hAnsi="Arial"/>
          <w:sz w:val="11"/>
          <w:szCs w:val="11"/>
          <w:color w:val="F7323F"/>
        </w:rPr>
      </w:pPr>
      <w:r>
        <w:rPr>
          <w:rFonts w:ascii="Arial" w:cs="Arial" w:eastAsia="Arial" w:hAnsi="Arial"/>
          <w:sz w:val="11"/>
          <w:szCs w:val="11"/>
          <w:color w:val="050505"/>
        </w:rPr>
        <w:t>reduced disclosure obligations regarding executive compensation; and</w:t>
      </w:r>
    </w:p>
    <w:p>
      <w:pPr>
        <w:spacing w:after="0" w:line="44" w:lineRule="exact"/>
        <w:rPr>
          <w:rFonts w:ascii="Arial" w:cs="Arial" w:eastAsia="Arial" w:hAnsi="Arial"/>
          <w:sz w:val="11"/>
          <w:szCs w:val="11"/>
          <w:color w:val="F7323F"/>
        </w:rPr>
      </w:pPr>
    </w:p>
    <w:p>
      <w:pPr>
        <w:ind w:left="2420" w:right="839" w:hanging="217"/>
        <w:spacing w:after="0" w:line="245" w:lineRule="auto"/>
        <w:tabs>
          <w:tab w:leader="none" w:pos="2420" w:val="left"/>
        </w:tabs>
        <w:numPr>
          <w:ilvl w:val="0"/>
          <w:numId w:val="23"/>
        </w:numPr>
        <w:rPr>
          <w:rFonts w:ascii="Arial" w:cs="Arial" w:eastAsia="Arial" w:hAnsi="Arial"/>
          <w:sz w:val="11"/>
          <w:szCs w:val="11"/>
          <w:color w:val="F7323F"/>
        </w:rPr>
      </w:pPr>
      <w:r>
        <w:rPr>
          <w:rFonts w:ascii="Arial" w:cs="Arial" w:eastAsia="Arial" w:hAnsi="Arial"/>
          <w:sz w:val="11"/>
          <w:szCs w:val="11"/>
          <w:color w:val="050505"/>
        </w:rPr>
        <w:t>exemptions from the requirements of holding a nonbinding advisory vote on executive compensation and shareholder approval of any golden parachute payments not previously approved.</w:t>
      </w:r>
    </w:p>
    <w:p>
      <w:pPr>
        <w:spacing w:after="0" w:line="138" w:lineRule="exact"/>
        <w:rPr>
          <w:sz w:val="20"/>
          <w:szCs w:val="20"/>
          <w:color w:val="auto"/>
        </w:rPr>
      </w:pPr>
    </w:p>
    <w:p>
      <w:pPr>
        <w:jc w:val="both"/>
        <w:ind w:left="2060" w:right="839"/>
        <w:spacing w:after="0"/>
        <w:rPr>
          <w:sz w:val="20"/>
          <w:szCs w:val="20"/>
          <w:color w:val="auto"/>
        </w:rPr>
      </w:pPr>
      <w:r>
        <w:rPr>
          <w:rFonts w:ascii="Arial" w:cs="Arial" w:eastAsia="Arial" w:hAnsi="Arial"/>
          <w:sz w:val="11"/>
          <w:szCs w:val="11"/>
          <w:color w:val="050505"/>
        </w:rPr>
        <w:t>We currently intend to take advantage of the available exemptions described above. We have taken advantage of reduced reporting burdens in this prospectus. In particular, we have not included all of the executive compensation information that would be required if we were not an emerging growth company. We cannot predict if investors will find our Class A common stock less attractive if we rely on these exemptions. Furthermore, under the JOBS Act, emerging growth companies can also delay adopting new or revised accounting standards until such time as those standards apply to private companies. We have irrevocably elected not to avail ourselves of this accommodation allowing for delayed adoption of new or revised accounting standards and, therefore, we will be subject to the same new or revised accounting standards as other public companies that are not emerging growth companies. If some investors find our Class A common stock less attractive as a result of these decisions, there may be a less active trading market for our Class A common stock and the price of our Class A common stock may be more volatile.</w:t>
      </w:r>
    </w:p>
    <w:p>
      <w:pPr>
        <w:spacing w:after="0" w:line="129" w:lineRule="exact"/>
        <w:rPr>
          <w:sz w:val="20"/>
          <w:szCs w:val="20"/>
          <w:color w:val="auto"/>
        </w:rPr>
      </w:pPr>
    </w:p>
    <w:p>
      <w:pPr>
        <w:jc w:val="both"/>
        <w:ind w:left="2060" w:right="839"/>
        <w:spacing w:after="0" w:line="268" w:lineRule="auto"/>
        <w:rPr>
          <w:sz w:val="20"/>
          <w:szCs w:val="20"/>
          <w:color w:val="auto"/>
        </w:rPr>
      </w:pPr>
      <w:r>
        <w:rPr>
          <w:rFonts w:ascii="Arial" w:cs="Arial" w:eastAsia="Arial" w:hAnsi="Arial"/>
          <w:sz w:val="11"/>
          <w:szCs w:val="11"/>
          <w:b w:val="1"/>
          <w:bCs w:val="1"/>
          <w:i w:val="1"/>
          <w:iCs w:val="1"/>
          <w:color w:val="auto"/>
        </w:rPr>
        <w:t>If securities or industry analysts do not publish research, or publish inaccurate or unfavorable research, about our business, the price of our Class A common stock and trading volume could decline.</w:t>
      </w:r>
    </w:p>
    <w:p>
      <w:pPr>
        <w:spacing w:after="0" w:line="126" w:lineRule="exact"/>
        <w:rPr>
          <w:sz w:val="20"/>
          <w:szCs w:val="20"/>
          <w:color w:val="auto"/>
        </w:rPr>
      </w:pPr>
    </w:p>
    <w:p>
      <w:pPr>
        <w:jc w:val="both"/>
        <w:ind w:left="2060" w:right="839"/>
        <w:spacing w:after="0"/>
        <w:rPr>
          <w:sz w:val="20"/>
          <w:szCs w:val="20"/>
          <w:color w:val="auto"/>
        </w:rPr>
      </w:pPr>
      <w:r>
        <w:rPr>
          <w:rFonts w:ascii="Arial" w:cs="Arial" w:eastAsia="Arial" w:hAnsi="Arial"/>
          <w:sz w:val="11"/>
          <w:szCs w:val="11"/>
          <w:color w:val="050505"/>
        </w:rPr>
        <w:t>The trading market for our Class A common stock will depend in part on the research and reports that securities or industry analysts publish about us or our business, our market, and our competitors. We do not have any control over these analysts. If few securities analysts commence coverage of us, or if industry analysts cease coverage of us, the trading price for our Class A common stock would be negatively affected. If one or more of the analysts who cover us downgrade our Class A common stock or publish inaccurate or unfavorable research about our business, our Class A common stock price would likely decline. If one or more of these analysts cease coverage of us or fail to publish reports on us regularly, demand for our Class A common stock could decrease, which might cause our Class A common stock price and trading volume to decline.</w:t>
      </w:r>
    </w:p>
    <w:p>
      <w:pPr>
        <w:spacing w:after="0" w:line="130" w:lineRule="exact"/>
        <w:rPr>
          <w:sz w:val="20"/>
          <w:szCs w:val="20"/>
          <w:color w:val="auto"/>
        </w:rPr>
      </w:pPr>
    </w:p>
    <w:p>
      <w:pPr>
        <w:ind w:left="2060"/>
        <w:spacing w:after="0"/>
        <w:rPr>
          <w:sz w:val="20"/>
          <w:szCs w:val="20"/>
          <w:color w:val="auto"/>
        </w:rPr>
      </w:pPr>
      <w:r>
        <w:rPr>
          <w:rFonts w:ascii="Arial" w:cs="Arial" w:eastAsia="Arial" w:hAnsi="Arial"/>
          <w:sz w:val="11"/>
          <w:szCs w:val="11"/>
          <w:b w:val="1"/>
          <w:bCs w:val="1"/>
          <w:i w:val="1"/>
          <w:iCs w:val="1"/>
          <w:color w:val="auto"/>
        </w:rPr>
        <w:t>An active public trading market may not develop or be sustained following this offering.</w:t>
      </w:r>
    </w:p>
    <w:p>
      <w:pPr>
        <w:spacing w:after="0" w:line="156" w:lineRule="exact"/>
        <w:rPr>
          <w:sz w:val="20"/>
          <w:szCs w:val="20"/>
          <w:color w:val="auto"/>
        </w:rPr>
      </w:pPr>
    </w:p>
    <w:p>
      <w:pPr>
        <w:jc w:val="both"/>
        <w:ind w:left="2060" w:right="839"/>
        <w:spacing w:after="0"/>
        <w:rPr>
          <w:sz w:val="20"/>
          <w:szCs w:val="20"/>
          <w:color w:val="auto"/>
        </w:rPr>
      </w:pPr>
      <w:r>
        <w:rPr>
          <w:rFonts w:ascii="Arial" w:cs="Arial" w:eastAsia="Arial" w:hAnsi="Arial"/>
          <w:sz w:val="11"/>
          <w:szCs w:val="11"/>
          <w:color w:val="050505"/>
        </w:rPr>
        <w:t>Prior to this offering, there has been no public market for our Class A common stock. We have been approved to list our Class A common stock on the Nasdaq Global Select Market, however, an active trading market may not develop following the completion of this offering or, if developed, may not be sustained. The lack of an active market may impair your ability to sell your shares at the time you wish to sell them or at a price that you consider reasonable. The lack of an active market may also reduce the market price of your shares of Class A common stock. An inactive market may also impair our ability to raise capital by selling shares or to acquire other companies or technologies by using our shares as consideration. We cannot predict the prices at which our Class A common stock will trade. The initial public offering price of our Class A common stock was determined by negotiations between us and the underwriters and may not bear any relationship to the market price at which our Class A common stock will trade after this offering or to any other established criteria of the value of our business and prospects.</w:t>
      </w:r>
    </w:p>
    <w:p>
      <w:pPr>
        <w:spacing w:after="0" w:line="129" w:lineRule="exact"/>
        <w:rPr>
          <w:sz w:val="20"/>
          <w:szCs w:val="20"/>
          <w:color w:val="auto"/>
        </w:rPr>
      </w:pPr>
    </w:p>
    <w:p>
      <w:pPr>
        <w:jc w:val="both"/>
        <w:ind w:left="2060" w:right="839"/>
        <w:spacing w:after="0" w:line="253" w:lineRule="auto"/>
        <w:rPr>
          <w:sz w:val="20"/>
          <w:szCs w:val="20"/>
          <w:color w:val="auto"/>
        </w:rPr>
      </w:pPr>
      <w:r>
        <w:rPr>
          <w:rFonts w:ascii="Arial" w:cs="Arial" w:eastAsia="Arial" w:hAnsi="Arial"/>
          <w:sz w:val="11"/>
          <w:szCs w:val="11"/>
          <w:b w:val="1"/>
          <w:bCs w:val="1"/>
          <w:i w:val="1"/>
          <w:iCs w:val="1"/>
          <w:color w:val="auto"/>
        </w:rPr>
        <w:t>Because the initial public offering price of our Class A common stock is substantially higher than the pro forma net tangible book value per share of our outstanding common stock following this offering and the private placement, new investors will experience immediate and substantial dilution.</w:t>
      </w:r>
    </w:p>
    <w:p>
      <w:pPr>
        <w:spacing w:after="0" w:line="134" w:lineRule="exact"/>
        <w:rPr>
          <w:sz w:val="20"/>
          <w:szCs w:val="20"/>
          <w:color w:val="auto"/>
        </w:rPr>
      </w:pPr>
    </w:p>
    <w:p>
      <w:pPr>
        <w:jc w:val="both"/>
        <w:ind w:left="2060" w:right="839"/>
        <w:spacing w:after="0"/>
        <w:rPr>
          <w:sz w:val="20"/>
          <w:szCs w:val="20"/>
          <w:color w:val="auto"/>
        </w:rPr>
      </w:pPr>
      <w:r>
        <w:rPr>
          <w:rFonts w:ascii="Arial" w:cs="Arial" w:eastAsia="Arial" w:hAnsi="Arial"/>
          <w:sz w:val="11"/>
          <w:szCs w:val="11"/>
          <w:color w:val="050505"/>
        </w:rPr>
        <w:t>The initial public offering price is substantially higher than the pro forma net tangible book value per share of our common stock immediately following this offering and the private placement based on the total value of our tangible assets less our total liabilities. Therefore, if you purchase shares of our Class A common stock in this offering, based on the initial public offering price of $29.00 per share and the issuance by us of 43,448,275 shares of Class A common stock in this offering and the private placement, you will experience immediate dilution of $23.36 per share, the difference between the price per share you pay for our Class A common stock and its pro forma net tangible book value per share as of June 30, 2019. Furthermore, if the underwriters exercise their option to purchase additional shares, if outstanding stock options are exercised, if we issue awards to our employees under our equity incentive plans, or if we otherwise issue additional shares of our Class A common stock, you could experience further dilution. See the section titled “Dilution” for additional information.</w:t>
      </w:r>
    </w:p>
    <w:p>
      <w:pPr>
        <w:spacing w:after="0" w:line="96" w:lineRule="exact"/>
        <w:rPr>
          <w:sz w:val="20"/>
          <w:szCs w:val="20"/>
          <w:color w:val="auto"/>
        </w:rPr>
      </w:pPr>
    </w:p>
    <w:p>
      <w:pPr>
        <w:ind w:left="5680"/>
        <w:spacing w:after="0"/>
        <w:rPr>
          <w:sz w:val="20"/>
          <w:szCs w:val="20"/>
          <w:color w:val="auto"/>
        </w:rPr>
      </w:pPr>
      <w:r>
        <w:rPr>
          <w:rFonts w:ascii="Arial" w:cs="Arial" w:eastAsia="Arial" w:hAnsi="Arial"/>
          <w:sz w:val="11"/>
          <w:szCs w:val="11"/>
          <w:color w:val="050505"/>
        </w:rPr>
        <w:t>43</w:t>
      </w:r>
    </w:p>
    <w:p>
      <w:pPr>
        <w:sectPr>
          <w:pgSz w:w="11900" w:h="16838" w:orient="portrait"/>
          <w:cols w:equalWidth="0" w:num="1">
            <w:col w:w="10239"/>
          </w:cols>
          <w:pgMar w:left="220" w:top="354" w:right="1440" w:bottom="1440" w:gutter="0" w:footer="0" w:header="0"/>
        </w:sectPr>
      </w:pPr>
    </w:p>
    <w:bookmarkStart w:id="48" w:name="page49"/>
    <w:bookmarkEnd w:id="48"/>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hyperlink w:anchor="page5">
        <w:r>
          <w:rPr>
            <w:rFonts w:ascii="Arial" w:cs="Arial" w:eastAsia="Arial" w:hAnsi="Arial"/>
            <w:sz w:val="12"/>
            <w:szCs w:val="12"/>
            <w:b w:val="1"/>
            <w:bCs w:val="1"/>
            <w:u w:val="single" w:color="auto"/>
            <w:color w:val="0000EE"/>
          </w:rPr>
          <w:t>Table of Contents</w:t>
        </w:r>
      </w:hyperlink>
    </w:p>
    <w:p>
      <w:pPr>
        <w:spacing w:after="0" w:line="204" w:lineRule="exact"/>
        <w:rPr>
          <w:sz w:val="20"/>
          <w:szCs w:val="20"/>
          <w:color w:val="auto"/>
        </w:rPr>
      </w:pPr>
    </w:p>
    <w:p>
      <w:pPr>
        <w:ind w:left="2060"/>
        <w:spacing w:after="0"/>
        <w:rPr>
          <w:sz w:val="20"/>
          <w:szCs w:val="20"/>
          <w:color w:val="auto"/>
        </w:rPr>
      </w:pPr>
      <w:r>
        <w:rPr>
          <w:rFonts w:ascii="Arial" w:cs="Arial" w:eastAsia="Arial" w:hAnsi="Arial"/>
          <w:sz w:val="11"/>
          <w:szCs w:val="11"/>
          <w:b w:val="1"/>
          <w:bCs w:val="1"/>
          <w:i w:val="1"/>
          <w:iCs w:val="1"/>
          <w:color w:val="auto"/>
        </w:rPr>
        <w:t>We will have broad discretion in the use of the net proceeds we receive in this offering and may not use them effectively.</w:t>
      </w:r>
    </w:p>
    <w:p>
      <w:pPr>
        <w:spacing w:after="0" w:line="156" w:lineRule="exact"/>
        <w:rPr>
          <w:sz w:val="20"/>
          <w:szCs w:val="20"/>
          <w:color w:val="auto"/>
        </w:rPr>
      </w:pPr>
    </w:p>
    <w:p>
      <w:pPr>
        <w:jc w:val="both"/>
        <w:ind w:left="2060" w:right="839"/>
        <w:spacing w:after="0"/>
        <w:rPr>
          <w:sz w:val="20"/>
          <w:szCs w:val="20"/>
          <w:color w:val="auto"/>
        </w:rPr>
      </w:pPr>
      <w:r>
        <w:rPr>
          <w:rFonts w:ascii="Arial" w:cs="Arial" w:eastAsia="Arial" w:hAnsi="Arial"/>
          <w:sz w:val="11"/>
          <w:szCs w:val="11"/>
          <w:color w:val="050505"/>
        </w:rPr>
        <w:t>We will have broad discretion in the application of the net proceeds we receive in this offering and the private placement, including for any of the purposes described in the section titled “Use of Proceeds,” and you will not have the opportunity as part of your investment decision to assess whether the net proceeds are being used appropriately. Because of the number and variability of factors that will determine our use of the net proceeds from this offering and the private placement, their ultimate use may vary substantially from their currently intended use. If we do not use the net proceeds that we receive in this offering and the private placement effectively, our business, financial condition, operating results, and prospects could be harmed, and the market price for our Class A common stock could decline. Pending their use, we may invest the net proceeds from this offering and the private placement in short-term, investment-grade interest-bearing securities such as money market accounts, certificates of deposit, commercial paper, and guaranteed obligations of the U.S. government that may not generate a high yield to our stockholders. These investments may not yield a favorable return to our investors.</w:t>
      </w:r>
    </w:p>
    <w:p>
      <w:pPr>
        <w:spacing w:after="0" w:line="129" w:lineRule="exact"/>
        <w:rPr>
          <w:sz w:val="20"/>
          <w:szCs w:val="20"/>
          <w:color w:val="auto"/>
        </w:rPr>
      </w:pPr>
    </w:p>
    <w:p>
      <w:pPr>
        <w:ind w:left="2060"/>
        <w:spacing w:after="0"/>
        <w:rPr>
          <w:sz w:val="20"/>
          <w:szCs w:val="20"/>
          <w:color w:val="auto"/>
        </w:rPr>
      </w:pPr>
      <w:r>
        <w:rPr>
          <w:rFonts w:ascii="Arial" w:cs="Arial" w:eastAsia="Arial" w:hAnsi="Arial"/>
          <w:sz w:val="11"/>
          <w:szCs w:val="11"/>
          <w:b w:val="1"/>
          <w:bCs w:val="1"/>
          <w:i w:val="1"/>
          <w:iCs w:val="1"/>
          <w:color w:val="auto"/>
        </w:rPr>
        <w:t>Participation in this offering by entities affiliated with TCV, an existing stockholder, could reduce the public float for our shares.</w:t>
      </w:r>
    </w:p>
    <w:p>
      <w:pPr>
        <w:spacing w:after="0" w:line="156" w:lineRule="exact"/>
        <w:rPr>
          <w:sz w:val="20"/>
          <w:szCs w:val="20"/>
          <w:color w:val="auto"/>
        </w:rPr>
      </w:pPr>
    </w:p>
    <w:p>
      <w:pPr>
        <w:jc w:val="both"/>
        <w:ind w:left="2060" w:right="839"/>
        <w:spacing w:after="0" w:line="241" w:lineRule="auto"/>
        <w:rPr>
          <w:sz w:val="20"/>
          <w:szCs w:val="20"/>
          <w:color w:val="auto"/>
        </w:rPr>
      </w:pPr>
      <w:r>
        <w:rPr>
          <w:rFonts w:ascii="Arial" w:cs="Arial" w:eastAsia="Arial" w:hAnsi="Arial"/>
          <w:sz w:val="11"/>
          <w:szCs w:val="11"/>
          <w:color w:val="050505"/>
        </w:rPr>
        <w:t>Certain entities affiliated with TCV, an existing stockholder, have agreed to purchase a number of shares of Class A common stock with an aggregate purchase price of approximately $100.0 million at a price per share equal to the initial public offering price. Based upon the initial public offering price of $29.00 per share this will be 3,448,275 shares of Class A common stock. This purchase could reduce the available public float for our shares if such entities hold these shares long term.</w:t>
      </w:r>
    </w:p>
    <w:p>
      <w:pPr>
        <w:spacing w:after="0" w:line="128" w:lineRule="exact"/>
        <w:rPr>
          <w:sz w:val="20"/>
          <w:szCs w:val="20"/>
          <w:color w:val="auto"/>
        </w:rPr>
      </w:pPr>
    </w:p>
    <w:p>
      <w:pPr>
        <w:ind w:left="2060"/>
        <w:spacing w:after="0"/>
        <w:rPr>
          <w:sz w:val="20"/>
          <w:szCs w:val="20"/>
          <w:color w:val="auto"/>
        </w:rPr>
      </w:pPr>
      <w:r>
        <w:rPr>
          <w:rFonts w:ascii="Arial" w:cs="Arial" w:eastAsia="Arial" w:hAnsi="Arial"/>
          <w:sz w:val="11"/>
          <w:szCs w:val="11"/>
          <w:b w:val="1"/>
          <w:bCs w:val="1"/>
          <w:i w:val="1"/>
          <w:iCs w:val="1"/>
          <w:color w:val="auto"/>
        </w:rPr>
        <w:t>We do not intend to pay dividends for the foreseeable future.</w:t>
      </w:r>
    </w:p>
    <w:p>
      <w:pPr>
        <w:spacing w:after="0" w:line="156" w:lineRule="exact"/>
        <w:rPr>
          <w:sz w:val="20"/>
          <w:szCs w:val="20"/>
          <w:color w:val="auto"/>
        </w:rPr>
      </w:pPr>
    </w:p>
    <w:p>
      <w:pPr>
        <w:jc w:val="both"/>
        <w:ind w:left="2060" w:right="839"/>
        <w:spacing w:after="0"/>
        <w:rPr>
          <w:sz w:val="20"/>
          <w:szCs w:val="20"/>
          <w:color w:val="auto"/>
        </w:rPr>
      </w:pPr>
      <w:r>
        <w:rPr>
          <w:rFonts w:ascii="Arial" w:cs="Arial" w:eastAsia="Arial" w:hAnsi="Arial"/>
          <w:sz w:val="11"/>
          <w:szCs w:val="11"/>
          <w:color w:val="050505"/>
        </w:rPr>
        <w:t>We have never declared or paid any cash dividends on our common stock and do not intend to pay any cash dividends in the foreseeable future. Additionally, our ability to pay dividends on our common stock is limited by the restrictions under the terms of our loan and security agreement. We anticipate that for the foreseeable future we will retain all of our future earnings for use in the development of our business and for general corporate purposes. Any determination to pay dividends in the future will be at the discretion of our board of directors. Accordingly, investors must rely on sales of their Class A common stock after price appreciation, which may never occur, as the only way to realize any future gains on their investments.</w:t>
      </w:r>
    </w:p>
    <w:p>
      <w:pPr>
        <w:spacing w:after="0" w:line="130" w:lineRule="exact"/>
        <w:rPr>
          <w:sz w:val="20"/>
          <w:szCs w:val="20"/>
          <w:color w:val="auto"/>
        </w:rPr>
      </w:pPr>
    </w:p>
    <w:p>
      <w:pPr>
        <w:jc w:val="both"/>
        <w:ind w:left="2060" w:right="839"/>
        <w:spacing w:after="0" w:line="291" w:lineRule="auto"/>
        <w:rPr>
          <w:sz w:val="20"/>
          <w:szCs w:val="20"/>
          <w:color w:val="auto"/>
        </w:rPr>
      </w:pPr>
      <w:r>
        <w:rPr>
          <w:rFonts w:ascii="Arial" w:cs="Arial" w:eastAsia="Arial" w:hAnsi="Arial"/>
          <w:sz w:val="10"/>
          <w:szCs w:val="10"/>
          <w:b w:val="1"/>
          <w:bCs w:val="1"/>
          <w:i w:val="1"/>
          <w:iCs w:val="1"/>
          <w:color w:val="auto"/>
        </w:rPr>
        <w:t>Provisions in our charter documents and under Delaware law could make an acquisition of us, which may be beneficial to our stockholders, more difficult, limit attempts by our stockholders to replace or remove our current management, limit our stockholders’ ability to obtain a favorable judicial forum for disputes with us or our directors, officers, or employees, and limit the market price of our Class A common stock.</w:t>
      </w:r>
    </w:p>
    <w:p>
      <w:pPr>
        <w:spacing w:after="0" w:line="116" w:lineRule="exact"/>
        <w:rPr>
          <w:sz w:val="20"/>
          <w:szCs w:val="20"/>
          <w:color w:val="auto"/>
        </w:rPr>
      </w:pPr>
    </w:p>
    <w:p>
      <w:pPr>
        <w:jc w:val="both"/>
        <w:ind w:left="2060" w:right="839"/>
        <w:spacing w:after="0"/>
        <w:rPr>
          <w:sz w:val="20"/>
          <w:szCs w:val="20"/>
          <w:color w:val="auto"/>
        </w:rPr>
      </w:pPr>
      <w:r>
        <w:rPr>
          <w:rFonts w:ascii="Arial" w:cs="Arial" w:eastAsia="Arial" w:hAnsi="Arial"/>
          <w:sz w:val="11"/>
          <w:szCs w:val="11"/>
          <w:color w:val="050505"/>
        </w:rPr>
        <w:t>Provisions in our restated certificate of incorporation and restated bylaws that will be in effect upon the completion of this offering may have the effect of delaying or preventing a merger, acquisition or other change of control of our company that the stockholders may consider favorable. In addition, because our board of directors is responsible for appointing the members of our management team, these provisions may frustrate or prevent any attempts by our stockholders to replace or remove our current management by making it more difficult for stockholders to replace members of our board of directors. Among other things, our restated certificate of incorporation and restated bylaws include provisions that:</w:t>
      </w:r>
    </w:p>
    <w:p>
      <w:pPr>
        <w:spacing w:after="0" w:line="160" w:lineRule="exact"/>
        <w:rPr>
          <w:sz w:val="20"/>
          <w:szCs w:val="20"/>
          <w:color w:val="auto"/>
        </w:rPr>
      </w:pPr>
    </w:p>
    <w:p>
      <w:pPr>
        <w:ind w:left="2420" w:hanging="217"/>
        <w:spacing w:after="0"/>
        <w:tabs>
          <w:tab w:leader="none" w:pos="2420" w:val="left"/>
        </w:tabs>
        <w:numPr>
          <w:ilvl w:val="0"/>
          <w:numId w:val="24"/>
        </w:numPr>
        <w:rPr>
          <w:rFonts w:ascii="Arial" w:cs="Arial" w:eastAsia="Arial" w:hAnsi="Arial"/>
          <w:sz w:val="11"/>
          <w:szCs w:val="11"/>
          <w:color w:val="F7323F"/>
        </w:rPr>
      </w:pPr>
      <w:r>
        <w:rPr>
          <w:rFonts w:ascii="Arial" w:cs="Arial" w:eastAsia="Arial" w:hAnsi="Arial"/>
          <w:sz w:val="11"/>
          <w:szCs w:val="11"/>
          <w:color w:val="050505"/>
        </w:rPr>
        <w:t>provide that our board of directors will be classified into three classes of directors with staggered three-year terms;</w:t>
      </w:r>
    </w:p>
    <w:p>
      <w:pPr>
        <w:spacing w:after="0" w:line="44" w:lineRule="exact"/>
        <w:rPr>
          <w:rFonts w:ascii="Arial" w:cs="Arial" w:eastAsia="Arial" w:hAnsi="Arial"/>
          <w:sz w:val="11"/>
          <w:szCs w:val="11"/>
          <w:color w:val="F7323F"/>
        </w:rPr>
      </w:pPr>
    </w:p>
    <w:p>
      <w:pPr>
        <w:ind w:left="2420" w:hanging="217"/>
        <w:spacing w:after="0"/>
        <w:tabs>
          <w:tab w:leader="none" w:pos="2420" w:val="left"/>
        </w:tabs>
        <w:numPr>
          <w:ilvl w:val="0"/>
          <w:numId w:val="24"/>
        </w:numPr>
        <w:rPr>
          <w:rFonts w:ascii="Arial" w:cs="Arial" w:eastAsia="Arial" w:hAnsi="Arial"/>
          <w:sz w:val="11"/>
          <w:szCs w:val="11"/>
          <w:color w:val="F7323F"/>
        </w:rPr>
      </w:pPr>
      <w:r>
        <w:rPr>
          <w:rFonts w:ascii="Arial" w:cs="Arial" w:eastAsia="Arial" w:hAnsi="Arial"/>
          <w:sz w:val="11"/>
          <w:szCs w:val="11"/>
          <w:color w:val="050505"/>
        </w:rPr>
        <w:t>permit the board of directors to establish the number of directors and fill any vacancies and newly-created directorships;</w:t>
      </w:r>
    </w:p>
    <w:p>
      <w:pPr>
        <w:spacing w:after="0" w:line="44" w:lineRule="exact"/>
        <w:rPr>
          <w:rFonts w:ascii="Arial" w:cs="Arial" w:eastAsia="Arial" w:hAnsi="Arial"/>
          <w:sz w:val="11"/>
          <w:szCs w:val="11"/>
          <w:color w:val="F7323F"/>
        </w:rPr>
      </w:pPr>
    </w:p>
    <w:p>
      <w:pPr>
        <w:ind w:left="2420" w:hanging="217"/>
        <w:spacing w:after="0"/>
        <w:tabs>
          <w:tab w:leader="none" w:pos="2420" w:val="left"/>
        </w:tabs>
        <w:numPr>
          <w:ilvl w:val="0"/>
          <w:numId w:val="24"/>
        </w:numPr>
        <w:rPr>
          <w:rFonts w:ascii="Arial" w:cs="Arial" w:eastAsia="Arial" w:hAnsi="Arial"/>
          <w:sz w:val="11"/>
          <w:szCs w:val="11"/>
          <w:color w:val="F7323F"/>
        </w:rPr>
      </w:pPr>
      <w:r>
        <w:rPr>
          <w:rFonts w:ascii="Arial" w:cs="Arial" w:eastAsia="Arial" w:hAnsi="Arial"/>
          <w:sz w:val="11"/>
          <w:szCs w:val="11"/>
          <w:color w:val="050505"/>
        </w:rPr>
        <w:t>require super-majority voting to amend some provisions in our restated certificate of incorporation and restated bylaws;</w:t>
      </w:r>
    </w:p>
    <w:p>
      <w:pPr>
        <w:spacing w:after="0" w:line="44" w:lineRule="exact"/>
        <w:rPr>
          <w:rFonts w:ascii="Arial" w:cs="Arial" w:eastAsia="Arial" w:hAnsi="Arial"/>
          <w:sz w:val="11"/>
          <w:szCs w:val="11"/>
          <w:color w:val="F7323F"/>
        </w:rPr>
      </w:pPr>
    </w:p>
    <w:p>
      <w:pPr>
        <w:ind w:left="2420" w:hanging="217"/>
        <w:spacing w:after="0"/>
        <w:tabs>
          <w:tab w:leader="none" w:pos="2420" w:val="left"/>
        </w:tabs>
        <w:numPr>
          <w:ilvl w:val="0"/>
          <w:numId w:val="24"/>
        </w:numPr>
        <w:rPr>
          <w:rFonts w:ascii="Arial" w:cs="Arial" w:eastAsia="Arial" w:hAnsi="Arial"/>
          <w:sz w:val="11"/>
          <w:szCs w:val="11"/>
          <w:color w:val="F7323F"/>
        </w:rPr>
      </w:pPr>
      <w:r>
        <w:rPr>
          <w:rFonts w:ascii="Arial" w:cs="Arial" w:eastAsia="Arial" w:hAnsi="Arial"/>
          <w:sz w:val="11"/>
          <w:szCs w:val="11"/>
          <w:color w:val="050505"/>
        </w:rPr>
        <w:t>authorize the issuance of “blank check” preferred stock that our board of directors could use to implement a stockholder rights plan;</w:t>
      </w:r>
    </w:p>
    <w:p>
      <w:pPr>
        <w:spacing w:after="0" w:line="44" w:lineRule="exact"/>
        <w:rPr>
          <w:rFonts w:ascii="Arial" w:cs="Arial" w:eastAsia="Arial" w:hAnsi="Arial"/>
          <w:sz w:val="11"/>
          <w:szCs w:val="11"/>
          <w:color w:val="F7323F"/>
        </w:rPr>
      </w:pPr>
    </w:p>
    <w:p>
      <w:pPr>
        <w:ind w:left="2420" w:right="839" w:hanging="217"/>
        <w:spacing w:after="0" w:line="245" w:lineRule="auto"/>
        <w:tabs>
          <w:tab w:leader="none" w:pos="2420" w:val="left"/>
        </w:tabs>
        <w:numPr>
          <w:ilvl w:val="0"/>
          <w:numId w:val="24"/>
        </w:numPr>
        <w:rPr>
          <w:rFonts w:ascii="Arial" w:cs="Arial" w:eastAsia="Arial" w:hAnsi="Arial"/>
          <w:sz w:val="11"/>
          <w:szCs w:val="11"/>
          <w:color w:val="F7323F"/>
        </w:rPr>
      </w:pPr>
      <w:r>
        <w:rPr>
          <w:rFonts w:ascii="Arial" w:cs="Arial" w:eastAsia="Arial" w:hAnsi="Arial"/>
          <w:sz w:val="11"/>
          <w:szCs w:val="11"/>
          <w:color w:val="050505"/>
        </w:rPr>
        <w:t>provide that only the chairman of our board of directors, our chief executive officer, or a majority of our board of directors will be authorized to call a special meeting of stockholders;</w:t>
      </w:r>
    </w:p>
    <w:p>
      <w:pPr>
        <w:spacing w:after="0" w:line="75" w:lineRule="exact"/>
        <w:rPr>
          <w:rFonts w:ascii="Arial" w:cs="Arial" w:eastAsia="Arial" w:hAnsi="Arial"/>
          <w:sz w:val="11"/>
          <w:szCs w:val="11"/>
          <w:color w:val="F7323F"/>
        </w:rPr>
      </w:pPr>
    </w:p>
    <w:p>
      <w:pPr>
        <w:ind w:left="2420" w:hanging="217"/>
        <w:spacing w:after="0"/>
        <w:tabs>
          <w:tab w:leader="none" w:pos="2420" w:val="left"/>
        </w:tabs>
        <w:numPr>
          <w:ilvl w:val="0"/>
          <w:numId w:val="24"/>
        </w:numPr>
        <w:rPr>
          <w:rFonts w:ascii="Arial" w:cs="Arial" w:eastAsia="Arial" w:hAnsi="Arial"/>
          <w:sz w:val="11"/>
          <w:szCs w:val="11"/>
          <w:color w:val="F7323F"/>
        </w:rPr>
      </w:pPr>
      <w:r>
        <w:rPr>
          <w:rFonts w:ascii="Arial" w:cs="Arial" w:eastAsia="Arial" w:hAnsi="Arial"/>
          <w:sz w:val="11"/>
          <w:szCs w:val="11"/>
          <w:color w:val="050505"/>
        </w:rPr>
        <w:t>eliminate the ability of our stockholders to call special meetings of stockholders;</w:t>
      </w:r>
    </w:p>
    <w:p>
      <w:pPr>
        <w:spacing w:after="0" w:line="44" w:lineRule="exact"/>
        <w:rPr>
          <w:rFonts w:ascii="Arial" w:cs="Arial" w:eastAsia="Arial" w:hAnsi="Arial"/>
          <w:sz w:val="11"/>
          <w:szCs w:val="11"/>
          <w:color w:val="F7323F"/>
        </w:rPr>
      </w:pPr>
    </w:p>
    <w:p>
      <w:pPr>
        <w:ind w:left="2420" w:hanging="217"/>
        <w:spacing w:after="0"/>
        <w:tabs>
          <w:tab w:leader="none" w:pos="2420" w:val="left"/>
        </w:tabs>
        <w:numPr>
          <w:ilvl w:val="0"/>
          <w:numId w:val="24"/>
        </w:numPr>
        <w:rPr>
          <w:rFonts w:ascii="Arial" w:cs="Arial" w:eastAsia="Arial" w:hAnsi="Arial"/>
          <w:sz w:val="11"/>
          <w:szCs w:val="11"/>
          <w:color w:val="F7323F"/>
        </w:rPr>
      </w:pPr>
      <w:r>
        <w:rPr>
          <w:rFonts w:ascii="Arial" w:cs="Arial" w:eastAsia="Arial" w:hAnsi="Arial"/>
          <w:sz w:val="11"/>
          <w:szCs w:val="11"/>
          <w:color w:val="050505"/>
        </w:rPr>
        <w:t>prohibit cumulative voting;</w:t>
      </w:r>
    </w:p>
    <w:p>
      <w:pPr>
        <w:spacing w:after="0" w:line="99" w:lineRule="exact"/>
        <w:rPr>
          <w:sz w:val="20"/>
          <w:szCs w:val="20"/>
          <w:color w:val="auto"/>
        </w:rPr>
      </w:pPr>
    </w:p>
    <w:p>
      <w:pPr>
        <w:ind w:left="5680"/>
        <w:spacing w:after="0"/>
        <w:rPr>
          <w:sz w:val="20"/>
          <w:szCs w:val="20"/>
          <w:color w:val="auto"/>
        </w:rPr>
      </w:pPr>
      <w:r>
        <w:rPr>
          <w:rFonts w:ascii="Arial" w:cs="Arial" w:eastAsia="Arial" w:hAnsi="Arial"/>
          <w:sz w:val="11"/>
          <w:szCs w:val="11"/>
          <w:color w:val="050505"/>
        </w:rPr>
        <w:t>44</w:t>
      </w:r>
    </w:p>
    <w:p>
      <w:pPr>
        <w:sectPr>
          <w:pgSz w:w="11900" w:h="16838" w:orient="portrait"/>
          <w:cols w:equalWidth="0" w:num="1">
            <w:col w:w="10239"/>
          </w:cols>
          <w:pgMar w:left="220" w:top="354" w:right="1440" w:bottom="1440" w:gutter="0" w:footer="0" w:header="0"/>
        </w:sectPr>
      </w:pPr>
    </w:p>
    <w:bookmarkStart w:id="49" w:name="page50"/>
    <w:bookmarkEnd w:id="49"/>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hyperlink w:anchor="page5">
        <w:r>
          <w:rPr>
            <w:rFonts w:ascii="Arial" w:cs="Arial" w:eastAsia="Arial" w:hAnsi="Arial"/>
            <w:sz w:val="12"/>
            <w:szCs w:val="12"/>
            <w:b w:val="1"/>
            <w:bCs w:val="1"/>
            <w:u w:val="single" w:color="auto"/>
            <w:color w:val="0000EE"/>
          </w:rPr>
          <w:t>Table of Contents</w:t>
        </w:r>
      </w:hyperlink>
    </w:p>
    <w:p>
      <w:pPr>
        <w:spacing w:after="0" w:line="216" w:lineRule="exact"/>
        <w:rPr>
          <w:sz w:val="20"/>
          <w:szCs w:val="20"/>
          <w:color w:val="auto"/>
        </w:rPr>
      </w:pPr>
    </w:p>
    <w:p>
      <w:pPr>
        <w:ind w:left="2420" w:hanging="217"/>
        <w:spacing w:after="0"/>
        <w:tabs>
          <w:tab w:leader="none" w:pos="2420" w:val="left"/>
        </w:tabs>
        <w:numPr>
          <w:ilvl w:val="0"/>
          <w:numId w:val="25"/>
        </w:numPr>
        <w:rPr>
          <w:rFonts w:ascii="Arial" w:cs="Arial" w:eastAsia="Arial" w:hAnsi="Arial"/>
          <w:sz w:val="11"/>
          <w:szCs w:val="11"/>
          <w:color w:val="F7323F"/>
        </w:rPr>
      </w:pPr>
      <w:r>
        <w:rPr>
          <w:rFonts w:ascii="Arial" w:cs="Arial" w:eastAsia="Arial" w:hAnsi="Arial"/>
          <w:sz w:val="11"/>
          <w:szCs w:val="11"/>
          <w:color w:val="050505"/>
        </w:rPr>
        <w:t>provide that directors may only be removed “for cause” and only with the approval of two-thirds of our stockholders;</w:t>
      </w:r>
    </w:p>
    <w:p>
      <w:pPr>
        <w:spacing w:after="0" w:line="44" w:lineRule="exact"/>
        <w:rPr>
          <w:rFonts w:ascii="Arial" w:cs="Arial" w:eastAsia="Arial" w:hAnsi="Arial"/>
          <w:sz w:val="11"/>
          <w:szCs w:val="11"/>
          <w:color w:val="F7323F"/>
        </w:rPr>
      </w:pPr>
    </w:p>
    <w:p>
      <w:pPr>
        <w:jc w:val="both"/>
        <w:ind w:left="2420" w:right="839" w:hanging="217"/>
        <w:spacing w:after="0" w:line="242" w:lineRule="auto"/>
        <w:tabs>
          <w:tab w:leader="none" w:pos="2420" w:val="left"/>
        </w:tabs>
        <w:numPr>
          <w:ilvl w:val="0"/>
          <w:numId w:val="25"/>
        </w:numPr>
        <w:rPr>
          <w:rFonts w:ascii="Arial" w:cs="Arial" w:eastAsia="Arial" w:hAnsi="Arial"/>
          <w:sz w:val="11"/>
          <w:szCs w:val="11"/>
          <w:color w:val="F7323F"/>
        </w:rPr>
      </w:pPr>
      <w:r>
        <w:rPr>
          <w:rFonts w:ascii="Arial" w:cs="Arial" w:eastAsia="Arial" w:hAnsi="Arial"/>
          <w:sz w:val="11"/>
          <w:szCs w:val="11"/>
          <w:color w:val="050505"/>
        </w:rPr>
        <w:t>provide for a dual class common stock structure in which holders of our Class B common stock may have the ability to control the outcome of matters requiring stockholder approval, even if they own significantly less than a majority of the outstanding shares of our common stock, including the election of directors and significant corporate transactions, such as a merger or other sale of our company or its assets;</w:t>
      </w:r>
    </w:p>
    <w:p>
      <w:pPr>
        <w:spacing w:after="0" w:line="40" w:lineRule="exact"/>
        <w:rPr>
          <w:rFonts w:ascii="Arial" w:cs="Arial" w:eastAsia="Arial" w:hAnsi="Arial"/>
          <w:sz w:val="11"/>
          <w:szCs w:val="11"/>
          <w:color w:val="F7323F"/>
        </w:rPr>
      </w:pPr>
    </w:p>
    <w:p>
      <w:pPr>
        <w:ind w:left="2420" w:hanging="217"/>
        <w:spacing w:after="0"/>
        <w:tabs>
          <w:tab w:leader="none" w:pos="2420" w:val="left"/>
        </w:tabs>
        <w:numPr>
          <w:ilvl w:val="0"/>
          <w:numId w:val="25"/>
        </w:numPr>
        <w:rPr>
          <w:rFonts w:ascii="Arial" w:cs="Arial" w:eastAsia="Arial" w:hAnsi="Arial"/>
          <w:sz w:val="11"/>
          <w:szCs w:val="11"/>
          <w:color w:val="F7323F"/>
        </w:rPr>
      </w:pPr>
      <w:r>
        <w:rPr>
          <w:rFonts w:ascii="Arial" w:cs="Arial" w:eastAsia="Arial" w:hAnsi="Arial"/>
          <w:sz w:val="11"/>
          <w:szCs w:val="11"/>
          <w:color w:val="050505"/>
        </w:rPr>
        <w:t>prohibit stockholder action by written consent, which requires all stockholder actions to be taken at a meeting of our stockholders;</w:t>
      </w:r>
    </w:p>
    <w:p>
      <w:pPr>
        <w:spacing w:after="0" w:line="44" w:lineRule="exact"/>
        <w:rPr>
          <w:rFonts w:ascii="Arial" w:cs="Arial" w:eastAsia="Arial" w:hAnsi="Arial"/>
          <w:sz w:val="11"/>
          <w:szCs w:val="11"/>
          <w:color w:val="F7323F"/>
        </w:rPr>
      </w:pPr>
    </w:p>
    <w:p>
      <w:pPr>
        <w:ind w:left="2420" w:hanging="217"/>
        <w:spacing w:after="0"/>
        <w:tabs>
          <w:tab w:leader="none" w:pos="2420" w:val="left"/>
        </w:tabs>
        <w:numPr>
          <w:ilvl w:val="0"/>
          <w:numId w:val="25"/>
        </w:numPr>
        <w:rPr>
          <w:rFonts w:ascii="Arial" w:cs="Arial" w:eastAsia="Arial" w:hAnsi="Arial"/>
          <w:sz w:val="11"/>
          <w:szCs w:val="11"/>
          <w:color w:val="F7323F"/>
        </w:rPr>
      </w:pPr>
      <w:r>
        <w:rPr>
          <w:rFonts w:ascii="Arial" w:cs="Arial" w:eastAsia="Arial" w:hAnsi="Arial"/>
          <w:sz w:val="11"/>
          <w:szCs w:val="11"/>
          <w:color w:val="050505"/>
        </w:rPr>
        <w:t>provide that the board of directors is expressly authorized to make, alter, or repeal our bylaws; and</w:t>
      </w:r>
    </w:p>
    <w:p>
      <w:pPr>
        <w:spacing w:after="0" w:line="44" w:lineRule="exact"/>
        <w:rPr>
          <w:rFonts w:ascii="Arial" w:cs="Arial" w:eastAsia="Arial" w:hAnsi="Arial"/>
          <w:sz w:val="11"/>
          <w:szCs w:val="11"/>
          <w:color w:val="F7323F"/>
        </w:rPr>
      </w:pPr>
    </w:p>
    <w:p>
      <w:pPr>
        <w:ind w:left="2420" w:right="839" w:hanging="217"/>
        <w:spacing w:after="0" w:line="245" w:lineRule="auto"/>
        <w:tabs>
          <w:tab w:leader="none" w:pos="2420" w:val="left"/>
        </w:tabs>
        <w:numPr>
          <w:ilvl w:val="0"/>
          <w:numId w:val="25"/>
        </w:numPr>
        <w:rPr>
          <w:rFonts w:ascii="Arial" w:cs="Arial" w:eastAsia="Arial" w:hAnsi="Arial"/>
          <w:sz w:val="11"/>
          <w:szCs w:val="11"/>
          <w:color w:val="F7323F"/>
        </w:rPr>
      </w:pPr>
      <w:r>
        <w:rPr>
          <w:rFonts w:ascii="Arial" w:cs="Arial" w:eastAsia="Arial" w:hAnsi="Arial"/>
          <w:sz w:val="11"/>
          <w:szCs w:val="11"/>
          <w:color w:val="050505"/>
        </w:rPr>
        <w:t>establish advance notice requirements for nominations for election to our board of directors or for proposing matters that can be acted upon by stockholders at annual stockholder meetings.</w:t>
      </w:r>
    </w:p>
    <w:p>
      <w:pPr>
        <w:spacing w:after="0" w:line="138" w:lineRule="exact"/>
        <w:rPr>
          <w:sz w:val="20"/>
          <w:szCs w:val="20"/>
          <w:color w:val="auto"/>
        </w:rPr>
      </w:pPr>
    </w:p>
    <w:p>
      <w:pPr>
        <w:jc w:val="both"/>
        <w:ind w:left="2060" w:right="839"/>
        <w:spacing w:after="0"/>
        <w:rPr>
          <w:sz w:val="20"/>
          <w:szCs w:val="20"/>
          <w:color w:val="auto"/>
        </w:rPr>
      </w:pPr>
      <w:r>
        <w:rPr>
          <w:rFonts w:ascii="Arial" w:cs="Arial" w:eastAsia="Arial" w:hAnsi="Arial"/>
          <w:sz w:val="11"/>
          <w:szCs w:val="11"/>
          <w:color w:val="050505"/>
        </w:rPr>
        <w:t>In addition, our restated certificate of incorporation will provide that the Court of Chancery of the State of Delaware, to the fullest extent permitted by law, will be the exclusive forum for any derivative action or proceeding brought on our behalf, any action asserting a breach of fiduciary duty, any action asserting a claim against us arising pursuant to the Delaware General Corporation Law, or DGCL, our restated certificate of incorporation, or our restated bylaws, or any action asserting a claim against us that is governed by the internal affairs doctrine. This choice of forum provision may limit a stockholder’s ability to bring a claim in a judicial forum that it finds favorable for disputes with us or any of our directors, officers, or other employees, which may discourage lawsuits against us and our directors, officers, and other employees. This exclusive forum provision will not apply to claims that are vested in the exclusive jurisdiction of a court or forum other than the Court of Chancery of the State of Delaware, or for which the Court of Chancery of the State of Delaware does not have subject matter jurisdiction. For instance, the provision would not preclude the filing of claims brought to enforce any liability or duty created by the Exchange Act or Securities Act or the rules and regulations thereunder in federal court.</w:t>
      </w:r>
    </w:p>
    <w:p>
      <w:pPr>
        <w:spacing w:after="0" w:line="141" w:lineRule="exact"/>
        <w:rPr>
          <w:sz w:val="20"/>
          <w:szCs w:val="20"/>
          <w:color w:val="auto"/>
        </w:rPr>
      </w:pPr>
    </w:p>
    <w:p>
      <w:pPr>
        <w:jc w:val="both"/>
        <w:ind w:left="2060" w:right="839"/>
        <w:spacing w:after="0" w:line="242" w:lineRule="auto"/>
        <w:rPr>
          <w:sz w:val="20"/>
          <w:szCs w:val="20"/>
          <w:color w:val="auto"/>
        </w:rPr>
      </w:pPr>
      <w:r>
        <w:rPr>
          <w:rFonts w:ascii="Arial" w:cs="Arial" w:eastAsia="Arial" w:hAnsi="Arial"/>
          <w:sz w:val="11"/>
          <w:szCs w:val="11"/>
          <w:color w:val="050505"/>
        </w:rPr>
        <w:t>Moreover, Section 203 of the DGCL may discourage, delay, or prevent a change in control of our company. Section 203 imposes certain restrictions on mergers, business combinations, and other transactions between us and holders of 15% or more of our common stock. See the section titled “Description of Capital Stock” for additional information.</w:t>
      </w:r>
    </w:p>
    <w:p>
      <w:pPr>
        <w:spacing w:after="0" w:line="95" w:lineRule="exact"/>
        <w:rPr>
          <w:sz w:val="20"/>
          <w:szCs w:val="20"/>
          <w:color w:val="auto"/>
        </w:rPr>
      </w:pPr>
    </w:p>
    <w:p>
      <w:pPr>
        <w:ind w:left="5680"/>
        <w:spacing w:after="0"/>
        <w:rPr>
          <w:sz w:val="20"/>
          <w:szCs w:val="20"/>
          <w:color w:val="auto"/>
        </w:rPr>
      </w:pPr>
      <w:r>
        <w:rPr>
          <w:rFonts w:ascii="Arial" w:cs="Arial" w:eastAsia="Arial" w:hAnsi="Arial"/>
          <w:sz w:val="11"/>
          <w:szCs w:val="11"/>
          <w:color w:val="050505"/>
        </w:rPr>
        <w:t>45</w:t>
      </w:r>
    </w:p>
    <w:p>
      <w:pPr>
        <w:sectPr>
          <w:pgSz w:w="11900" w:h="16838" w:orient="portrait"/>
          <w:cols w:equalWidth="0" w:num="1">
            <w:col w:w="10239"/>
          </w:cols>
          <w:pgMar w:left="220" w:top="354" w:right="1440" w:bottom="1440" w:gutter="0" w:footer="0" w:header="0"/>
        </w:sectPr>
      </w:pPr>
    </w:p>
    <w:bookmarkStart w:id="50" w:name="page51"/>
    <w:bookmarkEnd w:id="50"/>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hyperlink w:anchor="page5">
        <w:r>
          <w:rPr>
            <w:rFonts w:ascii="Arial" w:cs="Arial" w:eastAsia="Arial" w:hAnsi="Arial"/>
            <w:sz w:val="12"/>
            <w:szCs w:val="12"/>
            <w:b w:val="1"/>
            <w:bCs w:val="1"/>
            <w:u w:val="single" w:color="auto"/>
            <w:color w:val="0000EE"/>
          </w:rPr>
          <w:t>Table of Contents</w:t>
        </w:r>
      </w:hyperlink>
    </w:p>
    <w:p>
      <w:pPr>
        <w:spacing w:after="0" w:line="200" w:lineRule="exact"/>
        <w:rPr>
          <w:sz w:val="20"/>
          <w:szCs w:val="20"/>
          <w:color w:val="auto"/>
        </w:rPr>
      </w:pPr>
    </w:p>
    <w:p>
      <w:pPr>
        <w:jc w:val="center"/>
        <w:ind w:right="-1220"/>
        <w:spacing w:after="0"/>
        <w:rPr>
          <w:sz w:val="20"/>
          <w:szCs w:val="20"/>
          <w:color w:val="auto"/>
        </w:rPr>
      </w:pPr>
      <w:r>
        <w:rPr>
          <w:rFonts w:ascii="Arial" w:cs="Arial" w:eastAsia="Arial" w:hAnsi="Arial"/>
          <w:sz w:val="12"/>
          <w:szCs w:val="12"/>
          <w:b w:val="1"/>
          <w:bCs w:val="1"/>
          <w:color w:val="auto"/>
        </w:rPr>
        <w:t>SPECIAL NOTE REGARDING FORWARD-LOOKING STATEMENTS</w:t>
      </w:r>
    </w:p>
    <w:p>
      <w:pPr>
        <w:spacing w:after="0" w:line="157" w:lineRule="exact"/>
        <w:rPr>
          <w:sz w:val="20"/>
          <w:szCs w:val="20"/>
          <w:color w:val="auto"/>
        </w:rPr>
      </w:pPr>
    </w:p>
    <w:p>
      <w:pPr>
        <w:jc w:val="both"/>
        <w:ind w:left="2060" w:right="839"/>
        <w:spacing w:after="0" w:line="241" w:lineRule="auto"/>
        <w:rPr>
          <w:sz w:val="20"/>
          <w:szCs w:val="20"/>
          <w:color w:val="auto"/>
        </w:rPr>
      </w:pPr>
      <w:r>
        <w:rPr>
          <w:rFonts w:ascii="Arial" w:cs="Arial" w:eastAsia="Arial" w:hAnsi="Arial"/>
          <w:sz w:val="11"/>
          <w:szCs w:val="11"/>
          <w:color w:val="050505"/>
        </w:rPr>
        <w:t>This prospectus contains forward-looking statements. All statements contained in this prospectus other than statements of historical fact, including statements regarding our future operating results and financial position, our business strategy and plans, market growth, and our objectives for future operations, are forward-looking statements. The words “believe,” “may,” “will,” “estimate,” “potential,” “continue,” “anticipate,” “intend,” “expect,” “could,” “would,” “project,” “plan, “target,” and similar expressions are intended to identify forward-looking statements.</w:t>
      </w:r>
    </w:p>
    <w:p>
      <w:pPr>
        <w:spacing w:after="0" w:line="140" w:lineRule="exact"/>
        <w:rPr>
          <w:sz w:val="20"/>
          <w:szCs w:val="20"/>
          <w:color w:val="auto"/>
        </w:rPr>
      </w:pPr>
    </w:p>
    <w:p>
      <w:pPr>
        <w:ind w:left="2060"/>
        <w:spacing w:after="0"/>
        <w:rPr>
          <w:sz w:val="20"/>
          <w:szCs w:val="20"/>
          <w:color w:val="auto"/>
        </w:rPr>
      </w:pPr>
      <w:r>
        <w:rPr>
          <w:rFonts w:ascii="Arial" w:cs="Arial" w:eastAsia="Arial" w:hAnsi="Arial"/>
          <w:sz w:val="11"/>
          <w:szCs w:val="11"/>
          <w:color w:val="050505"/>
        </w:rPr>
        <w:t>Forward-looking statements contained in this prospectus include, but are not limited to, statements about:</w:t>
      </w:r>
    </w:p>
    <w:p>
      <w:pPr>
        <w:spacing w:after="0" w:line="162" w:lineRule="exact"/>
        <w:rPr>
          <w:sz w:val="20"/>
          <w:szCs w:val="20"/>
          <w:color w:val="auto"/>
        </w:rPr>
      </w:pPr>
    </w:p>
    <w:p>
      <w:pPr>
        <w:jc w:val="both"/>
        <w:ind w:left="2420" w:right="839" w:hanging="217"/>
        <w:spacing w:after="0" w:line="242" w:lineRule="auto"/>
        <w:tabs>
          <w:tab w:leader="none" w:pos="2420" w:val="left"/>
        </w:tabs>
        <w:numPr>
          <w:ilvl w:val="0"/>
          <w:numId w:val="26"/>
        </w:numPr>
        <w:rPr>
          <w:rFonts w:ascii="Arial" w:cs="Arial" w:eastAsia="Arial" w:hAnsi="Arial"/>
          <w:sz w:val="11"/>
          <w:szCs w:val="11"/>
          <w:color w:val="F7323F"/>
        </w:rPr>
      </w:pPr>
      <w:r>
        <w:rPr>
          <w:rFonts w:ascii="Arial" w:cs="Arial" w:eastAsia="Arial" w:hAnsi="Arial"/>
          <w:sz w:val="11"/>
          <w:szCs w:val="11"/>
          <w:color w:val="050505"/>
        </w:rPr>
        <w:t>our future financial performance, including our expectations regarding our revenue, cost of revenue, gross profit, operating expenses including changes in research and development, sales and marketing, and general and administrative expenses (including any components of the foregoing), and our ability to achieve and maintain future profitability;</w:t>
      </w:r>
    </w:p>
    <w:p>
      <w:pPr>
        <w:spacing w:after="0" w:line="40" w:lineRule="exact"/>
        <w:rPr>
          <w:rFonts w:ascii="Arial" w:cs="Arial" w:eastAsia="Arial" w:hAnsi="Arial"/>
          <w:sz w:val="11"/>
          <w:szCs w:val="11"/>
          <w:color w:val="F7323F"/>
        </w:rPr>
      </w:pPr>
    </w:p>
    <w:p>
      <w:pPr>
        <w:ind w:left="2420" w:hanging="217"/>
        <w:spacing w:after="0"/>
        <w:tabs>
          <w:tab w:leader="none" w:pos="2420" w:val="left"/>
        </w:tabs>
        <w:numPr>
          <w:ilvl w:val="0"/>
          <w:numId w:val="26"/>
        </w:numPr>
        <w:rPr>
          <w:rFonts w:ascii="Arial" w:cs="Arial" w:eastAsia="Arial" w:hAnsi="Arial"/>
          <w:sz w:val="11"/>
          <w:szCs w:val="11"/>
          <w:color w:val="F7323F"/>
        </w:rPr>
      </w:pPr>
      <w:r>
        <w:rPr>
          <w:rFonts w:ascii="Arial" w:cs="Arial" w:eastAsia="Arial" w:hAnsi="Arial"/>
          <w:sz w:val="11"/>
          <w:szCs w:val="11"/>
          <w:color w:val="050505"/>
        </w:rPr>
        <w:t>our business plan and our ability to effectively manage our growth;</w:t>
      </w:r>
    </w:p>
    <w:p>
      <w:pPr>
        <w:spacing w:after="0" w:line="44" w:lineRule="exact"/>
        <w:rPr>
          <w:rFonts w:ascii="Arial" w:cs="Arial" w:eastAsia="Arial" w:hAnsi="Arial"/>
          <w:sz w:val="11"/>
          <w:szCs w:val="11"/>
          <w:color w:val="F7323F"/>
        </w:rPr>
      </w:pPr>
    </w:p>
    <w:p>
      <w:pPr>
        <w:ind w:left="2420" w:hanging="217"/>
        <w:spacing w:after="0"/>
        <w:tabs>
          <w:tab w:leader="none" w:pos="2420" w:val="left"/>
        </w:tabs>
        <w:numPr>
          <w:ilvl w:val="0"/>
          <w:numId w:val="26"/>
        </w:numPr>
        <w:rPr>
          <w:rFonts w:ascii="Arial" w:cs="Arial" w:eastAsia="Arial" w:hAnsi="Arial"/>
          <w:sz w:val="11"/>
          <w:szCs w:val="11"/>
          <w:color w:val="F7323F"/>
        </w:rPr>
      </w:pPr>
      <w:r>
        <w:rPr>
          <w:rFonts w:ascii="Arial" w:cs="Arial" w:eastAsia="Arial" w:hAnsi="Arial"/>
          <w:sz w:val="11"/>
          <w:szCs w:val="11"/>
          <w:color w:val="050505"/>
        </w:rPr>
        <w:t>anticipated trends, growth rates, and challenges in our business and in the markets in which we operate;</w:t>
      </w:r>
    </w:p>
    <w:p>
      <w:pPr>
        <w:spacing w:after="0" w:line="44" w:lineRule="exact"/>
        <w:rPr>
          <w:rFonts w:ascii="Arial" w:cs="Arial" w:eastAsia="Arial" w:hAnsi="Arial"/>
          <w:sz w:val="11"/>
          <w:szCs w:val="11"/>
          <w:color w:val="F7323F"/>
        </w:rPr>
      </w:pPr>
    </w:p>
    <w:p>
      <w:pPr>
        <w:ind w:left="2420" w:hanging="217"/>
        <w:spacing w:after="0"/>
        <w:tabs>
          <w:tab w:leader="none" w:pos="2420" w:val="left"/>
        </w:tabs>
        <w:numPr>
          <w:ilvl w:val="0"/>
          <w:numId w:val="26"/>
        </w:numPr>
        <w:rPr>
          <w:rFonts w:ascii="Arial" w:cs="Arial" w:eastAsia="Arial" w:hAnsi="Arial"/>
          <w:sz w:val="11"/>
          <w:szCs w:val="11"/>
          <w:color w:val="F7323F"/>
        </w:rPr>
      </w:pPr>
      <w:r>
        <w:rPr>
          <w:rFonts w:ascii="Arial" w:cs="Arial" w:eastAsia="Arial" w:hAnsi="Arial"/>
          <w:sz w:val="11"/>
          <w:szCs w:val="11"/>
          <w:color w:val="050505"/>
        </w:rPr>
        <w:t>our market opportunity, including our TAM and SAM;</w:t>
      </w:r>
    </w:p>
    <w:p>
      <w:pPr>
        <w:spacing w:after="0" w:line="44" w:lineRule="exact"/>
        <w:rPr>
          <w:rFonts w:ascii="Arial" w:cs="Arial" w:eastAsia="Arial" w:hAnsi="Arial"/>
          <w:sz w:val="11"/>
          <w:szCs w:val="11"/>
          <w:color w:val="F7323F"/>
        </w:rPr>
      </w:pPr>
    </w:p>
    <w:p>
      <w:pPr>
        <w:ind w:left="2420" w:hanging="217"/>
        <w:spacing w:after="0"/>
        <w:tabs>
          <w:tab w:leader="none" w:pos="2420" w:val="left"/>
        </w:tabs>
        <w:numPr>
          <w:ilvl w:val="0"/>
          <w:numId w:val="26"/>
        </w:numPr>
        <w:rPr>
          <w:rFonts w:ascii="Arial" w:cs="Arial" w:eastAsia="Arial" w:hAnsi="Arial"/>
          <w:sz w:val="11"/>
          <w:szCs w:val="11"/>
          <w:color w:val="F7323F"/>
        </w:rPr>
      </w:pPr>
      <w:r>
        <w:rPr>
          <w:rFonts w:ascii="Arial" w:cs="Arial" w:eastAsia="Arial" w:hAnsi="Arial"/>
          <w:sz w:val="11"/>
          <w:szCs w:val="11"/>
          <w:color w:val="050505"/>
        </w:rPr>
        <w:t>our international expansion plans and ability to continue to expand internationally;</w:t>
      </w:r>
    </w:p>
    <w:p>
      <w:pPr>
        <w:spacing w:after="0" w:line="44" w:lineRule="exact"/>
        <w:rPr>
          <w:rFonts w:ascii="Arial" w:cs="Arial" w:eastAsia="Arial" w:hAnsi="Arial"/>
          <w:sz w:val="11"/>
          <w:szCs w:val="11"/>
          <w:color w:val="F7323F"/>
        </w:rPr>
      </w:pPr>
    </w:p>
    <w:p>
      <w:pPr>
        <w:ind w:left="2420" w:hanging="217"/>
        <w:spacing w:after="0"/>
        <w:tabs>
          <w:tab w:leader="none" w:pos="2420" w:val="left"/>
        </w:tabs>
        <w:numPr>
          <w:ilvl w:val="0"/>
          <w:numId w:val="26"/>
        </w:numPr>
        <w:rPr>
          <w:rFonts w:ascii="Arial" w:cs="Arial" w:eastAsia="Arial" w:hAnsi="Arial"/>
          <w:sz w:val="11"/>
          <w:szCs w:val="11"/>
          <w:color w:val="F7323F"/>
        </w:rPr>
      </w:pPr>
      <w:r>
        <w:rPr>
          <w:rFonts w:ascii="Arial" w:cs="Arial" w:eastAsia="Arial" w:hAnsi="Arial"/>
          <w:sz w:val="11"/>
          <w:szCs w:val="11"/>
          <w:color w:val="050505"/>
        </w:rPr>
        <w:t>market acceptance of our Connected Fitness Products and services;</w:t>
      </w:r>
    </w:p>
    <w:p>
      <w:pPr>
        <w:spacing w:after="0" w:line="44" w:lineRule="exact"/>
        <w:rPr>
          <w:rFonts w:ascii="Arial" w:cs="Arial" w:eastAsia="Arial" w:hAnsi="Arial"/>
          <w:sz w:val="11"/>
          <w:szCs w:val="11"/>
          <w:color w:val="F7323F"/>
        </w:rPr>
      </w:pPr>
    </w:p>
    <w:p>
      <w:pPr>
        <w:ind w:left="2420" w:hanging="217"/>
        <w:spacing w:after="0"/>
        <w:tabs>
          <w:tab w:leader="none" w:pos="2420" w:val="left"/>
        </w:tabs>
        <w:numPr>
          <w:ilvl w:val="0"/>
          <w:numId w:val="26"/>
        </w:numPr>
        <w:rPr>
          <w:rFonts w:ascii="Arial" w:cs="Arial" w:eastAsia="Arial" w:hAnsi="Arial"/>
          <w:sz w:val="11"/>
          <w:szCs w:val="11"/>
          <w:color w:val="F7323F"/>
        </w:rPr>
      </w:pPr>
      <w:r>
        <w:rPr>
          <w:rFonts w:ascii="Arial" w:cs="Arial" w:eastAsia="Arial" w:hAnsi="Arial"/>
          <w:sz w:val="11"/>
          <w:szCs w:val="11"/>
          <w:color w:val="050505"/>
        </w:rPr>
        <w:t>beliefs and objectives for future operations;</w:t>
      </w:r>
    </w:p>
    <w:p>
      <w:pPr>
        <w:spacing w:after="0" w:line="44" w:lineRule="exact"/>
        <w:rPr>
          <w:rFonts w:ascii="Arial" w:cs="Arial" w:eastAsia="Arial" w:hAnsi="Arial"/>
          <w:sz w:val="11"/>
          <w:szCs w:val="11"/>
          <w:color w:val="F7323F"/>
        </w:rPr>
      </w:pPr>
    </w:p>
    <w:p>
      <w:pPr>
        <w:ind w:left="2420" w:hanging="217"/>
        <w:spacing w:after="0"/>
        <w:tabs>
          <w:tab w:leader="none" w:pos="2420" w:val="left"/>
        </w:tabs>
        <w:numPr>
          <w:ilvl w:val="0"/>
          <w:numId w:val="26"/>
        </w:numPr>
        <w:rPr>
          <w:rFonts w:ascii="Arial" w:cs="Arial" w:eastAsia="Arial" w:hAnsi="Arial"/>
          <w:sz w:val="11"/>
          <w:szCs w:val="11"/>
          <w:color w:val="F7323F"/>
        </w:rPr>
      </w:pPr>
      <w:r>
        <w:rPr>
          <w:rFonts w:ascii="Arial" w:cs="Arial" w:eastAsia="Arial" w:hAnsi="Arial"/>
          <w:sz w:val="11"/>
          <w:szCs w:val="11"/>
          <w:color w:val="050505"/>
        </w:rPr>
        <w:t>our ability to increase sales of our Connected Fitness Products and services;</w:t>
      </w:r>
    </w:p>
    <w:p>
      <w:pPr>
        <w:spacing w:after="0" w:line="44" w:lineRule="exact"/>
        <w:rPr>
          <w:rFonts w:ascii="Arial" w:cs="Arial" w:eastAsia="Arial" w:hAnsi="Arial"/>
          <w:sz w:val="11"/>
          <w:szCs w:val="11"/>
          <w:color w:val="F7323F"/>
        </w:rPr>
      </w:pPr>
    </w:p>
    <w:p>
      <w:pPr>
        <w:ind w:left="2420" w:hanging="217"/>
        <w:spacing w:after="0"/>
        <w:tabs>
          <w:tab w:leader="none" w:pos="2420" w:val="left"/>
        </w:tabs>
        <w:numPr>
          <w:ilvl w:val="0"/>
          <w:numId w:val="26"/>
        </w:numPr>
        <w:rPr>
          <w:rFonts w:ascii="Arial" w:cs="Arial" w:eastAsia="Arial" w:hAnsi="Arial"/>
          <w:sz w:val="11"/>
          <w:szCs w:val="11"/>
          <w:color w:val="F7323F"/>
        </w:rPr>
      </w:pPr>
      <w:r>
        <w:rPr>
          <w:rFonts w:ascii="Arial" w:cs="Arial" w:eastAsia="Arial" w:hAnsi="Arial"/>
          <w:sz w:val="11"/>
          <w:szCs w:val="11"/>
          <w:color w:val="050505"/>
        </w:rPr>
        <w:t>our ability to further penetrate our existing Subscriber base and maintain and expand our Subscriber base;</w:t>
      </w:r>
    </w:p>
    <w:p>
      <w:pPr>
        <w:spacing w:after="0" w:line="44" w:lineRule="exact"/>
        <w:rPr>
          <w:rFonts w:ascii="Arial" w:cs="Arial" w:eastAsia="Arial" w:hAnsi="Arial"/>
          <w:sz w:val="11"/>
          <w:szCs w:val="11"/>
          <w:color w:val="F7323F"/>
        </w:rPr>
      </w:pPr>
    </w:p>
    <w:p>
      <w:pPr>
        <w:ind w:left="2420" w:right="839" w:hanging="217"/>
        <w:spacing w:after="0" w:line="245" w:lineRule="auto"/>
        <w:tabs>
          <w:tab w:leader="none" w:pos="2420" w:val="left"/>
        </w:tabs>
        <w:numPr>
          <w:ilvl w:val="0"/>
          <w:numId w:val="26"/>
        </w:numPr>
        <w:rPr>
          <w:rFonts w:ascii="Arial" w:cs="Arial" w:eastAsia="Arial" w:hAnsi="Arial"/>
          <w:sz w:val="11"/>
          <w:szCs w:val="11"/>
          <w:color w:val="F7323F"/>
        </w:rPr>
      </w:pPr>
      <w:r>
        <w:rPr>
          <w:rFonts w:ascii="Arial" w:cs="Arial" w:eastAsia="Arial" w:hAnsi="Arial"/>
          <w:sz w:val="11"/>
          <w:szCs w:val="11"/>
          <w:color w:val="050505"/>
        </w:rPr>
        <w:t>our ability to develop new Connected Fitness Products and services and bring them to market in a timely manner and make enhancements to our Connected Fitness Products;</w:t>
      </w:r>
    </w:p>
    <w:p>
      <w:pPr>
        <w:spacing w:after="0" w:line="38" w:lineRule="exact"/>
        <w:rPr>
          <w:rFonts w:ascii="Arial" w:cs="Arial" w:eastAsia="Arial" w:hAnsi="Arial"/>
          <w:sz w:val="11"/>
          <w:szCs w:val="11"/>
          <w:color w:val="F7323F"/>
        </w:rPr>
      </w:pPr>
    </w:p>
    <w:p>
      <w:pPr>
        <w:ind w:left="2420" w:hanging="217"/>
        <w:spacing w:after="0"/>
        <w:tabs>
          <w:tab w:leader="none" w:pos="2420" w:val="left"/>
        </w:tabs>
        <w:numPr>
          <w:ilvl w:val="0"/>
          <w:numId w:val="26"/>
        </w:numPr>
        <w:rPr>
          <w:rFonts w:ascii="Arial" w:cs="Arial" w:eastAsia="Arial" w:hAnsi="Arial"/>
          <w:sz w:val="11"/>
          <w:szCs w:val="11"/>
          <w:color w:val="F7323F"/>
        </w:rPr>
      </w:pPr>
      <w:r>
        <w:rPr>
          <w:rFonts w:ascii="Arial" w:cs="Arial" w:eastAsia="Arial" w:hAnsi="Arial"/>
          <w:sz w:val="11"/>
          <w:szCs w:val="11"/>
          <w:color w:val="050505"/>
        </w:rPr>
        <w:t>the effects of seasonal trends on our results of operations;</w:t>
      </w:r>
    </w:p>
    <w:p>
      <w:pPr>
        <w:spacing w:after="0" w:line="44" w:lineRule="exact"/>
        <w:rPr>
          <w:rFonts w:ascii="Arial" w:cs="Arial" w:eastAsia="Arial" w:hAnsi="Arial"/>
          <w:sz w:val="11"/>
          <w:szCs w:val="11"/>
          <w:color w:val="F7323F"/>
        </w:rPr>
      </w:pPr>
    </w:p>
    <w:p>
      <w:pPr>
        <w:ind w:left="2420" w:hanging="217"/>
        <w:spacing w:after="0"/>
        <w:tabs>
          <w:tab w:leader="none" w:pos="2420" w:val="left"/>
        </w:tabs>
        <w:numPr>
          <w:ilvl w:val="0"/>
          <w:numId w:val="26"/>
        </w:numPr>
        <w:rPr>
          <w:rFonts w:ascii="Arial" w:cs="Arial" w:eastAsia="Arial" w:hAnsi="Arial"/>
          <w:sz w:val="11"/>
          <w:szCs w:val="11"/>
          <w:color w:val="F7323F"/>
        </w:rPr>
      </w:pPr>
      <w:r>
        <w:rPr>
          <w:rFonts w:ascii="Arial" w:cs="Arial" w:eastAsia="Arial" w:hAnsi="Arial"/>
          <w:sz w:val="11"/>
          <w:szCs w:val="11"/>
          <w:color w:val="050505"/>
        </w:rPr>
        <w:t>our expectations concerning relationships with third parties;</w:t>
      </w:r>
    </w:p>
    <w:p>
      <w:pPr>
        <w:spacing w:after="0" w:line="44" w:lineRule="exact"/>
        <w:rPr>
          <w:rFonts w:ascii="Arial" w:cs="Arial" w:eastAsia="Arial" w:hAnsi="Arial"/>
          <w:sz w:val="11"/>
          <w:szCs w:val="11"/>
          <w:color w:val="F7323F"/>
        </w:rPr>
      </w:pPr>
    </w:p>
    <w:p>
      <w:pPr>
        <w:ind w:left="2420" w:hanging="217"/>
        <w:spacing w:after="0"/>
        <w:tabs>
          <w:tab w:leader="none" w:pos="2420" w:val="left"/>
        </w:tabs>
        <w:numPr>
          <w:ilvl w:val="0"/>
          <w:numId w:val="26"/>
        </w:numPr>
        <w:rPr>
          <w:rFonts w:ascii="Arial" w:cs="Arial" w:eastAsia="Arial" w:hAnsi="Arial"/>
          <w:sz w:val="11"/>
          <w:szCs w:val="11"/>
          <w:color w:val="F7323F"/>
        </w:rPr>
      </w:pPr>
      <w:r>
        <w:rPr>
          <w:rFonts w:ascii="Arial" w:cs="Arial" w:eastAsia="Arial" w:hAnsi="Arial"/>
          <w:sz w:val="11"/>
          <w:szCs w:val="11"/>
          <w:color w:val="050505"/>
        </w:rPr>
        <w:t>our expectations regarding content costs for past use;</w:t>
      </w:r>
    </w:p>
    <w:p>
      <w:pPr>
        <w:spacing w:after="0" w:line="44" w:lineRule="exact"/>
        <w:rPr>
          <w:rFonts w:ascii="Arial" w:cs="Arial" w:eastAsia="Arial" w:hAnsi="Arial"/>
          <w:sz w:val="11"/>
          <w:szCs w:val="11"/>
          <w:color w:val="F7323F"/>
        </w:rPr>
      </w:pPr>
    </w:p>
    <w:p>
      <w:pPr>
        <w:ind w:left="2420" w:hanging="217"/>
        <w:spacing w:after="0"/>
        <w:tabs>
          <w:tab w:leader="none" w:pos="2420" w:val="left"/>
        </w:tabs>
        <w:numPr>
          <w:ilvl w:val="0"/>
          <w:numId w:val="26"/>
        </w:numPr>
        <w:rPr>
          <w:rFonts w:ascii="Arial" w:cs="Arial" w:eastAsia="Arial" w:hAnsi="Arial"/>
          <w:sz w:val="11"/>
          <w:szCs w:val="11"/>
          <w:color w:val="F7323F"/>
        </w:rPr>
      </w:pPr>
      <w:r>
        <w:rPr>
          <w:rFonts w:ascii="Arial" w:cs="Arial" w:eastAsia="Arial" w:hAnsi="Arial"/>
          <w:sz w:val="11"/>
          <w:szCs w:val="11"/>
          <w:color w:val="050505"/>
        </w:rPr>
        <w:t>our ability to maintain, protect, and enhance our intellectual property;</w:t>
      </w:r>
    </w:p>
    <w:p>
      <w:pPr>
        <w:spacing w:after="0" w:line="44" w:lineRule="exact"/>
        <w:rPr>
          <w:rFonts w:ascii="Arial" w:cs="Arial" w:eastAsia="Arial" w:hAnsi="Arial"/>
          <w:sz w:val="11"/>
          <w:szCs w:val="11"/>
          <w:color w:val="F7323F"/>
        </w:rPr>
      </w:pPr>
    </w:p>
    <w:p>
      <w:pPr>
        <w:ind w:left="2420" w:hanging="217"/>
        <w:spacing w:after="0"/>
        <w:tabs>
          <w:tab w:leader="none" w:pos="2420" w:val="left"/>
        </w:tabs>
        <w:numPr>
          <w:ilvl w:val="0"/>
          <w:numId w:val="26"/>
        </w:numPr>
        <w:rPr>
          <w:rFonts w:ascii="Arial" w:cs="Arial" w:eastAsia="Arial" w:hAnsi="Arial"/>
          <w:sz w:val="11"/>
          <w:szCs w:val="11"/>
          <w:color w:val="F7323F"/>
        </w:rPr>
      </w:pPr>
      <w:r>
        <w:rPr>
          <w:rFonts w:ascii="Arial" w:cs="Arial" w:eastAsia="Arial" w:hAnsi="Arial"/>
          <w:sz w:val="11"/>
          <w:szCs w:val="11"/>
          <w:color w:val="050505"/>
        </w:rPr>
        <w:t>the effects of increased competition in our markets and our ability to compete effectively;</w:t>
      </w:r>
    </w:p>
    <w:p>
      <w:pPr>
        <w:spacing w:after="0" w:line="44" w:lineRule="exact"/>
        <w:rPr>
          <w:rFonts w:ascii="Arial" w:cs="Arial" w:eastAsia="Arial" w:hAnsi="Arial"/>
          <w:sz w:val="11"/>
          <w:szCs w:val="11"/>
          <w:color w:val="F7323F"/>
        </w:rPr>
      </w:pPr>
    </w:p>
    <w:p>
      <w:pPr>
        <w:ind w:left="2420" w:right="839" w:hanging="217"/>
        <w:spacing w:after="0" w:line="245" w:lineRule="auto"/>
        <w:tabs>
          <w:tab w:leader="none" w:pos="2420" w:val="left"/>
        </w:tabs>
        <w:numPr>
          <w:ilvl w:val="0"/>
          <w:numId w:val="26"/>
        </w:numPr>
        <w:rPr>
          <w:rFonts w:ascii="Arial" w:cs="Arial" w:eastAsia="Arial" w:hAnsi="Arial"/>
          <w:sz w:val="11"/>
          <w:szCs w:val="11"/>
          <w:color w:val="F7323F"/>
        </w:rPr>
      </w:pPr>
      <w:r>
        <w:rPr>
          <w:rFonts w:ascii="Arial" w:cs="Arial" w:eastAsia="Arial" w:hAnsi="Arial"/>
          <w:sz w:val="11"/>
          <w:szCs w:val="11"/>
          <w:color w:val="050505"/>
        </w:rPr>
        <w:t>our ability to stay in compliance with laws and regulations that currently apply or become applicable to our business both in the United States and internationally; and</w:t>
      </w:r>
    </w:p>
    <w:p>
      <w:pPr>
        <w:spacing w:after="0" w:line="38" w:lineRule="exact"/>
        <w:rPr>
          <w:rFonts w:ascii="Arial" w:cs="Arial" w:eastAsia="Arial" w:hAnsi="Arial"/>
          <w:sz w:val="11"/>
          <w:szCs w:val="11"/>
          <w:color w:val="F7323F"/>
        </w:rPr>
      </w:pPr>
    </w:p>
    <w:p>
      <w:pPr>
        <w:ind w:left="2420" w:hanging="217"/>
        <w:spacing w:after="0"/>
        <w:tabs>
          <w:tab w:leader="none" w:pos="2420" w:val="left"/>
        </w:tabs>
        <w:numPr>
          <w:ilvl w:val="0"/>
          <w:numId w:val="26"/>
        </w:numPr>
        <w:rPr>
          <w:rFonts w:ascii="Arial" w:cs="Arial" w:eastAsia="Arial" w:hAnsi="Arial"/>
          <w:sz w:val="11"/>
          <w:szCs w:val="11"/>
          <w:color w:val="F7323F"/>
        </w:rPr>
      </w:pPr>
      <w:r>
        <w:rPr>
          <w:rFonts w:ascii="Arial" w:cs="Arial" w:eastAsia="Arial" w:hAnsi="Arial"/>
          <w:sz w:val="11"/>
          <w:szCs w:val="11"/>
          <w:color w:val="050505"/>
        </w:rPr>
        <w:t>economic and industry trends, projected growth, or trend analysis.</w:t>
      </w:r>
    </w:p>
    <w:p>
      <w:pPr>
        <w:spacing w:after="0" w:line="144" w:lineRule="exact"/>
        <w:rPr>
          <w:sz w:val="20"/>
          <w:szCs w:val="20"/>
          <w:color w:val="auto"/>
        </w:rPr>
      </w:pPr>
    </w:p>
    <w:p>
      <w:pPr>
        <w:ind w:left="2060"/>
        <w:spacing w:after="0"/>
        <w:rPr>
          <w:sz w:val="20"/>
          <w:szCs w:val="20"/>
          <w:color w:val="auto"/>
        </w:rPr>
      </w:pPr>
      <w:r>
        <w:rPr>
          <w:rFonts w:ascii="Arial" w:cs="Arial" w:eastAsia="Arial" w:hAnsi="Arial"/>
          <w:sz w:val="11"/>
          <w:szCs w:val="11"/>
          <w:color w:val="050505"/>
        </w:rPr>
        <w:t>We caution you that the foregoing list may not contain all of the forward-looking statements made in this prospectus.</w:t>
      </w:r>
    </w:p>
    <w:p>
      <w:pPr>
        <w:spacing w:after="0" w:line="144" w:lineRule="exact"/>
        <w:rPr>
          <w:sz w:val="20"/>
          <w:szCs w:val="20"/>
          <w:color w:val="auto"/>
        </w:rPr>
      </w:pPr>
    </w:p>
    <w:p>
      <w:pPr>
        <w:jc w:val="both"/>
        <w:ind w:left="2060" w:right="839"/>
        <w:spacing w:after="0"/>
        <w:rPr>
          <w:sz w:val="20"/>
          <w:szCs w:val="20"/>
          <w:color w:val="auto"/>
        </w:rPr>
      </w:pPr>
      <w:r>
        <w:rPr>
          <w:rFonts w:ascii="Arial" w:cs="Arial" w:eastAsia="Arial" w:hAnsi="Arial"/>
          <w:sz w:val="11"/>
          <w:szCs w:val="11"/>
          <w:color w:val="050505"/>
        </w:rPr>
        <w:t>We have based these forward-looking statements largely on our current expectations and projections about future events and trends that we believe may affect our financial condition, results of operations, business strategy, short-term and long-term business operations and objectives, and financial needs. These forward-looking statements are subject to a number of risks, uncertainties, and assumptions, including those described in the section titled “Risk Factors.” Moreover, we operate in a very competitive and rapidly changing environment. New risks emerge from time to time. It is not possible for our management to predict all risks, nor can we assess the impact of all factors on our business or the extent to which any factor, or combination of factors, may cause actual results to differ materially from those contained in any forward-looking statements we may make. In light of these risks, uncertainties, and assumptions, the future events and trends discussed in this prospectus may not occur and actual results could differ materially and adversely from those anticipated or implied in the forward-looking statements.</w:t>
      </w:r>
    </w:p>
    <w:p>
      <w:pPr>
        <w:spacing w:after="0" w:line="141" w:lineRule="exact"/>
        <w:rPr>
          <w:sz w:val="20"/>
          <w:szCs w:val="20"/>
          <w:color w:val="auto"/>
        </w:rPr>
      </w:pPr>
    </w:p>
    <w:p>
      <w:pPr>
        <w:jc w:val="both"/>
        <w:ind w:left="2060" w:right="839"/>
        <w:spacing w:after="0" w:line="242" w:lineRule="auto"/>
        <w:rPr>
          <w:sz w:val="20"/>
          <w:szCs w:val="20"/>
          <w:color w:val="auto"/>
        </w:rPr>
      </w:pPr>
      <w:r>
        <w:rPr>
          <w:rFonts w:ascii="Arial" w:cs="Arial" w:eastAsia="Arial" w:hAnsi="Arial"/>
          <w:sz w:val="11"/>
          <w:szCs w:val="11"/>
          <w:color w:val="050505"/>
        </w:rPr>
        <w:t>You should not rely upon forward-looking statements as predictions of future events. The events and circumstances reflected in the forward-looking statements may not be achieved or occur. Although we believe that the expectations reflected in the forward-looking statements are reasonable, we cannot guarantee future results, performance, or</w:t>
      </w:r>
    </w:p>
    <w:p>
      <w:pPr>
        <w:spacing w:after="0" w:line="95" w:lineRule="exact"/>
        <w:rPr>
          <w:sz w:val="20"/>
          <w:szCs w:val="20"/>
          <w:color w:val="auto"/>
        </w:rPr>
      </w:pPr>
    </w:p>
    <w:p>
      <w:pPr>
        <w:ind w:left="5680"/>
        <w:spacing w:after="0"/>
        <w:rPr>
          <w:sz w:val="20"/>
          <w:szCs w:val="20"/>
          <w:color w:val="auto"/>
        </w:rPr>
      </w:pPr>
      <w:r>
        <w:rPr>
          <w:rFonts w:ascii="Arial" w:cs="Arial" w:eastAsia="Arial" w:hAnsi="Arial"/>
          <w:sz w:val="11"/>
          <w:szCs w:val="11"/>
          <w:color w:val="050505"/>
        </w:rPr>
        <w:t>46</w:t>
      </w:r>
    </w:p>
    <w:p>
      <w:pPr>
        <w:sectPr>
          <w:pgSz w:w="11900" w:h="16838" w:orient="portrait"/>
          <w:cols w:equalWidth="0" w:num="1">
            <w:col w:w="10239"/>
          </w:cols>
          <w:pgMar w:left="220" w:top="354" w:right="1440" w:bottom="1440" w:gutter="0" w:footer="0" w:header="0"/>
        </w:sectPr>
      </w:pPr>
    </w:p>
    <w:bookmarkStart w:id="51" w:name="page52"/>
    <w:bookmarkEnd w:id="51"/>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hyperlink w:anchor="page5">
        <w:r>
          <w:rPr>
            <w:rFonts w:ascii="Arial" w:cs="Arial" w:eastAsia="Arial" w:hAnsi="Arial"/>
            <w:sz w:val="12"/>
            <w:szCs w:val="12"/>
            <w:b w:val="1"/>
            <w:bCs w:val="1"/>
            <w:u w:val="single" w:color="auto"/>
            <w:color w:val="0000EE"/>
          </w:rPr>
          <w:t>Table of Contents</w:t>
        </w:r>
      </w:hyperlink>
    </w:p>
    <w:p>
      <w:pPr>
        <w:spacing w:after="0" w:line="216" w:lineRule="exact"/>
        <w:rPr>
          <w:sz w:val="20"/>
          <w:szCs w:val="20"/>
          <w:color w:val="auto"/>
        </w:rPr>
      </w:pPr>
    </w:p>
    <w:p>
      <w:pPr>
        <w:jc w:val="both"/>
        <w:ind w:left="2060" w:right="839"/>
        <w:spacing w:after="0" w:line="245" w:lineRule="auto"/>
        <w:rPr>
          <w:sz w:val="20"/>
          <w:szCs w:val="20"/>
          <w:color w:val="auto"/>
        </w:rPr>
      </w:pPr>
      <w:r>
        <w:rPr>
          <w:rFonts w:ascii="Arial" w:cs="Arial" w:eastAsia="Arial" w:hAnsi="Arial"/>
          <w:sz w:val="11"/>
          <w:szCs w:val="11"/>
          <w:color w:val="050505"/>
        </w:rPr>
        <w:t>achievements. We undertake no obligation to update any of these forward-looking statements for any reason after the date of this prospectus or to conform these statements to actual results or revised expectations, except as required by law.</w:t>
      </w:r>
    </w:p>
    <w:p>
      <w:pPr>
        <w:spacing w:after="0" w:line="138" w:lineRule="exact"/>
        <w:rPr>
          <w:sz w:val="20"/>
          <w:szCs w:val="20"/>
          <w:color w:val="auto"/>
        </w:rPr>
      </w:pPr>
    </w:p>
    <w:p>
      <w:pPr>
        <w:jc w:val="both"/>
        <w:ind w:left="2060" w:right="839"/>
        <w:spacing w:after="0" w:line="242" w:lineRule="auto"/>
        <w:rPr>
          <w:sz w:val="20"/>
          <w:szCs w:val="20"/>
          <w:color w:val="auto"/>
        </w:rPr>
      </w:pPr>
      <w:r>
        <w:rPr>
          <w:rFonts w:ascii="Arial" w:cs="Arial" w:eastAsia="Arial" w:hAnsi="Arial"/>
          <w:sz w:val="11"/>
          <w:szCs w:val="11"/>
          <w:color w:val="050505"/>
        </w:rPr>
        <w:t>You should read this prospectus and the documents that we reference in this prospectus and have filed with the SEC as exhibits to the registration statement of which this prospectus is a part with the understanding that our actual future results, performance, and events and circumstances may be materially different from what we expect.</w:t>
      </w:r>
    </w:p>
    <w:p>
      <w:pPr>
        <w:spacing w:after="0" w:line="95" w:lineRule="exact"/>
        <w:rPr>
          <w:sz w:val="20"/>
          <w:szCs w:val="20"/>
          <w:color w:val="auto"/>
        </w:rPr>
      </w:pPr>
    </w:p>
    <w:p>
      <w:pPr>
        <w:ind w:left="5680"/>
        <w:spacing w:after="0"/>
        <w:rPr>
          <w:sz w:val="20"/>
          <w:szCs w:val="20"/>
          <w:color w:val="auto"/>
        </w:rPr>
      </w:pPr>
      <w:r>
        <w:rPr>
          <w:rFonts w:ascii="Arial" w:cs="Arial" w:eastAsia="Arial" w:hAnsi="Arial"/>
          <w:sz w:val="11"/>
          <w:szCs w:val="11"/>
          <w:color w:val="050505"/>
        </w:rPr>
        <w:t>47</w:t>
      </w:r>
    </w:p>
    <w:p>
      <w:pPr>
        <w:sectPr>
          <w:pgSz w:w="11900" w:h="16838" w:orient="portrait"/>
          <w:cols w:equalWidth="0" w:num="1">
            <w:col w:w="10239"/>
          </w:cols>
          <w:pgMar w:left="220" w:top="354" w:right="1440" w:bottom="1440" w:gutter="0" w:footer="0" w:header="0"/>
        </w:sectPr>
      </w:pPr>
    </w:p>
    <w:bookmarkStart w:id="52" w:name="page53"/>
    <w:bookmarkEnd w:id="52"/>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hyperlink w:anchor="page5">
        <w:r>
          <w:rPr>
            <w:rFonts w:ascii="Arial" w:cs="Arial" w:eastAsia="Arial" w:hAnsi="Arial"/>
            <w:sz w:val="12"/>
            <w:szCs w:val="12"/>
            <w:b w:val="1"/>
            <w:bCs w:val="1"/>
            <w:u w:val="single" w:color="auto"/>
            <w:color w:val="0000EE"/>
          </w:rPr>
          <w:t>Table of Contents</w:t>
        </w:r>
      </w:hyperlink>
    </w:p>
    <w:p>
      <w:pPr>
        <w:spacing w:after="0" w:line="200" w:lineRule="exact"/>
        <w:rPr>
          <w:sz w:val="20"/>
          <w:szCs w:val="20"/>
          <w:color w:val="auto"/>
        </w:rPr>
      </w:pPr>
    </w:p>
    <w:p>
      <w:pPr>
        <w:jc w:val="center"/>
        <w:ind w:right="-1220"/>
        <w:spacing w:after="0"/>
        <w:rPr>
          <w:sz w:val="20"/>
          <w:szCs w:val="20"/>
          <w:color w:val="auto"/>
        </w:rPr>
      </w:pPr>
      <w:r>
        <w:rPr>
          <w:rFonts w:ascii="Arial" w:cs="Arial" w:eastAsia="Arial" w:hAnsi="Arial"/>
          <w:sz w:val="12"/>
          <w:szCs w:val="12"/>
          <w:b w:val="1"/>
          <w:bCs w:val="1"/>
          <w:color w:val="auto"/>
        </w:rPr>
        <w:t>INDUSTRY AND MARKET DATA</w:t>
      </w:r>
    </w:p>
    <w:p>
      <w:pPr>
        <w:spacing w:after="0" w:line="157" w:lineRule="exact"/>
        <w:rPr>
          <w:sz w:val="20"/>
          <w:szCs w:val="20"/>
          <w:color w:val="auto"/>
        </w:rPr>
      </w:pPr>
    </w:p>
    <w:p>
      <w:pPr>
        <w:jc w:val="both"/>
        <w:ind w:left="2060" w:right="839"/>
        <w:spacing w:after="0"/>
        <w:rPr>
          <w:sz w:val="20"/>
          <w:szCs w:val="20"/>
          <w:color w:val="auto"/>
        </w:rPr>
      </w:pPr>
      <w:r>
        <w:rPr>
          <w:rFonts w:ascii="Arial" w:cs="Arial" w:eastAsia="Arial" w:hAnsi="Arial"/>
          <w:sz w:val="11"/>
          <w:szCs w:val="11"/>
          <w:color w:val="050505"/>
        </w:rPr>
        <w:t>Unless otherwise indicated, information contained in this prospectus concerning our industry and the markets in which we operate, including our general expectations, market position, market opportunity, and market size, is based on information from various sources, including our own estimates, as well as assumptions that we have made that are based on such data and other similar sources, and on our knowledge of the market for our products and services. This information involves a number of assumptions and limitations, and you are cautioned not to give undue weight to such estimates. While we believe the market position, market opportunity, and market size information included in this prospectus is generally reliable, information of this sort is inherently imprecise. In addition, projections, assumptions, and estimates of our future performance and the future performance of the industry in which we operate is necessarily subject to a high degree of uncertainty and risk due to a variety of factors, including those described in the section titled “Risk Factors” and elsewhere in this prospectus. These and other factors could cause results to differ materially from those expressed in the estimates made by the independent parties and by us.</w:t>
      </w:r>
    </w:p>
    <w:p>
      <w:pPr>
        <w:spacing w:after="0" w:line="141" w:lineRule="exact"/>
        <w:rPr>
          <w:sz w:val="20"/>
          <w:szCs w:val="20"/>
          <w:color w:val="auto"/>
        </w:rPr>
      </w:pPr>
    </w:p>
    <w:p>
      <w:pPr>
        <w:jc w:val="both"/>
        <w:ind w:left="2060" w:right="839"/>
        <w:spacing w:after="0" w:line="245" w:lineRule="auto"/>
        <w:rPr>
          <w:sz w:val="20"/>
          <w:szCs w:val="20"/>
          <w:color w:val="auto"/>
        </w:rPr>
      </w:pPr>
      <w:r>
        <w:rPr>
          <w:rFonts w:ascii="Arial" w:cs="Arial" w:eastAsia="Arial" w:hAnsi="Arial"/>
          <w:sz w:val="11"/>
          <w:szCs w:val="11"/>
          <w:color w:val="050505"/>
        </w:rPr>
        <w:t>This prospectus contains statistical data, estimates, and forecasts that are based on industry publications or reports generated by third-party providers, or other publicly available information, as well as other information based on internal estimates.</w:t>
      </w:r>
    </w:p>
    <w:p>
      <w:pPr>
        <w:spacing w:after="0" w:line="138" w:lineRule="exact"/>
        <w:rPr>
          <w:sz w:val="20"/>
          <w:szCs w:val="20"/>
          <w:color w:val="auto"/>
        </w:rPr>
      </w:pPr>
    </w:p>
    <w:p>
      <w:pPr>
        <w:ind w:left="2060"/>
        <w:spacing w:after="0"/>
        <w:rPr>
          <w:sz w:val="20"/>
          <w:szCs w:val="20"/>
          <w:color w:val="auto"/>
        </w:rPr>
      </w:pPr>
      <w:r>
        <w:rPr>
          <w:rFonts w:ascii="Arial" w:cs="Arial" w:eastAsia="Arial" w:hAnsi="Arial"/>
          <w:sz w:val="11"/>
          <w:szCs w:val="11"/>
          <w:color w:val="050505"/>
        </w:rPr>
        <w:t>The sources of certain statistical data, estimates, and forecasts contained in this prospectus are provided below:</w:t>
      </w:r>
    </w:p>
    <w:p>
      <w:pPr>
        <w:spacing w:after="0" w:line="152" w:lineRule="exact"/>
        <w:rPr>
          <w:sz w:val="20"/>
          <w:szCs w:val="20"/>
          <w:color w:val="auto"/>
        </w:rPr>
      </w:pPr>
    </w:p>
    <w:p>
      <w:pPr>
        <w:ind w:left="2560" w:hanging="141"/>
        <w:spacing w:after="0"/>
        <w:tabs>
          <w:tab w:leader="none" w:pos="2560" w:val="left"/>
        </w:tabs>
        <w:numPr>
          <w:ilvl w:val="0"/>
          <w:numId w:val="27"/>
        </w:numPr>
        <w:rPr>
          <w:rFonts w:ascii="Arial" w:cs="Arial" w:eastAsia="Arial" w:hAnsi="Arial"/>
          <w:sz w:val="11"/>
          <w:szCs w:val="11"/>
          <w:color w:val="F7323F"/>
        </w:rPr>
      </w:pPr>
      <w:r>
        <w:rPr>
          <w:rFonts w:ascii="Arial" w:cs="Arial" w:eastAsia="Arial" w:hAnsi="Arial"/>
          <w:sz w:val="11"/>
          <w:szCs w:val="11"/>
          <w:color w:val="050505"/>
        </w:rPr>
        <w:t xml:space="preserve">Global Wellness Institute, </w:t>
      </w:r>
      <w:r>
        <w:rPr>
          <w:rFonts w:ascii="Arial" w:cs="Arial" w:eastAsia="Arial" w:hAnsi="Arial"/>
          <w:sz w:val="11"/>
          <w:szCs w:val="11"/>
          <w:i w:val="1"/>
          <w:iCs w:val="1"/>
          <w:color w:val="050505"/>
        </w:rPr>
        <w:t>Wellness Now a $4.2 Trillion Global Industry</w:t>
      </w:r>
      <w:r>
        <w:rPr>
          <w:rFonts w:ascii="Arial" w:cs="Arial" w:eastAsia="Arial" w:hAnsi="Arial"/>
          <w:sz w:val="11"/>
          <w:szCs w:val="11"/>
          <w:color w:val="050505"/>
        </w:rPr>
        <w:t>, October 2018.</w:t>
      </w:r>
    </w:p>
    <w:p>
      <w:pPr>
        <w:spacing w:after="0" w:line="53" w:lineRule="exact"/>
        <w:rPr>
          <w:rFonts w:ascii="Arial" w:cs="Arial" w:eastAsia="Arial" w:hAnsi="Arial"/>
          <w:sz w:val="11"/>
          <w:szCs w:val="11"/>
          <w:color w:val="F7323F"/>
        </w:rPr>
      </w:pPr>
    </w:p>
    <w:p>
      <w:pPr>
        <w:ind w:left="2560" w:right="839" w:hanging="141"/>
        <w:spacing w:after="0" w:line="264" w:lineRule="auto"/>
        <w:tabs>
          <w:tab w:leader="none" w:pos="2560" w:val="left"/>
        </w:tabs>
        <w:numPr>
          <w:ilvl w:val="0"/>
          <w:numId w:val="27"/>
        </w:numPr>
        <w:rPr>
          <w:rFonts w:ascii="Arial" w:cs="Arial" w:eastAsia="Arial" w:hAnsi="Arial"/>
          <w:sz w:val="11"/>
          <w:szCs w:val="11"/>
          <w:color w:val="F7323F"/>
        </w:rPr>
      </w:pPr>
      <w:r>
        <w:rPr>
          <w:rFonts w:ascii="Arial" w:cs="Arial" w:eastAsia="Arial" w:hAnsi="Arial"/>
          <w:sz w:val="11"/>
          <w:szCs w:val="11"/>
          <w:color w:val="050505"/>
        </w:rPr>
        <w:t xml:space="preserve">Kagan, a media research group of S&amp;P Global Market Intelligence, </w:t>
      </w:r>
      <w:r>
        <w:rPr>
          <w:rFonts w:ascii="Arial" w:cs="Arial" w:eastAsia="Arial" w:hAnsi="Arial"/>
          <w:sz w:val="11"/>
          <w:szCs w:val="11"/>
          <w:i w:val="1"/>
          <w:iCs w:val="1"/>
          <w:color w:val="050505"/>
        </w:rPr>
        <w:t>Kagan Data Services: Economics of Mobile Music 2018 Edition</w:t>
      </w:r>
      <w:r>
        <w:rPr>
          <w:rFonts w:ascii="Arial" w:cs="Arial" w:eastAsia="Arial" w:hAnsi="Arial"/>
          <w:sz w:val="11"/>
          <w:szCs w:val="11"/>
          <w:color w:val="050505"/>
        </w:rPr>
        <w:t>, November 2018.</w:t>
      </w:r>
    </w:p>
    <w:p>
      <w:pPr>
        <w:spacing w:after="0" w:line="27" w:lineRule="exact"/>
        <w:rPr>
          <w:rFonts w:ascii="Arial" w:cs="Arial" w:eastAsia="Arial" w:hAnsi="Arial"/>
          <w:sz w:val="11"/>
          <w:szCs w:val="11"/>
          <w:color w:val="F7323F"/>
        </w:rPr>
      </w:pPr>
    </w:p>
    <w:p>
      <w:pPr>
        <w:ind w:left="2560" w:hanging="141"/>
        <w:spacing w:after="0"/>
        <w:tabs>
          <w:tab w:leader="none" w:pos="2560" w:val="left"/>
        </w:tabs>
        <w:numPr>
          <w:ilvl w:val="0"/>
          <w:numId w:val="27"/>
        </w:numPr>
        <w:rPr>
          <w:rFonts w:ascii="Arial" w:cs="Arial" w:eastAsia="Arial" w:hAnsi="Arial"/>
          <w:sz w:val="11"/>
          <w:szCs w:val="11"/>
          <w:color w:val="F7323F"/>
        </w:rPr>
      </w:pPr>
      <w:r>
        <w:rPr>
          <w:rFonts w:ascii="Arial" w:cs="Arial" w:eastAsia="Arial" w:hAnsi="Arial"/>
          <w:sz w:val="11"/>
          <w:szCs w:val="11"/>
          <w:color w:val="050505"/>
        </w:rPr>
        <w:t xml:space="preserve">Kagan, a media research group of S&amp;P Global Market Intelligence, </w:t>
      </w:r>
      <w:r>
        <w:rPr>
          <w:rFonts w:ascii="Arial" w:cs="Arial" w:eastAsia="Arial" w:hAnsi="Arial"/>
          <w:sz w:val="11"/>
          <w:szCs w:val="11"/>
          <w:i w:val="1"/>
          <w:iCs w:val="1"/>
          <w:color w:val="050505"/>
        </w:rPr>
        <w:t>U.S. Online Video Projections Through 2028</w:t>
      </w:r>
      <w:r>
        <w:rPr>
          <w:rFonts w:ascii="Arial" w:cs="Arial" w:eastAsia="Arial" w:hAnsi="Arial"/>
          <w:sz w:val="11"/>
          <w:szCs w:val="11"/>
          <w:color w:val="050505"/>
        </w:rPr>
        <w:t>, August 2018.</w:t>
      </w:r>
    </w:p>
    <w:p>
      <w:pPr>
        <w:spacing w:after="0" w:line="53" w:lineRule="exact"/>
        <w:rPr>
          <w:rFonts w:ascii="Arial" w:cs="Arial" w:eastAsia="Arial" w:hAnsi="Arial"/>
          <w:sz w:val="11"/>
          <w:szCs w:val="11"/>
          <w:color w:val="F7323F"/>
        </w:rPr>
      </w:pPr>
    </w:p>
    <w:p>
      <w:pPr>
        <w:ind w:left="2560" w:hanging="141"/>
        <w:spacing w:after="0"/>
        <w:tabs>
          <w:tab w:leader="none" w:pos="2560" w:val="left"/>
        </w:tabs>
        <w:numPr>
          <w:ilvl w:val="0"/>
          <w:numId w:val="27"/>
        </w:numPr>
        <w:rPr>
          <w:rFonts w:ascii="Arial" w:cs="Arial" w:eastAsia="Arial" w:hAnsi="Arial"/>
          <w:sz w:val="11"/>
          <w:szCs w:val="11"/>
          <w:color w:val="F7323F"/>
        </w:rPr>
      </w:pPr>
      <w:r>
        <w:rPr>
          <w:rFonts w:ascii="Arial" w:cs="Arial" w:eastAsia="Arial" w:hAnsi="Arial"/>
          <w:sz w:val="11"/>
          <w:szCs w:val="11"/>
          <w:color w:val="050505"/>
        </w:rPr>
        <w:t xml:space="preserve">National Business Group on Health, </w:t>
      </w:r>
      <w:r>
        <w:rPr>
          <w:rFonts w:ascii="Arial" w:cs="Arial" w:eastAsia="Arial" w:hAnsi="Arial"/>
          <w:sz w:val="11"/>
          <w:szCs w:val="11"/>
          <w:i w:val="1"/>
          <w:iCs w:val="1"/>
          <w:color w:val="050505"/>
        </w:rPr>
        <w:t>Companies Expand Well-Being Programs and Increase Financial Incentives</w:t>
      </w:r>
      <w:r>
        <w:rPr>
          <w:rFonts w:ascii="Arial" w:cs="Arial" w:eastAsia="Arial" w:hAnsi="Arial"/>
          <w:sz w:val="11"/>
          <w:szCs w:val="11"/>
          <w:color w:val="050505"/>
        </w:rPr>
        <w:t>, April 2017.</w:t>
      </w:r>
    </w:p>
    <w:p>
      <w:pPr>
        <w:spacing w:after="0" w:line="53" w:lineRule="exact"/>
        <w:rPr>
          <w:rFonts w:ascii="Arial" w:cs="Arial" w:eastAsia="Arial" w:hAnsi="Arial"/>
          <w:sz w:val="11"/>
          <w:szCs w:val="11"/>
          <w:color w:val="F7323F"/>
        </w:rPr>
      </w:pPr>
    </w:p>
    <w:p>
      <w:pPr>
        <w:ind w:left="2560" w:hanging="141"/>
        <w:spacing w:after="0"/>
        <w:tabs>
          <w:tab w:leader="none" w:pos="2560" w:val="left"/>
        </w:tabs>
        <w:numPr>
          <w:ilvl w:val="0"/>
          <w:numId w:val="27"/>
        </w:numPr>
        <w:rPr>
          <w:rFonts w:ascii="Arial" w:cs="Arial" w:eastAsia="Arial" w:hAnsi="Arial"/>
          <w:sz w:val="11"/>
          <w:szCs w:val="11"/>
          <w:color w:val="F7323F"/>
        </w:rPr>
      </w:pPr>
      <w:r>
        <w:rPr>
          <w:rFonts w:ascii="Arial" w:cs="Arial" w:eastAsia="Arial" w:hAnsi="Arial"/>
          <w:sz w:val="11"/>
          <w:szCs w:val="11"/>
          <w:color w:val="050505"/>
        </w:rPr>
        <w:t xml:space="preserve">Pew Research Center, </w:t>
      </w:r>
      <w:r>
        <w:rPr>
          <w:rFonts w:ascii="Arial" w:cs="Arial" w:eastAsia="Arial" w:hAnsi="Arial"/>
          <w:sz w:val="11"/>
          <w:szCs w:val="11"/>
          <w:i w:val="1"/>
          <w:iCs w:val="1"/>
          <w:color w:val="050505"/>
        </w:rPr>
        <w:t>7 Facts About American Dads</w:t>
      </w:r>
      <w:r>
        <w:rPr>
          <w:rFonts w:ascii="Arial" w:cs="Arial" w:eastAsia="Arial" w:hAnsi="Arial"/>
          <w:sz w:val="11"/>
          <w:szCs w:val="11"/>
          <w:color w:val="050505"/>
        </w:rPr>
        <w:t>, June 2018.</w:t>
      </w:r>
    </w:p>
    <w:p>
      <w:pPr>
        <w:spacing w:after="0" w:line="53" w:lineRule="exact"/>
        <w:rPr>
          <w:rFonts w:ascii="Arial" w:cs="Arial" w:eastAsia="Arial" w:hAnsi="Arial"/>
          <w:sz w:val="11"/>
          <w:szCs w:val="11"/>
          <w:color w:val="F7323F"/>
        </w:rPr>
      </w:pPr>
    </w:p>
    <w:p>
      <w:pPr>
        <w:ind w:left="2560" w:right="839" w:hanging="141"/>
        <w:spacing w:after="0" w:line="264" w:lineRule="auto"/>
        <w:tabs>
          <w:tab w:leader="none" w:pos="2560" w:val="left"/>
        </w:tabs>
        <w:numPr>
          <w:ilvl w:val="0"/>
          <w:numId w:val="27"/>
        </w:numPr>
        <w:rPr>
          <w:rFonts w:ascii="Arial" w:cs="Arial" w:eastAsia="Arial" w:hAnsi="Arial"/>
          <w:sz w:val="11"/>
          <w:szCs w:val="11"/>
          <w:color w:val="F7323F"/>
        </w:rPr>
      </w:pPr>
      <w:r>
        <w:rPr>
          <w:rFonts w:ascii="Arial" w:cs="Arial" w:eastAsia="Arial" w:hAnsi="Arial"/>
          <w:sz w:val="11"/>
          <w:szCs w:val="11"/>
          <w:color w:val="050505"/>
        </w:rPr>
        <w:t xml:space="preserve">The following reports from The International Health, Racquet &amp; Sportsclub Association: </w:t>
      </w:r>
      <w:r>
        <w:rPr>
          <w:rFonts w:ascii="Arial" w:cs="Arial" w:eastAsia="Arial" w:hAnsi="Arial"/>
          <w:sz w:val="11"/>
          <w:szCs w:val="11"/>
          <w:i w:val="1"/>
          <w:iCs w:val="1"/>
          <w:color w:val="050505"/>
        </w:rPr>
        <w:t>The 2019 IHRSA Global Report, the 2018 IHRSA</w:t>
      </w:r>
      <w:r>
        <w:rPr>
          <w:rFonts w:ascii="Arial" w:cs="Arial" w:eastAsia="Arial" w:hAnsi="Arial"/>
          <w:sz w:val="11"/>
          <w:szCs w:val="11"/>
          <w:color w:val="050505"/>
        </w:rPr>
        <w:t xml:space="preserve"> </w:t>
      </w:r>
      <w:r>
        <w:rPr>
          <w:rFonts w:ascii="Arial" w:cs="Arial" w:eastAsia="Arial" w:hAnsi="Arial"/>
          <w:sz w:val="11"/>
          <w:szCs w:val="11"/>
          <w:i w:val="1"/>
          <w:iCs w:val="1"/>
          <w:color w:val="050505"/>
        </w:rPr>
        <w:t>Health Club Consumer Report</w:t>
      </w:r>
      <w:r>
        <w:rPr>
          <w:rFonts w:ascii="Arial" w:cs="Arial" w:eastAsia="Arial" w:hAnsi="Arial"/>
          <w:sz w:val="11"/>
          <w:szCs w:val="11"/>
          <w:color w:val="050505"/>
        </w:rPr>
        <w:t>,</w:t>
      </w:r>
      <w:r>
        <w:rPr>
          <w:rFonts w:ascii="Arial" w:cs="Arial" w:eastAsia="Arial" w:hAnsi="Arial"/>
          <w:sz w:val="11"/>
          <w:szCs w:val="11"/>
          <w:i w:val="1"/>
          <w:iCs w:val="1"/>
          <w:color w:val="050505"/>
        </w:rPr>
        <w:t xml:space="preserve"> 2018 IHRSA Global Report</w:t>
      </w:r>
      <w:r>
        <w:rPr>
          <w:rFonts w:ascii="Arial" w:cs="Arial" w:eastAsia="Arial" w:hAnsi="Arial"/>
          <w:sz w:val="11"/>
          <w:szCs w:val="11"/>
          <w:color w:val="050505"/>
        </w:rPr>
        <w:t>,</w:t>
      </w:r>
      <w:r>
        <w:rPr>
          <w:rFonts w:ascii="Arial" w:cs="Arial" w:eastAsia="Arial" w:hAnsi="Arial"/>
          <w:sz w:val="11"/>
          <w:szCs w:val="11"/>
          <w:i w:val="1"/>
          <w:iCs w:val="1"/>
          <w:color w:val="050505"/>
        </w:rPr>
        <w:t xml:space="preserve"> IHRSA’s Guide to the Boutique Studio</w:t>
      </w:r>
      <w:r>
        <w:rPr>
          <w:rFonts w:ascii="Arial" w:cs="Arial" w:eastAsia="Arial" w:hAnsi="Arial"/>
          <w:sz w:val="11"/>
          <w:szCs w:val="11"/>
          <w:color w:val="050505"/>
        </w:rPr>
        <w:t>, and</w:t>
      </w:r>
      <w:r>
        <w:rPr>
          <w:rFonts w:ascii="Arial" w:cs="Arial" w:eastAsia="Arial" w:hAnsi="Arial"/>
          <w:sz w:val="11"/>
          <w:szCs w:val="11"/>
          <w:i w:val="1"/>
          <w:iCs w:val="1"/>
          <w:color w:val="050505"/>
        </w:rPr>
        <w:t xml:space="preserve"> 2009 IHRSA Global Report</w:t>
      </w:r>
      <w:r>
        <w:rPr>
          <w:rFonts w:ascii="Arial" w:cs="Arial" w:eastAsia="Arial" w:hAnsi="Arial"/>
          <w:sz w:val="11"/>
          <w:szCs w:val="11"/>
          <w:color w:val="050505"/>
        </w:rPr>
        <w:t>.</w:t>
      </w:r>
    </w:p>
    <w:p>
      <w:pPr>
        <w:spacing w:after="0" w:line="128" w:lineRule="exact"/>
        <w:rPr>
          <w:sz w:val="20"/>
          <w:szCs w:val="20"/>
          <w:color w:val="auto"/>
        </w:rPr>
      </w:pPr>
    </w:p>
    <w:p>
      <w:pPr>
        <w:jc w:val="both"/>
        <w:ind w:left="2060" w:right="839"/>
        <w:spacing w:after="0" w:line="239" w:lineRule="auto"/>
        <w:rPr>
          <w:sz w:val="20"/>
          <w:szCs w:val="20"/>
          <w:color w:val="auto"/>
        </w:rPr>
      </w:pPr>
      <w:r>
        <w:rPr>
          <w:rFonts w:ascii="Arial" w:cs="Arial" w:eastAsia="Arial" w:hAnsi="Arial"/>
          <w:sz w:val="11"/>
          <w:szCs w:val="11"/>
          <w:color w:val="050505"/>
        </w:rPr>
        <w:t>Statistics and estimates related to our TAM and SAM are based on internal reports conducted with the assistance of our third-party marketing partner, Directions Research, Inc. In order to determine our TAM and SAM, we conducted an online survey of consumers across the United States, the United Kingdom, Germany, and Canada, surveying over 1,000 consumers in each market. Consumers who qualified for our study were (i) between the ages of 18 and 70 years old and (ii) had self-reported household annual pre-tax incomes of $50,000 or more, or the foreign equivalent. Consumer responses to the survey were used as the basis for determining our TAM and SAM by weighting such responses to population censuses based on age and/or income. To calculate our TAM, we multiplied the percentage of respondents who reported having broadband internet and being open to subscription fitness by total households represented in the survey, and then weighted the response based on the relevant population censuses. To calculate our SAM, we measured the percentage of the TAM population who expressed interest in purchasing products within one of our existing categories. To better estimate a respondent’s likelihood to purchase one of our Connected Fitness Products, we made certain downward adjustments based on industry probability purchase assumptions, to account for conflicting responses from individual respondents, and where a respondent’s response relating to how much he or she would pay for a Peloton product was below the mean stated price by one standard deviation or more. Once each respondent’s probability of purchasing each product was determined, we weighted the responses based on the relevant population. We calculate the expected SAM for our product portfolio by multiplying the average weighted purchase probability for each product by the total country TAM.</w:t>
      </w:r>
    </w:p>
    <w:p>
      <w:pPr>
        <w:spacing w:after="0" w:line="146" w:lineRule="exact"/>
        <w:rPr>
          <w:sz w:val="20"/>
          <w:szCs w:val="20"/>
          <w:color w:val="auto"/>
        </w:rPr>
      </w:pPr>
    </w:p>
    <w:p>
      <w:pPr>
        <w:jc w:val="both"/>
        <w:ind w:left="2060" w:right="839"/>
        <w:spacing w:after="0" w:line="241" w:lineRule="auto"/>
        <w:rPr>
          <w:sz w:val="20"/>
          <w:szCs w:val="20"/>
          <w:color w:val="auto"/>
        </w:rPr>
      </w:pPr>
      <w:r>
        <w:rPr>
          <w:rFonts w:ascii="Arial" w:cs="Arial" w:eastAsia="Arial" w:hAnsi="Arial"/>
          <w:sz w:val="11"/>
          <w:szCs w:val="11"/>
          <w:color w:val="050505"/>
        </w:rPr>
        <w:t>Certain monetary amounts, percentages, and other figures included elsewhere in this prospectus have been subject to rounding adjustments. Accordingly, figures shown as totals in certain tables or charts may not be the arithmetic aggregation of the figures that precede them, and figures expressed as percentages in the text may not total 100% or, as applicable, when aggregated may not be the arithmetic aggregation of the percentages that precede them.</w:t>
      </w:r>
    </w:p>
    <w:p>
      <w:pPr>
        <w:spacing w:after="0" w:line="95" w:lineRule="exact"/>
        <w:rPr>
          <w:sz w:val="20"/>
          <w:szCs w:val="20"/>
          <w:color w:val="auto"/>
        </w:rPr>
      </w:pPr>
    </w:p>
    <w:p>
      <w:pPr>
        <w:ind w:left="5680"/>
        <w:spacing w:after="0"/>
        <w:rPr>
          <w:sz w:val="20"/>
          <w:szCs w:val="20"/>
          <w:color w:val="auto"/>
        </w:rPr>
      </w:pPr>
      <w:r>
        <w:rPr>
          <w:rFonts w:ascii="Arial" w:cs="Arial" w:eastAsia="Arial" w:hAnsi="Arial"/>
          <w:sz w:val="11"/>
          <w:szCs w:val="11"/>
          <w:color w:val="050505"/>
        </w:rPr>
        <w:t>48</w:t>
      </w:r>
    </w:p>
    <w:p>
      <w:pPr>
        <w:sectPr>
          <w:pgSz w:w="11900" w:h="16838" w:orient="portrait"/>
          <w:cols w:equalWidth="0" w:num="1">
            <w:col w:w="10239"/>
          </w:cols>
          <w:pgMar w:left="220" w:top="354" w:right="1440" w:bottom="1440" w:gutter="0" w:footer="0" w:header="0"/>
        </w:sectPr>
      </w:pPr>
    </w:p>
    <w:bookmarkStart w:id="53" w:name="page54"/>
    <w:bookmarkEnd w:id="53"/>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hyperlink w:anchor="page5">
        <w:r>
          <w:rPr>
            <w:rFonts w:ascii="Arial" w:cs="Arial" w:eastAsia="Arial" w:hAnsi="Arial"/>
            <w:sz w:val="12"/>
            <w:szCs w:val="12"/>
            <w:b w:val="1"/>
            <w:bCs w:val="1"/>
            <w:u w:val="single" w:color="auto"/>
            <w:color w:val="0000EE"/>
          </w:rPr>
          <w:t>Table of Contents</w:t>
        </w:r>
      </w:hyperlink>
    </w:p>
    <w:p>
      <w:pPr>
        <w:spacing w:after="0" w:line="200" w:lineRule="exact"/>
        <w:rPr>
          <w:sz w:val="20"/>
          <w:szCs w:val="20"/>
          <w:color w:val="auto"/>
        </w:rPr>
      </w:pPr>
    </w:p>
    <w:p>
      <w:pPr>
        <w:jc w:val="center"/>
        <w:ind w:right="-1220"/>
        <w:spacing w:after="0"/>
        <w:rPr>
          <w:sz w:val="20"/>
          <w:szCs w:val="20"/>
          <w:color w:val="auto"/>
        </w:rPr>
      </w:pPr>
      <w:r>
        <w:rPr>
          <w:rFonts w:ascii="Arial" w:cs="Arial" w:eastAsia="Arial" w:hAnsi="Arial"/>
          <w:sz w:val="12"/>
          <w:szCs w:val="12"/>
          <w:b w:val="1"/>
          <w:bCs w:val="1"/>
          <w:color w:val="auto"/>
        </w:rPr>
        <w:t>USE OF PROCEEDS</w:t>
      </w:r>
    </w:p>
    <w:p>
      <w:pPr>
        <w:spacing w:after="0" w:line="157" w:lineRule="exact"/>
        <w:rPr>
          <w:sz w:val="20"/>
          <w:szCs w:val="20"/>
          <w:color w:val="auto"/>
        </w:rPr>
      </w:pPr>
    </w:p>
    <w:p>
      <w:pPr>
        <w:jc w:val="both"/>
        <w:ind w:left="2060" w:right="839"/>
        <w:spacing w:after="0" w:line="242" w:lineRule="auto"/>
        <w:rPr>
          <w:sz w:val="20"/>
          <w:szCs w:val="20"/>
          <w:color w:val="auto"/>
        </w:rPr>
      </w:pPr>
      <w:r>
        <w:rPr>
          <w:rFonts w:ascii="Arial" w:cs="Arial" w:eastAsia="Arial" w:hAnsi="Arial"/>
          <w:sz w:val="11"/>
          <w:szCs w:val="11"/>
          <w:color w:val="050505"/>
        </w:rPr>
        <w:t>We estimate that the net proceeds from the sale of 43,448,275 shares of our Class A common stock in this offering and the private placement at the initial public offering price of $29.00 per share and after deducting the underwriting discount and estimated offering expenses, will be approximately $1.2 billion, or $1.4 billion if the underwriters’ option to purchase additional shares is exercised in full.</w:t>
      </w:r>
    </w:p>
    <w:p>
      <w:pPr>
        <w:spacing w:after="0" w:line="140" w:lineRule="exact"/>
        <w:rPr>
          <w:sz w:val="20"/>
          <w:szCs w:val="20"/>
          <w:color w:val="auto"/>
        </w:rPr>
      </w:pPr>
    </w:p>
    <w:p>
      <w:pPr>
        <w:jc w:val="both"/>
        <w:ind w:left="2060" w:right="839"/>
        <w:spacing w:after="0"/>
        <w:rPr>
          <w:sz w:val="20"/>
          <w:szCs w:val="20"/>
          <w:color w:val="auto"/>
        </w:rPr>
      </w:pPr>
      <w:r>
        <w:rPr>
          <w:rFonts w:ascii="Arial" w:cs="Arial" w:eastAsia="Arial" w:hAnsi="Arial"/>
          <w:sz w:val="11"/>
          <w:szCs w:val="11"/>
          <w:color w:val="050505"/>
        </w:rPr>
        <w:t>The principal purposes of this offering and the private placement are to increase our capitalization and financial flexibility, create a public market for our Class A common stock, and enable access to the public equity markets for us and our stockholders. We primarily intend to use the net proceeds that we receive from this offering and the private placement for working capital and other general corporate purposes, which may include research and development and sales and marketing activities, general and administrative matters, and capital expenditures. We may also use a portion of the proceeds for the acquisition of, or investment in, technologies, solutions, or businesses that complement our business. However, we do not have binding agreements or commitments for any acquisitions or investments outside the ordinary course of business at this time.</w:t>
      </w:r>
    </w:p>
    <w:p>
      <w:pPr>
        <w:spacing w:after="0" w:line="142" w:lineRule="exact"/>
        <w:rPr>
          <w:sz w:val="20"/>
          <w:szCs w:val="20"/>
          <w:color w:val="auto"/>
        </w:rPr>
      </w:pPr>
    </w:p>
    <w:p>
      <w:pPr>
        <w:jc w:val="both"/>
        <w:ind w:left="2060" w:right="839"/>
        <w:spacing w:after="0" w:line="242" w:lineRule="auto"/>
        <w:rPr>
          <w:sz w:val="20"/>
          <w:szCs w:val="20"/>
          <w:color w:val="auto"/>
        </w:rPr>
      </w:pPr>
      <w:r>
        <w:rPr>
          <w:rFonts w:ascii="Arial" w:cs="Arial" w:eastAsia="Arial" w:hAnsi="Arial"/>
          <w:sz w:val="11"/>
          <w:szCs w:val="11"/>
          <w:color w:val="050505"/>
        </w:rPr>
        <w:t>We will have broad discretion over the uses of the net proceeds of this offering and the private placement. Pending these uses, we intend to invest the net proceeds from this offering and the private placement in short-term, investment-grade interest-bearing securities such as money market accounts, certificates of deposit, commercial paper, and guaranteed obligations of the U.S. government.</w:t>
      </w:r>
    </w:p>
    <w:p>
      <w:pPr>
        <w:spacing w:after="0" w:line="196" w:lineRule="exact"/>
        <w:rPr>
          <w:sz w:val="20"/>
          <w:szCs w:val="20"/>
          <w:color w:val="auto"/>
        </w:rPr>
      </w:pPr>
    </w:p>
    <w:p>
      <w:pPr>
        <w:jc w:val="center"/>
        <w:ind w:right="-1220"/>
        <w:spacing w:after="0"/>
        <w:rPr>
          <w:sz w:val="20"/>
          <w:szCs w:val="20"/>
          <w:color w:val="auto"/>
        </w:rPr>
      </w:pPr>
      <w:r>
        <w:rPr>
          <w:rFonts w:ascii="Arial" w:cs="Arial" w:eastAsia="Arial" w:hAnsi="Arial"/>
          <w:sz w:val="12"/>
          <w:szCs w:val="12"/>
          <w:b w:val="1"/>
          <w:bCs w:val="1"/>
          <w:color w:val="auto"/>
        </w:rPr>
        <w:t>DIVIDEND POLICY</w:t>
      </w:r>
    </w:p>
    <w:p>
      <w:pPr>
        <w:spacing w:after="0" w:line="157" w:lineRule="exact"/>
        <w:rPr>
          <w:sz w:val="20"/>
          <w:szCs w:val="20"/>
          <w:color w:val="auto"/>
        </w:rPr>
      </w:pPr>
    </w:p>
    <w:p>
      <w:pPr>
        <w:jc w:val="both"/>
        <w:ind w:left="2060" w:right="839"/>
        <w:spacing w:after="0"/>
        <w:rPr>
          <w:sz w:val="20"/>
          <w:szCs w:val="20"/>
          <w:color w:val="auto"/>
        </w:rPr>
      </w:pPr>
      <w:r>
        <w:rPr>
          <w:rFonts w:ascii="Arial" w:cs="Arial" w:eastAsia="Arial" w:hAnsi="Arial"/>
          <w:sz w:val="11"/>
          <w:szCs w:val="11"/>
          <w:color w:val="050505"/>
        </w:rPr>
        <w:t>We have never declared or paid cash dividends on our capital stock. We currently intend to retain all available funds and any future earnings for use in the operation of our business and do not anticipate paying any dividends on our capital stock in the foreseeable future. Any future determination to declare dividends will be made at the discretion of our board of directors and will depend on our financial condition, operating results, capital requirements, general business conditions, and other factors that our board of directors may deem relevant. In addition, our Credit Agreement contains restrictions on our ability to pay cash dividends on our capital stock. See the section titled “Management’s Discussion and Analysis of Financial Condition and Results of Operations—Liquidity and Capital Resources” for additional information.</w:t>
      </w:r>
    </w:p>
    <w:p>
      <w:pPr>
        <w:spacing w:after="0" w:line="97" w:lineRule="exact"/>
        <w:rPr>
          <w:sz w:val="20"/>
          <w:szCs w:val="20"/>
          <w:color w:val="auto"/>
        </w:rPr>
      </w:pPr>
    </w:p>
    <w:p>
      <w:pPr>
        <w:ind w:left="5680"/>
        <w:spacing w:after="0"/>
        <w:rPr>
          <w:sz w:val="20"/>
          <w:szCs w:val="20"/>
          <w:color w:val="auto"/>
        </w:rPr>
      </w:pPr>
      <w:r>
        <w:rPr>
          <w:rFonts w:ascii="Arial" w:cs="Arial" w:eastAsia="Arial" w:hAnsi="Arial"/>
          <w:sz w:val="11"/>
          <w:szCs w:val="11"/>
          <w:color w:val="050505"/>
        </w:rPr>
        <w:t>49</w:t>
      </w:r>
    </w:p>
    <w:p>
      <w:pPr>
        <w:sectPr>
          <w:pgSz w:w="11900" w:h="16838" w:orient="portrait"/>
          <w:cols w:equalWidth="0" w:num="1">
            <w:col w:w="10239"/>
          </w:cols>
          <w:pgMar w:left="220" w:top="354" w:right="1440" w:bottom="1440" w:gutter="0" w:footer="0" w:header="0"/>
        </w:sectPr>
      </w:pPr>
    </w:p>
    <w:bookmarkStart w:id="54" w:name="page55"/>
    <w:bookmarkEnd w:id="54"/>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hyperlink w:anchor="page5">
        <w:r>
          <w:rPr>
            <w:rFonts w:ascii="Arial" w:cs="Arial" w:eastAsia="Arial" w:hAnsi="Arial"/>
            <w:sz w:val="12"/>
            <w:szCs w:val="12"/>
            <w:b w:val="1"/>
            <w:bCs w:val="1"/>
            <w:u w:val="single" w:color="auto"/>
            <w:color w:val="0000EE"/>
          </w:rPr>
          <w:t>Table of Contents</w:t>
        </w:r>
      </w:hyperlink>
    </w:p>
    <w:p>
      <w:pPr>
        <w:spacing w:after="0" w:line="200" w:lineRule="exact"/>
        <w:rPr>
          <w:sz w:val="20"/>
          <w:szCs w:val="20"/>
          <w:color w:val="auto"/>
        </w:rPr>
      </w:pPr>
    </w:p>
    <w:p>
      <w:pPr>
        <w:ind w:left="5240"/>
        <w:spacing w:after="0"/>
        <w:rPr>
          <w:sz w:val="20"/>
          <w:szCs w:val="20"/>
          <w:color w:val="auto"/>
        </w:rPr>
      </w:pPr>
      <w:r>
        <w:rPr>
          <w:rFonts w:ascii="Arial" w:cs="Arial" w:eastAsia="Arial" w:hAnsi="Arial"/>
          <w:sz w:val="12"/>
          <w:szCs w:val="12"/>
          <w:b w:val="1"/>
          <w:bCs w:val="1"/>
          <w:color w:val="auto"/>
        </w:rPr>
        <w:t>CAPITALIZATION</w:t>
      </w:r>
    </w:p>
    <w:p>
      <w:pPr>
        <w:spacing w:after="0" w:line="85" w:lineRule="exact"/>
        <w:rPr>
          <w:sz w:val="20"/>
          <w:szCs w:val="20"/>
          <w:color w:val="auto"/>
        </w:rPr>
      </w:pPr>
    </w:p>
    <w:p>
      <w:pPr>
        <w:ind w:left="2060"/>
        <w:spacing w:after="0"/>
        <w:rPr>
          <w:sz w:val="20"/>
          <w:szCs w:val="20"/>
          <w:color w:val="auto"/>
        </w:rPr>
      </w:pPr>
      <w:r>
        <w:rPr>
          <w:rFonts w:ascii="Arial" w:cs="Arial" w:eastAsia="Arial" w:hAnsi="Arial"/>
          <w:sz w:val="11"/>
          <w:szCs w:val="11"/>
          <w:color w:val="050505"/>
        </w:rPr>
        <w:t>The following table sets forth our cash and cash equivalents and capitalization as of June 30, 2019 on:</w:t>
      </w:r>
    </w:p>
    <w:p>
      <w:pPr>
        <w:spacing w:after="0" w:line="45" w:lineRule="exact"/>
        <w:rPr>
          <w:sz w:val="20"/>
          <w:szCs w:val="20"/>
          <w:color w:val="auto"/>
        </w:rPr>
      </w:pPr>
    </w:p>
    <w:p>
      <w:pPr>
        <w:ind w:left="2420" w:hanging="217"/>
        <w:spacing w:after="0"/>
        <w:tabs>
          <w:tab w:leader="none" w:pos="2420" w:val="left"/>
        </w:tabs>
        <w:numPr>
          <w:ilvl w:val="0"/>
          <w:numId w:val="28"/>
        </w:numPr>
        <w:rPr>
          <w:rFonts w:ascii="Arial" w:cs="Arial" w:eastAsia="Arial" w:hAnsi="Arial"/>
          <w:sz w:val="11"/>
          <w:szCs w:val="11"/>
          <w:color w:val="F7323F"/>
        </w:rPr>
      </w:pPr>
      <w:r>
        <w:rPr>
          <w:rFonts w:ascii="Arial" w:cs="Arial" w:eastAsia="Arial" w:hAnsi="Arial"/>
          <w:sz w:val="11"/>
          <w:szCs w:val="11"/>
          <w:color w:val="050505"/>
        </w:rPr>
        <w:t>an actual basis;</w:t>
      </w:r>
    </w:p>
    <w:p>
      <w:pPr>
        <w:spacing w:after="0" w:line="44" w:lineRule="exact"/>
        <w:rPr>
          <w:rFonts w:ascii="Arial" w:cs="Arial" w:eastAsia="Arial" w:hAnsi="Arial"/>
          <w:sz w:val="11"/>
          <w:szCs w:val="11"/>
          <w:color w:val="F7323F"/>
        </w:rPr>
      </w:pPr>
    </w:p>
    <w:p>
      <w:pPr>
        <w:jc w:val="both"/>
        <w:ind w:left="2420" w:right="839" w:hanging="217"/>
        <w:spacing w:after="0" w:line="242" w:lineRule="auto"/>
        <w:tabs>
          <w:tab w:leader="none" w:pos="2420" w:val="left"/>
        </w:tabs>
        <w:numPr>
          <w:ilvl w:val="0"/>
          <w:numId w:val="28"/>
        </w:numPr>
        <w:rPr>
          <w:rFonts w:ascii="Arial" w:cs="Arial" w:eastAsia="Arial" w:hAnsi="Arial"/>
          <w:sz w:val="11"/>
          <w:szCs w:val="11"/>
          <w:color w:val="F7323F"/>
        </w:rPr>
      </w:pPr>
      <w:r>
        <w:rPr>
          <w:rFonts w:ascii="Arial" w:cs="Arial" w:eastAsia="Arial" w:hAnsi="Arial"/>
          <w:sz w:val="11"/>
          <w:szCs w:val="11"/>
          <w:color w:val="050505"/>
        </w:rPr>
        <w:t>a pro forma basis to give effect to (1) the redesignation of our outstanding common stock as Class B common stock in September 2019, (2) the automatic conversion of all outstanding shares of our redeemable convertible preferred stock outstanding as of June 30, 2019 into 210,640,629 shares of our Class B common stock, and (3) the filing and effectiveness of our restated certificate of incorporation; and</w:t>
      </w:r>
    </w:p>
    <w:p>
      <w:pPr>
        <w:spacing w:after="0" w:line="40" w:lineRule="exact"/>
        <w:rPr>
          <w:rFonts w:ascii="Arial" w:cs="Arial" w:eastAsia="Arial" w:hAnsi="Arial"/>
          <w:sz w:val="11"/>
          <w:szCs w:val="11"/>
          <w:color w:val="F7323F"/>
        </w:rPr>
      </w:pPr>
    </w:p>
    <w:p>
      <w:pPr>
        <w:jc w:val="both"/>
        <w:ind w:left="2420" w:right="839" w:hanging="217"/>
        <w:spacing w:after="0" w:line="242" w:lineRule="auto"/>
        <w:tabs>
          <w:tab w:leader="none" w:pos="2420" w:val="left"/>
        </w:tabs>
        <w:numPr>
          <w:ilvl w:val="0"/>
          <w:numId w:val="28"/>
        </w:numPr>
        <w:rPr>
          <w:rFonts w:ascii="Arial" w:cs="Arial" w:eastAsia="Arial" w:hAnsi="Arial"/>
          <w:sz w:val="11"/>
          <w:szCs w:val="11"/>
          <w:color w:val="F7323F"/>
        </w:rPr>
      </w:pPr>
      <w:r>
        <w:rPr>
          <w:rFonts w:ascii="Arial" w:cs="Arial" w:eastAsia="Arial" w:hAnsi="Arial"/>
          <w:sz w:val="11"/>
          <w:szCs w:val="11"/>
          <w:color w:val="050505"/>
        </w:rPr>
        <w:t>a pro forma as adjusted basis to give effect to the adjustments described above as well as the sale and issuance by us of 43,448,275 shares of our Class A common stock offered in this offering and the private placement at the initial public offering price of $29.00 per share and after deducting the underwriting discount and estimated offering expenses.</w:t>
      </w:r>
    </w:p>
    <w:p>
      <w:pPr>
        <w:spacing w:after="0" w:line="68" w:lineRule="exact"/>
        <w:rPr>
          <w:sz w:val="20"/>
          <w:szCs w:val="20"/>
          <w:color w:val="auto"/>
        </w:rPr>
      </w:pPr>
    </w:p>
    <w:p>
      <w:pPr>
        <w:jc w:val="both"/>
        <w:ind w:left="2060" w:right="839"/>
        <w:spacing w:after="0" w:line="242" w:lineRule="auto"/>
        <w:rPr>
          <w:sz w:val="20"/>
          <w:szCs w:val="20"/>
          <w:color w:val="auto"/>
        </w:rPr>
      </w:pPr>
      <w:r>
        <w:rPr>
          <w:rFonts w:ascii="Arial" w:cs="Arial" w:eastAsia="Arial" w:hAnsi="Arial"/>
          <w:sz w:val="11"/>
          <w:szCs w:val="11"/>
          <w:color w:val="050505"/>
        </w:rPr>
        <w:t>You should read this table together with our consolidated financial statements and related notes, and the sections titled “Selected Consolidated Financial and Other Data” and “Management’s Discussion and Analysis of Financial Condition and Results of Operations,” each included elsewhere in this prospectus.</w:t>
      </w:r>
    </w:p>
    <w:p>
      <w:pPr>
        <w:spacing w:after="0" w:line="65" w:lineRule="exact"/>
        <w:rPr>
          <w:sz w:val="20"/>
          <w:szCs w:val="20"/>
          <w:color w:val="auto"/>
        </w:rPr>
      </w:pPr>
    </w:p>
    <w:tbl>
      <w:tblPr>
        <w:tblLayout w:type="fixed"/>
        <w:tblInd w:w="2060" w:type="dxa"/>
        <w:tblCellMar>
          <w:top w:w="0" w:type="dxa"/>
          <w:left w:w="0" w:type="dxa"/>
          <w:bottom w:w="0" w:type="dxa"/>
          <w:right w:w="0" w:type="dxa"/>
        </w:tblCellMar>
      </w:tblPr>
      <w:tr>
        <w:trPr>
          <w:trHeight w:val="137"/>
        </w:trPr>
        <w:tc>
          <w:tcPr>
            <w:tcW w:w="440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080" w:type="dxa"/>
            <w:vAlign w:val="bottom"/>
            <w:tcBorders>
              <w:bottom w:val="single" w:sz="8" w:color="auto"/>
            </w:tcBorders>
            <w:gridSpan w:val="4"/>
          </w:tcPr>
          <w:p>
            <w:pPr>
              <w:jc w:val="center"/>
              <w:spacing w:after="0"/>
              <w:rPr>
                <w:sz w:val="20"/>
                <w:szCs w:val="20"/>
                <w:color w:val="auto"/>
              </w:rPr>
            </w:pPr>
            <w:r>
              <w:rPr>
                <w:rFonts w:ascii="Arial" w:cs="Arial" w:eastAsia="Arial" w:hAnsi="Arial"/>
                <w:sz w:val="11"/>
                <w:szCs w:val="11"/>
                <w:b w:val="1"/>
                <w:bCs w:val="1"/>
                <w:color w:val="050505"/>
                <w:w w:val="97"/>
              </w:rPr>
              <w:t>As of June 30, 2019</w:t>
            </w:r>
          </w:p>
        </w:tc>
        <w:tc>
          <w:tcPr>
            <w:tcW w:w="12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r>
      <w:tr>
        <w:trPr>
          <w:trHeight w:val="103"/>
        </w:trPr>
        <w:tc>
          <w:tcPr>
            <w:tcW w:w="44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780" w:type="dxa"/>
            <w:vAlign w:val="bottom"/>
          </w:tcPr>
          <w:p>
            <w:pPr>
              <w:jc w:val="right"/>
              <w:ind w:right="26"/>
              <w:spacing w:after="0" w:line="103" w:lineRule="exact"/>
              <w:rPr>
                <w:sz w:val="20"/>
                <w:szCs w:val="20"/>
                <w:color w:val="auto"/>
              </w:rPr>
            </w:pPr>
            <w:r>
              <w:rPr>
                <w:rFonts w:ascii="Arial" w:cs="Arial" w:eastAsia="Arial" w:hAnsi="Arial"/>
                <w:sz w:val="11"/>
                <w:szCs w:val="11"/>
                <w:b w:val="1"/>
                <w:bCs w:val="1"/>
                <w:color w:val="050505"/>
                <w:w w:val="96"/>
              </w:rPr>
              <w:t>Pro Forma as</w:t>
            </w:r>
          </w:p>
        </w:tc>
        <w:tc>
          <w:tcPr>
            <w:tcW w:w="80" w:type="dxa"/>
            <w:vAlign w:val="bottom"/>
          </w:tcPr>
          <w:p>
            <w:pPr>
              <w:spacing w:after="0"/>
              <w:rPr>
                <w:sz w:val="8"/>
                <w:szCs w:val="8"/>
                <w:color w:val="auto"/>
              </w:rPr>
            </w:pPr>
          </w:p>
        </w:tc>
      </w:tr>
      <w:tr>
        <w:trPr>
          <w:trHeight w:val="138"/>
        </w:trPr>
        <w:tc>
          <w:tcPr>
            <w:tcW w:w="4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gridSpan w:val="2"/>
          </w:tcPr>
          <w:p>
            <w:pPr>
              <w:jc w:val="right"/>
              <w:ind w:right="340"/>
              <w:spacing w:after="0"/>
              <w:rPr>
                <w:sz w:val="20"/>
                <w:szCs w:val="20"/>
                <w:color w:val="auto"/>
              </w:rPr>
            </w:pPr>
            <w:r>
              <w:rPr>
                <w:rFonts w:ascii="Arial" w:cs="Arial" w:eastAsia="Arial" w:hAnsi="Arial"/>
                <w:sz w:val="11"/>
                <w:szCs w:val="11"/>
                <w:b w:val="1"/>
                <w:bCs w:val="1"/>
                <w:color w:val="050505"/>
              </w:rPr>
              <w:t>Actual</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050505"/>
                <w:w w:val="98"/>
              </w:rPr>
              <w:t>Pro Forma</w:t>
            </w:r>
          </w:p>
        </w:tc>
        <w:tc>
          <w:tcPr>
            <w:tcW w:w="120" w:type="dxa"/>
            <w:vAlign w:val="bottom"/>
          </w:tcPr>
          <w:p>
            <w:pPr>
              <w:spacing w:after="0"/>
              <w:rPr>
                <w:sz w:val="12"/>
                <w:szCs w:val="12"/>
                <w:color w:val="auto"/>
              </w:rPr>
            </w:pPr>
          </w:p>
        </w:tc>
        <w:tc>
          <w:tcPr>
            <w:tcW w:w="860" w:type="dxa"/>
            <w:vAlign w:val="bottom"/>
            <w:gridSpan w:val="2"/>
          </w:tcPr>
          <w:p>
            <w:pPr>
              <w:jc w:val="right"/>
              <w:ind w:right="240"/>
              <w:spacing w:after="0" w:line="138" w:lineRule="exact"/>
              <w:rPr>
                <w:sz w:val="20"/>
                <w:szCs w:val="20"/>
                <w:color w:val="auto"/>
              </w:rPr>
            </w:pPr>
            <w:r>
              <w:rPr>
                <w:rFonts w:ascii="Arial" w:cs="Arial" w:eastAsia="Arial" w:hAnsi="Arial"/>
                <w:sz w:val="10"/>
                <w:szCs w:val="10"/>
                <w:b w:val="1"/>
                <w:bCs w:val="1"/>
                <w:color w:val="050505"/>
              </w:rPr>
              <w:t>Adjusted</w:t>
            </w:r>
            <w:r>
              <w:rPr>
                <w:rFonts w:ascii="Arial" w:cs="Arial" w:eastAsia="Arial" w:hAnsi="Arial"/>
                <w:sz w:val="16"/>
                <w:szCs w:val="16"/>
                <w:b w:val="1"/>
                <w:bCs w:val="1"/>
                <w:color w:val="050505"/>
                <w:vertAlign w:val="superscript"/>
              </w:rPr>
              <w:t>(1)</w:t>
            </w:r>
          </w:p>
        </w:tc>
      </w:tr>
      <w:tr>
        <w:trPr>
          <w:trHeight w:val="104"/>
        </w:trPr>
        <w:tc>
          <w:tcPr>
            <w:tcW w:w="4400" w:type="dxa"/>
            <w:vAlign w:val="bottom"/>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68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860" w:type="dxa"/>
            <w:vAlign w:val="bottom"/>
            <w:tcBorders>
              <w:top w:val="single" w:sz="8" w:color="auto"/>
            </w:tcBorders>
            <w:gridSpan w:val="2"/>
          </w:tcPr>
          <w:p>
            <w:pPr>
              <w:jc w:val="center"/>
              <w:ind w:right="220"/>
              <w:spacing w:after="0" w:line="105" w:lineRule="exact"/>
              <w:rPr>
                <w:sz w:val="20"/>
                <w:szCs w:val="20"/>
                <w:color w:val="auto"/>
              </w:rPr>
            </w:pPr>
            <w:r>
              <w:rPr>
                <w:rFonts w:ascii="Arial" w:cs="Arial" w:eastAsia="Arial" w:hAnsi="Arial"/>
                <w:sz w:val="11"/>
                <w:szCs w:val="11"/>
                <w:b w:val="1"/>
                <w:bCs w:val="1"/>
                <w:color w:val="050505"/>
              </w:rPr>
              <w:t>(unaudited)</w:t>
            </w:r>
          </w:p>
        </w:tc>
        <w:tc>
          <w:tcPr>
            <w:tcW w:w="120" w:type="dxa"/>
            <w:vAlign w:val="bottom"/>
            <w:tcBorders>
              <w:top w:val="single" w:sz="8" w:color="auto"/>
            </w:tcBorders>
          </w:tcPr>
          <w:p>
            <w:pPr>
              <w:spacing w:after="0"/>
              <w:rPr>
                <w:sz w:val="9"/>
                <w:szCs w:val="9"/>
                <w:color w:val="auto"/>
              </w:rPr>
            </w:pPr>
          </w:p>
        </w:tc>
        <w:tc>
          <w:tcPr>
            <w:tcW w:w="78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r>
      <w:tr>
        <w:trPr>
          <w:trHeight w:val="137"/>
        </w:trPr>
        <w:tc>
          <w:tcPr>
            <w:tcW w:w="4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820" w:type="dxa"/>
            <w:vAlign w:val="bottom"/>
            <w:gridSpan w:val="9"/>
          </w:tcPr>
          <w:p>
            <w:pPr>
              <w:jc w:val="center"/>
              <w:ind w:right="220"/>
              <w:spacing w:after="0"/>
              <w:rPr>
                <w:sz w:val="20"/>
                <w:szCs w:val="20"/>
                <w:color w:val="auto"/>
              </w:rPr>
            </w:pPr>
            <w:r>
              <w:rPr>
                <w:rFonts w:ascii="Arial" w:cs="Arial" w:eastAsia="Arial" w:hAnsi="Arial"/>
                <w:sz w:val="11"/>
                <w:szCs w:val="11"/>
                <w:b w:val="1"/>
                <w:bCs w:val="1"/>
                <w:color w:val="050505"/>
                <w:w w:val="98"/>
              </w:rPr>
              <w:t>(in millions, except share and per share data)</w:t>
            </w:r>
          </w:p>
        </w:tc>
      </w:tr>
      <w:tr>
        <w:trPr>
          <w:trHeight w:val="133"/>
        </w:trPr>
        <w:tc>
          <w:tcPr>
            <w:tcW w:w="4400" w:type="dxa"/>
            <w:vAlign w:val="bottom"/>
            <w:shd w:val="clear" w:color="auto" w:fill="CCEEFF"/>
          </w:tcPr>
          <w:p>
            <w:pPr>
              <w:ind w:left="40"/>
              <w:spacing w:after="0"/>
              <w:rPr>
                <w:sz w:val="20"/>
                <w:szCs w:val="20"/>
                <w:color w:val="auto"/>
              </w:rPr>
            </w:pPr>
            <w:r>
              <w:rPr>
                <w:rFonts w:ascii="Arial" w:cs="Arial" w:eastAsia="Arial" w:hAnsi="Arial"/>
                <w:sz w:val="11"/>
                <w:szCs w:val="11"/>
                <w:color w:val="050505"/>
              </w:rPr>
              <w:t>Cash and cash equivalents</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050505"/>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1"/>
                <w:szCs w:val="11"/>
                <w:color w:val="050505"/>
              </w:rPr>
              <w:t>162.1</w:t>
            </w:r>
          </w:p>
        </w:tc>
        <w:tc>
          <w:tcPr>
            <w:tcW w:w="80" w:type="dxa"/>
            <w:vAlign w:val="bottom"/>
            <w:shd w:val="clear" w:color="auto" w:fill="CCEEFF"/>
          </w:tcPr>
          <w:p>
            <w:pPr>
              <w:spacing w:after="0"/>
              <w:rPr>
                <w:sz w:val="11"/>
                <w:szCs w:val="11"/>
                <w:color w:val="auto"/>
              </w:rPr>
            </w:pP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1"/>
                <w:szCs w:val="11"/>
                <w:color w:val="050505"/>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1"/>
                <w:szCs w:val="11"/>
                <w:color w:val="050505"/>
              </w:rPr>
              <w:t>162.1</w:t>
            </w:r>
          </w:p>
        </w:tc>
        <w:tc>
          <w:tcPr>
            <w:tcW w:w="160" w:type="dxa"/>
            <w:vAlign w:val="bottom"/>
            <w:shd w:val="clear" w:color="auto" w:fill="CCEEFF"/>
          </w:tcPr>
          <w:p>
            <w:pPr>
              <w:spacing w:after="0"/>
              <w:rPr>
                <w:sz w:val="11"/>
                <w:szCs w:val="11"/>
                <w:color w:val="auto"/>
              </w:rPr>
            </w:pPr>
          </w:p>
        </w:tc>
        <w:tc>
          <w:tcPr>
            <w:tcW w:w="1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1"/>
                <w:szCs w:val="11"/>
                <w:color w:val="050505"/>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1"/>
                <w:szCs w:val="11"/>
                <w:color w:val="050505"/>
              </w:rPr>
              <w:t>1,358.1</w:t>
            </w:r>
          </w:p>
        </w:tc>
        <w:tc>
          <w:tcPr>
            <w:tcW w:w="80" w:type="dxa"/>
            <w:vAlign w:val="bottom"/>
            <w:shd w:val="clear" w:color="auto" w:fill="CCEEFF"/>
          </w:tcPr>
          <w:p>
            <w:pPr>
              <w:spacing w:after="0"/>
              <w:rPr>
                <w:sz w:val="11"/>
                <w:szCs w:val="11"/>
                <w:color w:val="auto"/>
              </w:rPr>
            </w:pPr>
          </w:p>
        </w:tc>
      </w:tr>
      <w:tr>
        <w:trPr>
          <w:trHeight w:val="136"/>
        </w:trPr>
        <w:tc>
          <w:tcPr>
            <w:tcW w:w="4400" w:type="dxa"/>
            <w:vAlign w:val="bottom"/>
          </w:tcPr>
          <w:p>
            <w:pPr>
              <w:ind w:left="40"/>
              <w:spacing w:after="0"/>
              <w:rPr>
                <w:sz w:val="20"/>
                <w:szCs w:val="20"/>
                <w:color w:val="auto"/>
              </w:rPr>
            </w:pPr>
            <w:r>
              <w:rPr>
                <w:rFonts w:ascii="Arial" w:cs="Arial" w:eastAsia="Arial" w:hAnsi="Arial"/>
                <w:sz w:val="11"/>
                <w:szCs w:val="11"/>
                <w:color w:val="050505"/>
              </w:rPr>
              <w:t>Redeemable convertible preferred stock, $0.000025 par</w:t>
            </w:r>
          </w:p>
        </w:tc>
        <w:tc>
          <w:tcPr>
            <w:tcW w:w="14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r>
      <w:tr>
        <w:trPr>
          <w:trHeight w:val="126"/>
        </w:trPr>
        <w:tc>
          <w:tcPr>
            <w:tcW w:w="4400" w:type="dxa"/>
            <w:vAlign w:val="bottom"/>
          </w:tcPr>
          <w:p>
            <w:pPr>
              <w:ind w:left="160"/>
              <w:spacing w:after="0"/>
              <w:rPr>
                <w:sz w:val="20"/>
                <w:szCs w:val="20"/>
                <w:color w:val="auto"/>
              </w:rPr>
            </w:pPr>
            <w:r>
              <w:rPr>
                <w:rFonts w:ascii="Arial" w:cs="Arial" w:eastAsia="Arial" w:hAnsi="Arial"/>
                <w:sz w:val="11"/>
                <w:szCs w:val="11"/>
                <w:color w:val="050505"/>
              </w:rPr>
              <w:t>value per share: 215,443,468 shares authorized,</w:t>
            </w: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0" w:type="dxa"/>
            <w:vAlign w:val="bottom"/>
          </w:tcPr>
          <w:p>
            <w:pPr>
              <w:spacing w:after="0"/>
              <w:rPr>
                <w:sz w:val="10"/>
                <w:szCs w:val="10"/>
                <w:color w:val="auto"/>
              </w:rPr>
            </w:pPr>
          </w:p>
        </w:tc>
      </w:tr>
      <w:tr>
        <w:trPr>
          <w:trHeight w:val="126"/>
        </w:trPr>
        <w:tc>
          <w:tcPr>
            <w:tcW w:w="4400" w:type="dxa"/>
            <w:vAlign w:val="bottom"/>
          </w:tcPr>
          <w:p>
            <w:pPr>
              <w:ind w:left="160"/>
              <w:spacing w:after="0"/>
              <w:rPr>
                <w:sz w:val="20"/>
                <w:szCs w:val="20"/>
                <w:color w:val="auto"/>
              </w:rPr>
            </w:pPr>
            <w:r>
              <w:rPr>
                <w:rFonts w:ascii="Arial" w:cs="Arial" w:eastAsia="Arial" w:hAnsi="Arial"/>
                <w:sz w:val="11"/>
                <w:szCs w:val="11"/>
                <w:color w:val="050505"/>
              </w:rPr>
              <w:t>210,640,629 shares issued and outstanding, actual; zero</w:t>
            </w: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0" w:type="dxa"/>
            <w:vAlign w:val="bottom"/>
          </w:tcPr>
          <w:p>
            <w:pPr>
              <w:spacing w:after="0"/>
              <w:rPr>
                <w:sz w:val="10"/>
                <w:szCs w:val="10"/>
                <w:color w:val="auto"/>
              </w:rPr>
            </w:pPr>
          </w:p>
        </w:tc>
      </w:tr>
      <w:tr>
        <w:trPr>
          <w:trHeight w:val="126"/>
        </w:trPr>
        <w:tc>
          <w:tcPr>
            <w:tcW w:w="4400" w:type="dxa"/>
            <w:vAlign w:val="bottom"/>
          </w:tcPr>
          <w:p>
            <w:pPr>
              <w:ind w:left="160"/>
              <w:spacing w:after="0"/>
              <w:rPr>
                <w:sz w:val="20"/>
                <w:szCs w:val="20"/>
                <w:color w:val="auto"/>
              </w:rPr>
            </w:pPr>
            <w:r>
              <w:rPr>
                <w:rFonts w:ascii="Arial" w:cs="Arial" w:eastAsia="Arial" w:hAnsi="Arial"/>
                <w:sz w:val="11"/>
                <w:szCs w:val="11"/>
                <w:color w:val="050505"/>
              </w:rPr>
              <w:t>shares authorized, issued, and outstanding, pro forma and</w:t>
            </w: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0" w:type="dxa"/>
            <w:vAlign w:val="bottom"/>
          </w:tcPr>
          <w:p>
            <w:pPr>
              <w:spacing w:after="0"/>
              <w:rPr>
                <w:sz w:val="10"/>
                <w:szCs w:val="10"/>
                <w:color w:val="auto"/>
              </w:rPr>
            </w:pPr>
          </w:p>
        </w:tc>
      </w:tr>
      <w:tr>
        <w:trPr>
          <w:trHeight w:val="125"/>
        </w:trPr>
        <w:tc>
          <w:tcPr>
            <w:tcW w:w="4400" w:type="dxa"/>
            <w:vAlign w:val="bottom"/>
          </w:tcPr>
          <w:p>
            <w:pPr>
              <w:ind w:left="160"/>
              <w:spacing w:after="0" w:line="125" w:lineRule="exact"/>
              <w:rPr>
                <w:sz w:val="20"/>
                <w:szCs w:val="20"/>
                <w:color w:val="auto"/>
              </w:rPr>
            </w:pPr>
            <w:r>
              <w:rPr>
                <w:rFonts w:ascii="Arial" w:cs="Arial" w:eastAsia="Arial" w:hAnsi="Arial"/>
                <w:sz w:val="11"/>
                <w:szCs w:val="11"/>
                <w:color w:val="050505"/>
              </w:rPr>
              <w:t>pro forma as adjusted</w:t>
            </w:r>
          </w:p>
        </w:tc>
        <w:tc>
          <w:tcPr>
            <w:tcW w:w="140" w:type="dxa"/>
            <w:vAlign w:val="bottom"/>
          </w:tcPr>
          <w:p>
            <w:pPr>
              <w:jc w:val="right"/>
              <w:ind w:right="31"/>
              <w:spacing w:after="0"/>
              <w:rPr>
                <w:sz w:val="20"/>
                <w:szCs w:val="20"/>
                <w:color w:val="auto"/>
              </w:rPr>
            </w:pPr>
            <w:r>
              <w:rPr>
                <w:rFonts w:ascii="Arial" w:cs="Arial" w:eastAsia="Arial" w:hAnsi="Arial"/>
                <w:sz w:val="10"/>
                <w:szCs w:val="10"/>
                <w:color w:val="050505"/>
                <w:w w:val="71"/>
              </w:rPr>
              <w:t>$</w:t>
            </w:r>
          </w:p>
        </w:tc>
        <w:tc>
          <w:tcPr>
            <w:tcW w:w="680" w:type="dxa"/>
            <w:vAlign w:val="bottom"/>
          </w:tcPr>
          <w:p>
            <w:pPr>
              <w:jc w:val="right"/>
              <w:spacing w:after="0" w:line="125" w:lineRule="exact"/>
              <w:rPr>
                <w:sz w:val="20"/>
                <w:szCs w:val="20"/>
                <w:color w:val="auto"/>
              </w:rPr>
            </w:pPr>
            <w:r>
              <w:rPr>
                <w:rFonts w:ascii="Arial" w:cs="Arial" w:eastAsia="Arial" w:hAnsi="Arial"/>
                <w:sz w:val="11"/>
                <w:szCs w:val="11"/>
                <w:color w:val="050505"/>
              </w:rPr>
              <w:t>941.1</w:t>
            </w:r>
          </w:p>
        </w:tc>
        <w:tc>
          <w:tcPr>
            <w:tcW w:w="80" w:type="dxa"/>
            <w:vAlign w:val="bottom"/>
          </w:tcPr>
          <w:p>
            <w:pPr>
              <w:spacing w:after="0"/>
              <w:rPr>
                <w:sz w:val="10"/>
                <w:szCs w:val="10"/>
                <w:color w:val="auto"/>
              </w:rPr>
            </w:pPr>
          </w:p>
        </w:tc>
        <w:tc>
          <w:tcPr>
            <w:tcW w:w="220" w:type="dxa"/>
            <w:vAlign w:val="bottom"/>
            <w:gridSpan w:val="2"/>
          </w:tcPr>
          <w:p>
            <w:pPr>
              <w:jc w:val="right"/>
              <w:ind w:right="20"/>
              <w:spacing w:after="0" w:line="125" w:lineRule="exact"/>
              <w:rPr>
                <w:sz w:val="20"/>
                <w:szCs w:val="20"/>
                <w:color w:val="auto"/>
              </w:rPr>
            </w:pPr>
            <w:r>
              <w:rPr>
                <w:rFonts w:ascii="Arial" w:cs="Arial" w:eastAsia="Arial" w:hAnsi="Arial"/>
                <w:sz w:val="11"/>
                <w:szCs w:val="11"/>
                <w:color w:val="050505"/>
              </w:rPr>
              <w:t>$</w:t>
            </w:r>
          </w:p>
        </w:tc>
        <w:tc>
          <w:tcPr>
            <w:tcW w:w="860" w:type="dxa"/>
            <w:vAlign w:val="bottom"/>
            <w:gridSpan w:val="2"/>
          </w:tcPr>
          <w:p>
            <w:pPr>
              <w:jc w:val="right"/>
              <w:ind w:right="160"/>
              <w:spacing w:after="0" w:line="125" w:lineRule="exact"/>
              <w:rPr>
                <w:sz w:val="20"/>
                <w:szCs w:val="20"/>
                <w:color w:val="auto"/>
              </w:rPr>
            </w:pPr>
            <w:r>
              <w:rPr>
                <w:rFonts w:ascii="Arial" w:cs="Arial" w:eastAsia="Arial" w:hAnsi="Arial"/>
                <w:sz w:val="11"/>
                <w:szCs w:val="11"/>
                <w:color w:val="050505"/>
              </w:rPr>
              <w:t>—</w:t>
            </w:r>
          </w:p>
        </w:tc>
        <w:tc>
          <w:tcPr>
            <w:tcW w:w="120" w:type="dxa"/>
            <w:vAlign w:val="bottom"/>
          </w:tcPr>
          <w:p>
            <w:pPr>
              <w:jc w:val="right"/>
              <w:spacing w:after="0" w:line="125" w:lineRule="exact"/>
              <w:rPr>
                <w:sz w:val="20"/>
                <w:szCs w:val="20"/>
                <w:color w:val="auto"/>
              </w:rPr>
            </w:pPr>
            <w:r>
              <w:rPr>
                <w:rFonts w:ascii="Arial" w:cs="Arial" w:eastAsia="Arial" w:hAnsi="Arial"/>
                <w:sz w:val="11"/>
                <w:szCs w:val="11"/>
                <w:color w:val="050505"/>
              </w:rPr>
              <w:t>$</w:t>
            </w:r>
          </w:p>
        </w:tc>
        <w:tc>
          <w:tcPr>
            <w:tcW w:w="860" w:type="dxa"/>
            <w:vAlign w:val="bottom"/>
            <w:gridSpan w:val="2"/>
          </w:tcPr>
          <w:p>
            <w:pPr>
              <w:jc w:val="right"/>
              <w:ind w:right="80"/>
              <w:spacing w:after="0" w:line="125" w:lineRule="exact"/>
              <w:rPr>
                <w:sz w:val="20"/>
                <w:szCs w:val="20"/>
                <w:color w:val="auto"/>
              </w:rPr>
            </w:pPr>
            <w:r>
              <w:rPr>
                <w:rFonts w:ascii="Arial" w:cs="Arial" w:eastAsia="Arial" w:hAnsi="Arial"/>
                <w:sz w:val="11"/>
                <w:szCs w:val="11"/>
                <w:color w:val="050505"/>
              </w:rPr>
              <w:t>—</w:t>
            </w:r>
          </w:p>
        </w:tc>
      </w:tr>
      <w:tr>
        <w:trPr>
          <w:trHeight w:val="126"/>
        </w:trPr>
        <w:tc>
          <w:tcPr>
            <w:tcW w:w="4400" w:type="dxa"/>
            <w:vAlign w:val="bottom"/>
            <w:shd w:val="clear" w:color="auto" w:fill="CCEEFF"/>
          </w:tcPr>
          <w:p>
            <w:pPr>
              <w:ind w:left="40"/>
              <w:spacing w:after="0"/>
              <w:rPr>
                <w:sz w:val="20"/>
                <w:szCs w:val="20"/>
                <w:color w:val="auto"/>
              </w:rPr>
            </w:pPr>
            <w:r>
              <w:rPr>
                <w:rFonts w:ascii="Arial" w:cs="Arial" w:eastAsia="Arial" w:hAnsi="Arial"/>
                <w:sz w:val="11"/>
                <w:szCs w:val="11"/>
                <w:color w:val="050505"/>
              </w:rPr>
              <w:t>Stockholders’ (deficit) equity:</w:t>
            </w:r>
          </w:p>
        </w:tc>
        <w:tc>
          <w:tcPr>
            <w:tcW w:w="14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20" w:type="dxa"/>
            <w:vAlign w:val="bottom"/>
            <w:tcBorders>
              <w:right w:val="single" w:sz="8" w:color="CCEEFF"/>
            </w:tcBorders>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r>
      <w:tr>
        <w:trPr>
          <w:trHeight w:val="127"/>
        </w:trPr>
        <w:tc>
          <w:tcPr>
            <w:tcW w:w="4400" w:type="dxa"/>
            <w:vAlign w:val="bottom"/>
          </w:tcPr>
          <w:p>
            <w:pPr>
              <w:ind w:left="160"/>
              <w:spacing w:after="0"/>
              <w:rPr>
                <w:sz w:val="20"/>
                <w:szCs w:val="20"/>
                <w:color w:val="auto"/>
              </w:rPr>
            </w:pPr>
            <w:r>
              <w:rPr>
                <w:rFonts w:ascii="Arial" w:cs="Arial" w:eastAsia="Arial" w:hAnsi="Arial"/>
                <w:sz w:val="11"/>
                <w:szCs w:val="11"/>
                <w:color w:val="050505"/>
              </w:rPr>
              <w:t>Preferred stock, $0.000025 par value per share: zero shares</w:t>
            </w: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126"/>
        </w:trPr>
        <w:tc>
          <w:tcPr>
            <w:tcW w:w="4400" w:type="dxa"/>
            <w:vAlign w:val="bottom"/>
          </w:tcPr>
          <w:p>
            <w:pPr>
              <w:ind w:left="260"/>
              <w:spacing w:after="0"/>
              <w:rPr>
                <w:sz w:val="20"/>
                <w:szCs w:val="20"/>
                <w:color w:val="auto"/>
              </w:rPr>
            </w:pPr>
            <w:r>
              <w:rPr>
                <w:rFonts w:ascii="Arial" w:cs="Arial" w:eastAsia="Arial" w:hAnsi="Arial"/>
                <w:sz w:val="11"/>
                <w:szCs w:val="11"/>
                <w:color w:val="050505"/>
              </w:rPr>
              <w:t>authorized, issued, and outstanding, actual; 50,000,000 shares authorized,</w:t>
            </w: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0" w:type="dxa"/>
            <w:vAlign w:val="bottom"/>
          </w:tcPr>
          <w:p>
            <w:pPr>
              <w:spacing w:after="0"/>
              <w:rPr>
                <w:sz w:val="10"/>
                <w:szCs w:val="10"/>
                <w:color w:val="auto"/>
              </w:rPr>
            </w:pPr>
          </w:p>
        </w:tc>
      </w:tr>
      <w:tr>
        <w:trPr>
          <w:trHeight w:val="126"/>
        </w:trPr>
        <w:tc>
          <w:tcPr>
            <w:tcW w:w="4400" w:type="dxa"/>
            <w:vAlign w:val="bottom"/>
          </w:tcPr>
          <w:p>
            <w:pPr>
              <w:ind w:left="260"/>
              <w:spacing w:after="0"/>
              <w:rPr>
                <w:sz w:val="20"/>
                <w:szCs w:val="20"/>
                <w:color w:val="auto"/>
              </w:rPr>
            </w:pPr>
            <w:r>
              <w:rPr>
                <w:rFonts w:ascii="Arial" w:cs="Arial" w:eastAsia="Arial" w:hAnsi="Arial"/>
                <w:sz w:val="11"/>
                <w:szCs w:val="11"/>
                <w:color w:val="050505"/>
              </w:rPr>
              <w:t>zero shares issued and outstanding, pro forma</w:t>
            </w: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0" w:type="dxa"/>
            <w:vAlign w:val="bottom"/>
          </w:tcPr>
          <w:p>
            <w:pPr>
              <w:spacing w:after="0"/>
              <w:rPr>
                <w:sz w:val="10"/>
                <w:szCs w:val="10"/>
                <w:color w:val="auto"/>
              </w:rPr>
            </w:pPr>
          </w:p>
        </w:tc>
      </w:tr>
      <w:tr>
        <w:trPr>
          <w:trHeight w:val="125"/>
        </w:trPr>
        <w:tc>
          <w:tcPr>
            <w:tcW w:w="4400" w:type="dxa"/>
            <w:vAlign w:val="bottom"/>
          </w:tcPr>
          <w:p>
            <w:pPr>
              <w:ind w:left="260"/>
              <w:spacing w:after="0" w:line="125" w:lineRule="exact"/>
              <w:rPr>
                <w:sz w:val="20"/>
                <w:szCs w:val="20"/>
                <w:color w:val="auto"/>
              </w:rPr>
            </w:pPr>
            <w:r>
              <w:rPr>
                <w:rFonts w:ascii="Arial" w:cs="Arial" w:eastAsia="Arial" w:hAnsi="Arial"/>
                <w:sz w:val="11"/>
                <w:szCs w:val="11"/>
                <w:color w:val="050505"/>
              </w:rPr>
              <w:t>and pro forma as adjusted</w:t>
            </w:r>
          </w:p>
        </w:tc>
        <w:tc>
          <w:tcPr>
            <w:tcW w:w="140" w:type="dxa"/>
            <w:vAlign w:val="bottom"/>
          </w:tcPr>
          <w:p>
            <w:pPr>
              <w:spacing w:after="0"/>
              <w:rPr>
                <w:sz w:val="10"/>
                <w:szCs w:val="10"/>
                <w:color w:val="auto"/>
              </w:rPr>
            </w:pPr>
          </w:p>
        </w:tc>
        <w:tc>
          <w:tcPr>
            <w:tcW w:w="760" w:type="dxa"/>
            <w:vAlign w:val="bottom"/>
            <w:gridSpan w:val="2"/>
          </w:tcPr>
          <w:p>
            <w:pPr>
              <w:jc w:val="right"/>
              <w:ind w:right="80"/>
              <w:spacing w:after="0" w:line="125" w:lineRule="exact"/>
              <w:rPr>
                <w:sz w:val="20"/>
                <w:szCs w:val="20"/>
                <w:color w:val="auto"/>
              </w:rPr>
            </w:pPr>
            <w:r>
              <w:rPr>
                <w:rFonts w:ascii="Arial" w:cs="Arial" w:eastAsia="Arial" w:hAnsi="Arial"/>
                <w:sz w:val="11"/>
                <w:szCs w:val="11"/>
                <w:color w:val="050505"/>
              </w:rPr>
              <w:t>—</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60" w:type="dxa"/>
            <w:vAlign w:val="bottom"/>
            <w:gridSpan w:val="2"/>
          </w:tcPr>
          <w:p>
            <w:pPr>
              <w:jc w:val="right"/>
              <w:ind w:right="160"/>
              <w:spacing w:after="0" w:line="125" w:lineRule="exact"/>
              <w:rPr>
                <w:sz w:val="20"/>
                <w:szCs w:val="20"/>
                <w:color w:val="auto"/>
              </w:rPr>
            </w:pPr>
            <w:r>
              <w:rPr>
                <w:rFonts w:ascii="Arial" w:cs="Arial" w:eastAsia="Arial" w:hAnsi="Arial"/>
                <w:sz w:val="11"/>
                <w:szCs w:val="11"/>
                <w:color w:val="050505"/>
              </w:rPr>
              <w:t>—</w:t>
            </w:r>
          </w:p>
        </w:tc>
        <w:tc>
          <w:tcPr>
            <w:tcW w:w="120" w:type="dxa"/>
            <w:vAlign w:val="bottom"/>
          </w:tcPr>
          <w:p>
            <w:pPr>
              <w:spacing w:after="0"/>
              <w:rPr>
                <w:sz w:val="10"/>
                <w:szCs w:val="10"/>
                <w:color w:val="auto"/>
              </w:rPr>
            </w:pPr>
          </w:p>
        </w:tc>
        <w:tc>
          <w:tcPr>
            <w:tcW w:w="860" w:type="dxa"/>
            <w:vAlign w:val="bottom"/>
            <w:gridSpan w:val="2"/>
          </w:tcPr>
          <w:p>
            <w:pPr>
              <w:jc w:val="right"/>
              <w:ind w:right="80"/>
              <w:spacing w:after="0" w:line="125" w:lineRule="exact"/>
              <w:rPr>
                <w:sz w:val="20"/>
                <w:szCs w:val="20"/>
                <w:color w:val="auto"/>
              </w:rPr>
            </w:pPr>
            <w:r>
              <w:rPr>
                <w:rFonts w:ascii="Arial" w:cs="Arial" w:eastAsia="Arial" w:hAnsi="Arial"/>
                <w:sz w:val="11"/>
                <w:szCs w:val="11"/>
                <w:color w:val="050505"/>
              </w:rPr>
              <w:t>—</w:t>
            </w:r>
          </w:p>
        </w:tc>
      </w:tr>
      <w:tr>
        <w:trPr>
          <w:trHeight w:val="127"/>
        </w:trPr>
        <w:tc>
          <w:tcPr>
            <w:tcW w:w="4400" w:type="dxa"/>
            <w:vAlign w:val="bottom"/>
            <w:shd w:val="clear" w:color="auto" w:fill="CCEEFF"/>
          </w:tcPr>
          <w:p>
            <w:pPr>
              <w:ind w:left="160"/>
              <w:spacing w:after="0"/>
              <w:rPr>
                <w:sz w:val="20"/>
                <w:szCs w:val="20"/>
                <w:color w:val="auto"/>
              </w:rPr>
            </w:pPr>
            <w:r>
              <w:rPr>
                <w:rFonts w:ascii="Arial" w:cs="Arial" w:eastAsia="Arial" w:hAnsi="Arial"/>
                <w:sz w:val="11"/>
                <w:szCs w:val="11"/>
                <w:color w:val="050505"/>
              </w:rPr>
              <w:t>Common stock, $0.000025 par value per share:</w:t>
            </w: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tcBorders>
              <w:right w:val="single" w:sz="8" w:color="CCEEFF"/>
            </w:tcBorders>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r>
      <w:tr>
        <w:trPr>
          <w:trHeight w:val="126"/>
        </w:trPr>
        <w:tc>
          <w:tcPr>
            <w:tcW w:w="4400" w:type="dxa"/>
            <w:vAlign w:val="bottom"/>
            <w:shd w:val="clear" w:color="auto" w:fill="CCEEFF"/>
          </w:tcPr>
          <w:p>
            <w:pPr>
              <w:ind w:left="260"/>
              <w:spacing w:after="0"/>
              <w:rPr>
                <w:sz w:val="20"/>
                <w:szCs w:val="20"/>
                <w:color w:val="auto"/>
              </w:rPr>
            </w:pPr>
            <w:r>
              <w:rPr>
                <w:rFonts w:ascii="Arial" w:cs="Arial" w:eastAsia="Arial" w:hAnsi="Arial"/>
                <w:sz w:val="11"/>
                <w:szCs w:val="11"/>
                <w:color w:val="050505"/>
              </w:rPr>
              <w:t>400,000,000 shares authorized, 25,301,604 shares</w:t>
            </w:r>
          </w:p>
        </w:tc>
        <w:tc>
          <w:tcPr>
            <w:tcW w:w="14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20" w:type="dxa"/>
            <w:vAlign w:val="bottom"/>
            <w:tcBorders>
              <w:right w:val="single" w:sz="8" w:color="CCEEFF"/>
            </w:tcBorders>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r>
      <w:tr>
        <w:trPr>
          <w:trHeight w:val="126"/>
        </w:trPr>
        <w:tc>
          <w:tcPr>
            <w:tcW w:w="4400" w:type="dxa"/>
            <w:vAlign w:val="bottom"/>
            <w:shd w:val="clear" w:color="auto" w:fill="CCEEFF"/>
          </w:tcPr>
          <w:p>
            <w:pPr>
              <w:ind w:left="260"/>
              <w:spacing w:after="0"/>
              <w:rPr>
                <w:sz w:val="20"/>
                <w:szCs w:val="20"/>
                <w:color w:val="auto"/>
              </w:rPr>
            </w:pPr>
            <w:r>
              <w:rPr>
                <w:rFonts w:ascii="Arial" w:cs="Arial" w:eastAsia="Arial" w:hAnsi="Arial"/>
                <w:sz w:val="11"/>
                <w:szCs w:val="11"/>
                <w:color w:val="050505"/>
              </w:rPr>
              <w:t>issued and outstanding, actual; zero shares authorized, issued and outstanding,</w:t>
            </w:r>
          </w:p>
        </w:tc>
        <w:tc>
          <w:tcPr>
            <w:tcW w:w="14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20" w:type="dxa"/>
            <w:vAlign w:val="bottom"/>
            <w:tcBorders>
              <w:right w:val="single" w:sz="8" w:color="CCEEFF"/>
            </w:tcBorders>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r>
      <w:tr>
        <w:trPr>
          <w:trHeight w:val="125"/>
        </w:trPr>
        <w:tc>
          <w:tcPr>
            <w:tcW w:w="4400" w:type="dxa"/>
            <w:vAlign w:val="bottom"/>
            <w:shd w:val="clear" w:color="auto" w:fill="CCEEFF"/>
          </w:tcPr>
          <w:p>
            <w:pPr>
              <w:ind w:left="260"/>
              <w:spacing w:after="0" w:line="125" w:lineRule="exact"/>
              <w:rPr>
                <w:sz w:val="20"/>
                <w:szCs w:val="20"/>
                <w:color w:val="auto"/>
              </w:rPr>
            </w:pPr>
            <w:r>
              <w:rPr>
                <w:rFonts w:ascii="Arial" w:cs="Arial" w:eastAsia="Arial" w:hAnsi="Arial"/>
                <w:sz w:val="11"/>
                <w:szCs w:val="11"/>
                <w:color w:val="050505"/>
              </w:rPr>
              <w:t>pro forma and pro forma as adjusted</w:t>
            </w:r>
          </w:p>
        </w:tc>
        <w:tc>
          <w:tcPr>
            <w:tcW w:w="140" w:type="dxa"/>
            <w:vAlign w:val="bottom"/>
            <w:shd w:val="clear" w:color="auto" w:fill="CCEEFF"/>
          </w:tcPr>
          <w:p>
            <w:pPr>
              <w:spacing w:after="0"/>
              <w:rPr>
                <w:sz w:val="10"/>
                <w:szCs w:val="10"/>
                <w:color w:val="auto"/>
              </w:rPr>
            </w:pPr>
          </w:p>
        </w:tc>
        <w:tc>
          <w:tcPr>
            <w:tcW w:w="760" w:type="dxa"/>
            <w:vAlign w:val="bottom"/>
            <w:gridSpan w:val="2"/>
            <w:shd w:val="clear" w:color="auto" w:fill="CCEEFF"/>
          </w:tcPr>
          <w:p>
            <w:pPr>
              <w:jc w:val="right"/>
              <w:ind w:right="80"/>
              <w:spacing w:after="0" w:line="125" w:lineRule="exact"/>
              <w:rPr>
                <w:sz w:val="20"/>
                <w:szCs w:val="20"/>
                <w:color w:val="auto"/>
              </w:rPr>
            </w:pPr>
            <w:r>
              <w:rPr>
                <w:rFonts w:ascii="Arial" w:cs="Arial" w:eastAsia="Arial" w:hAnsi="Arial"/>
                <w:sz w:val="11"/>
                <w:szCs w:val="11"/>
                <w:color w:val="050505"/>
              </w:rPr>
              <w:t>—</w:t>
            </w: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60" w:type="dxa"/>
            <w:vAlign w:val="bottom"/>
            <w:gridSpan w:val="2"/>
            <w:shd w:val="clear" w:color="auto" w:fill="CCEEFF"/>
          </w:tcPr>
          <w:p>
            <w:pPr>
              <w:jc w:val="right"/>
              <w:ind w:right="160"/>
              <w:spacing w:after="0" w:line="125" w:lineRule="exact"/>
              <w:rPr>
                <w:sz w:val="20"/>
                <w:szCs w:val="20"/>
                <w:color w:val="auto"/>
              </w:rPr>
            </w:pPr>
            <w:r>
              <w:rPr>
                <w:rFonts w:ascii="Arial" w:cs="Arial" w:eastAsia="Arial" w:hAnsi="Arial"/>
                <w:sz w:val="11"/>
                <w:szCs w:val="11"/>
                <w:color w:val="050505"/>
              </w:rPr>
              <w:t>—</w:t>
            </w:r>
          </w:p>
        </w:tc>
        <w:tc>
          <w:tcPr>
            <w:tcW w:w="120" w:type="dxa"/>
            <w:vAlign w:val="bottom"/>
            <w:tcBorders>
              <w:right w:val="single" w:sz="8" w:color="CCEEFF"/>
            </w:tcBorders>
            <w:shd w:val="clear" w:color="auto" w:fill="CCEEFF"/>
          </w:tcPr>
          <w:p>
            <w:pPr>
              <w:spacing w:after="0"/>
              <w:rPr>
                <w:sz w:val="10"/>
                <w:szCs w:val="10"/>
                <w:color w:val="auto"/>
              </w:rPr>
            </w:pPr>
          </w:p>
        </w:tc>
        <w:tc>
          <w:tcPr>
            <w:tcW w:w="860" w:type="dxa"/>
            <w:vAlign w:val="bottom"/>
            <w:gridSpan w:val="2"/>
            <w:shd w:val="clear" w:color="auto" w:fill="CCEEFF"/>
          </w:tcPr>
          <w:p>
            <w:pPr>
              <w:jc w:val="right"/>
              <w:ind w:right="80"/>
              <w:spacing w:after="0" w:line="125" w:lineRule="exact"/>
              <w:rPr>
                <w:sz w:val="20"/>
                <w:szCs w:val="20"/>
                <w:color w:val="auto"/>
              </w:rPr>
            </w:pPr>
            <w:r>
              <w:rPr>
                <w:rFonts w:ascii="Arial" w:cs="Arial" w:eastAsia="Arial" w:hAnsi="Arial"/>
                <w:sz w:val="11"/>
                <w:szCs w:val="11"/>
                <w:color w:val="050505"/>
              </w:rPr>
              <w:t>—</w:t>
            </w:r>
          </w:p>
        </w:tc>
      </w:tr>
      <w:tr>
        <w:trPr>
          <w:trHeight w:val="127"/>
        </w:trPr>
        <w:tc>
          <w:tcPr>
            <w:tcW w:w="4400" w:type="dxa"/>
            <w:vAlign w:val="bottom"/>
          </w:tcPr>
          <w:p>
            <w:pPr>
              <w:ind w:left="160"/>
              <w:spacing w:after="0"/>
              <w:rPr>
                <w:sz w:val="20"/>
                <w:szCs w:val="20"/>
                <w:color w:val="auto"/>
              </w:rPr>
            </w:pPr>
            <w:r>
              <w:rPr>
                <w:rFonts w:ascii="Arial" w:cs="Arial" w:eastAsia="Arial" w:hAnsi="Arial"/>
                <w:sz w:val="11"/>
                <w:szCs w:val="11"/>
                <w:color w:val="050505"/>
              </w:rPr>
              <w:t>Class A common stock, $0.000025 par value per share: zero</w:t>
            </w: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126"/>
        </w:trPr>
        <w:tc>
          <w:tcPr>
            <w:tcW w:w="4400" w:type="dxa"/>
            <w:vAlign w:val="bottom"/>
          </w:tcPr>
          <w:p>
            <w:pPr>
              <w:ind w:left="260"/>
              <w:spacing w:after="0"/>
              <w:rPr>
                <w:sz w:val="20"/>
                <w:szCs w:val="20"/>
                <w:color w:val="auto"/>
              </w:rPr>
            </w:pPr>
            <w:r>
              <w:rPr>
                <w:rFonts w:ascii="Arial" w:cs="Arial" w:eastAsia="Arial" w:hAnsi="Arial"/>
                <w:sz w:val="11"/>
                <w:szCs w:val="11"/>
                <w:color w:val="050505"/>
              </w:rPr>
              <w:t>shares authorized, issued, and outstanding, actual; 2,500,000,000 shares</w:t>
            </w: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0" w:type="dxa"/>
            <w:vAlign w:val="bottom"/>
          </w:tcPr>
          <w:p>
            <w:pPr>
              <w:spacing w:after="0"/>
              <w:rPr>
                <w:sz w:val="10"/>
                <w:szCs w:val="10"/>
                <w:color w:val="auto"/>
              </w:rPr>
            </w:pPr>
          </w:p>
        </w:tc>
      </w:tr>
      <w:tr>
        <w:trPr>
          <w:trHeight w:val="126"/>
        </w:trPr>
        <w:tc>
          <w:tcPr>
            <w:tcW w:w="4400" w:type="dxa"/>
            <w:vAlign w:val="bottom"/>
          </w:tcPr>
          <w:p>
            <w:pPr>
              <w:ind w:left="260"/>
              <w:spacing w:after="0"/>
              <w:rPr>
                <w:sz w:val="20"/>
                <w:szCs w:val="20"/>
                <w:color w:val="auto"/>
              </w:rPr>
            </w:pPr>
            <w:r>
              <w:rPr>
                <w:rFonts w:ascii="Arial" w:cs="Arial" w:eastAsia="Arial" w:hAnsi="Arial"/>
                <w:sz w:val="11"/>
                <w:szCs w:val="11"/>
                <w:color w:val="050505"/>
              </w:rPr>
              <w:t>authorized, zero shares issued and outstanding, pro forma; 2,500,000,000 shares</w:t>
            </w: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0" w:type="dxa"/>
            <w:vAlign w:val="bottom"/>
          </w:tcPr>
          <w:p>
            <w:pPr>
              <w:spacing w:after="0"/>
              <w:rPr>
                <w:sz w:val="10"/>
                <w:szCs w:val="10"/>
                <w:color w:val="auto"/>
              </w:rPr>
            </w:pPr>
          </w:p>
        </w:tc>
      </w:tr>
      <w:tr>
        <w:trPr>
          <w:trHeight w:val="125"/>
        </w:trPr>
        <w:tc>
          <w:tcPr>
            <w:tcW w:w="4400" w:type="dxa"/>
            <w:vAlign w:val="bottom"/>
          </w:tcPr>
          <w:p>
            <w:pPr>
              <w:ind w:left="260"/>
              <w:spacing w:after="0" w:line="125" w:lineRule="exact"/>
              <w:rPr>
                <w:sz w:val="20"/>
                <w:szCs w:val="20"/>
                <w:color w:val="auto"/>
              </w:rPr>
            </w:pPr>
            <w:r>
              <w:rPr>
                <w:rFonts w:ascii="Arial" w:cs="Arial" w:eastAsia="Arial" w:hAnsi="Arial"/>
                <w:sz w:val="11"/>
                <w:szCs w:val="11"/>
                <w:color w:val="050505"/>
              </w:rPr>
              <w:t>authorized, 43,448,275 shares issued and outstanding, pro forma as adjusted</w:t>
            </w:r>
          </w:p>
        </w:tc>
        <w:tc>
          <w:tcPr>
            <w:tcW w:w="140" w:type="dxa"/>
            <w:vAlign w:val="bottom"/>
          </w:tcPr>
          <w:p>
            <w:pPr>
              <w:spacing w:after="0"/>
              <w:rPr>
                <w:sz w:val="10"/>
                <w:szCs w:val="10"/>
                <w:color w:val="auto"/>
              </w:rPr>
            </w:pPr>
          </w:p>
        </w:tc>
        <w:tc>
          <w:tcPr>
            <w:tcW w:w="760" w:type="dxa"/>
            <w:vAlign w:val="bottom"/>
            <w:gridSpan w:val="2"/>
          </w:tcPr>
          <w:p>
            <w:pPr>
              <w:jc w:val="right"/>
              <w:ind w:right="80"/>
              <w:spacing w:after="0" w:line="125" w:lineRule="exact"/>
              <w:rPr>
                <w:sz w:val="20"/>
                <w:szCs w:val="20"/>
                <w:color w:val="auto"/>
              </w:rPr>
            </w:pPr>
            <w:r>
              <w:rPr>
                <w:rFonts w:ascii="Arial" w:cs="Arial" w:eastAsia="Arial" w:hAnsi="Arial"/>
                <w:sz w:val="11"/>
                <w:szCs w:val="11"/>
                <w:color w:val="050505"/>
              </w:rPr>
              <w:t>—</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60" w:type="dxa"/>
            <w:vAlign w:val="bottom"/>
            <w:gridSpan w:val="2"/>
          </w:tcPr>
          <w:p>
            <w:pPr>
              <w:jc w:val="right"/>
              <w:ind w:right="160"/>
              <w:spacing w:after="0" w:line="125" w:lineRule="exact"/>
              <w:rPr>
                <w:sz w:val="20"/>
                <w:szCs w:val="20"/>
                <w:color w:val="auto"/>
              </w:rPr>
            </w:pPr>
            <w:r>
              <w:rPr>
                <w:rFonts w:ascii="Arial" w:cs="Arial" w:eastAsia="Arial" w:hAnsi="Arial"/>
                <w:sz w:val="11"/>
                <w:szCs w:val="11"/>
                <w:color w:val="050505"/>
              </w:rPr>
              <w:t>—</w:t>
            </w:r>
          </w:p>
        </w:tc>
        <w:tc>
          <w:tcPr>
            <w:tcW w:w="120" w:type="dxa"/>
            <w:vAlign w:val="bottom"/>
          </w:tcPr>
          <w:p>
            <w:pPr>
              <w:spacing w:after="0"/>
              <w:rPr>
                <w:sz w:val="10"/>
                <w:szCs w:val="10"/>
                <w:color w:val="auto"/>
              </w:rPr>
            </w:pPr>
          </w:p>
        </w:tc>
        <w:tc>
          <w:tcPr>
            <w:tcW w:w="860" w:type="dxa"/>
            <w:vAlign w:val="bottom"/>
            <w:gridSpan w:val="2"/>
          </w:tcPr>
          <w:p>
            <w:pPr>
              <w:jc w:val="right"/>
              <w:ind w:right="80"/>
              <w:spacing w:after="0" w:line="125" w:lineRule="exact"/>
              <w:rPr>
                <w:sz w:val="20"/>
                <w:szCs w:val="20"/>
                <w:color w:val="auto"/>
              </w:rPr>
            </w:pPr>
            <w:r>
              <w:rPr>
                <w:rFonts w:ascii="Arial" w:cs="Arial" w:eastAsia="Arial" w:hAnsi="Arial"/>
                <w:sz w:val="11"/>
                <w:szCs w:val="11"/>
                <w:color w:val="050505"/>
              </w:rPr>
              <w:t>—</w:t>
            </w:r>
          </w:p>
        </w:tc>
      </w:tr>
      <w:tr>
        <w:trPr>
          <w:trHeight w:val="127"/>
        </w:trPr>
        <w:tc>
          <w:tcPr>
            <w:tcW w:w="4400" w:type="dxa"/>
            <w:vAlign w:val="bottom"/>
            <w:shd w:val="clear" w:color="auto" w:fill="CCEEFF"/>
          </w:tcPr>
          <w:p>
            <w:pPr>
              <w:ind w:left="160"/>
              <w:spacing w:after="0"/>
              <w:rPr>
                <w:sz w:val="20"/>
                <w:szCs w:val="20"/>
                <w:color w:val="auto"/>
              </w:rPr>
            </w:pPr>
            <w:r>
              <w:rPr>
                <w:rFonts w:ascii="Arial" w:cs="Arial" w:eastAsia="Arial" w:hAnsi="Arial"/>
                <w:sz w:val="11"/>
                <w:szCs w:val="11"/>
                <w:color w:val="050505"/>
              </w:rPr>
              <w:t>Class B common stock, $0.000025 par value per share: zero</w:t>
            </w: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tcBorders>
              <w:right w:val="single" w:sz="8" w:color="CCEEFF"/>
            </w:tcBorders>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r>
      <w:tr>
        <w:trPr>
          <w:trHeight w:val="126"/>
        </w:trPr>
        <w:tc>
          <w:tcPr>
            <w:tcW w:w="4400" w:type="dxa"/>
            <w:vAlign w:val="bottom"/>
            <w:shd w:val="clear" w:color="auto" w:fill="CCEEFF"/>
          </w:tcPr>
          <w:p>
            <w:pPr>
              <w:ind w:left="260"/>
              <w:spacing w:after="0"/>
              <w:rPr>
                <w:sz w:val="20"/>
                <w:szCs w:val="20"/>
                <w:color w:val="auto"/>
              </w:rPr>
            </w:pPr>
            <w:r>
              <w:rPr>
                <w:rFonts w:ascii="Arial" w:cs="Arial" w:eastAsia="Arial" w:hAnsi="Arial"/>
                <w:sz w:val="11"/>
                <w:szCs w:val="11"/>
                <w:color w:val="050505"/>
              </w:rPr>
              <w:t>shares authorized, issued and outstanding, actual; 2,500,000,000 shares</w:t>
            </w:r>
          </w:p>
        </w:tc>
        <w:tc>
          <w:tcPr>
            <w:tcW w:w="14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20" w:type="dxa"/>
            <w:vAlign w:val="bottom"/>
            <w:tcBorders>
              <w:right w:val="single" w:sz="8" w:color="CCEEFF"/>
            </w:tcBorders>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r>
      <w:tr>
        <w:trPr>
          <w:trHeight w:val="126"/>
        </w:trPr>
        <w:tc>
          <w:tcPr>
            <w:tcW w:w="4400" w:type="dxa"/>
            <w:vAlign w:val="bottom"/>
            <w:shd w:val="clear" w:color="auto" w:fill="CCEEFF"/>
          </w:tcPr>
          <w:p>
            <w:pPr>
              <w:ind w:left="260"/>
              <w:spacing w:after="0"/>
              <w:rPr>
                <w:sz w:val="20"/>
                <w:szCs w:val="20"/>
                <w:color w:val="auto"/>
              </w:rPr>
            </w:pPr>
            <w:r>
              <w:rPr>
                <w:rFonts w:ascii="Arial" w:cs="Arial" w:eastAsia="Arial" w:hAnsi="Arial"/>
                <w:sz w:val="11"/>
                <w:szCs w:val="11"/>
                <w:color w:val="050505"/>
              </w:rPr>
              <w:t>authorized, 235,942,233 shares issued and outstanding, pro forma; 2,500,000,000</w:t>
            </w:r>
          </w:p>
        </w:tc>
        <w:tc>
          <w:tcPr>
            <w:tcW w:w="14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20" w:type="dxa"/>
            <w:vAlign w:val="bottom"/>
            <w:tcBorders>
              <w:right w:val="single" w:sz="8" w:color="CCEEFF"/>
            </w:tcBorders>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r>
      <w:tr>
        <w:trPr>
          <w:trHeight w:val="126"/>
        </w:trPr>
        <w:tc>
          <w:tcPr>
            <w:tcW w:w="4400" w:type="dxa"/>
            <w:vAlign w:val="bottom"/>
            <w:shd w:val="clear" w:color="auto" w:fill="CCEEFF"/>
          </w:tcPr>
          <w:p>
            <w:pPr>
              <w:ind w:left="260"/>
              <w:spacing w:after="0"/>
              <w:rPr>
                <w:sz w:val="20"/>
                <w:szCs w:val="20"/>
                <w:color w:val="auto"/>
              </w:rPr>
            </w:pPr>
            <w:r>
              <w:rPr>
                <w:rFonts w:ascii="Arial" w:cs="Arial" w:eastAsia="Arial" w:hAnsi="Arial"/>
                <w:sz w:val="11"/>
                <w:szCs w:val="11"/>
                <w:color w:val="050505"/>
              </w:rPr>
              <w:t>shares authorized, 235,942,233 shares issued and outstanding, pro forma as</w:t>
            </w:r>
          </w:p>
        </w:tc>
        <w:tc>
          <w:tcPr>
            <w:tcW w:w="14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20" w:type="dxa"/>
            <w:vAlign w:val="bottom"/>
            <w:tcBorders>
              <w:right w:val="single" w:sz="8" w:color="CCEEFF"/>
            </w:tcBorders>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r>
      <w:tr>
        <w:trPr>
          <w:trHeight w:val="125"/>
        </w:trPr>
        <w:tc>
          <w:tcPr>
            <w:tcW w:w="4400" w:type="dxa"/>
            <w:vAlign w:val="bottom"/>
            <w:shd w:val="clear" w:color="auto" w:fill="CCEEFF"/>
          </w:tcPr>
          <w:p>
            <w:pPr>
              <w:ind w:left="260"/>
              <w:spacing w:after="0" w:line="125" w:lineRule="exact"/>
              <w:rPr>
                <w:sz w:val="20"/>
                <w:szCs w:val="20"/>
                <w:color w:val="auto"/>
              </w:rPr>
            </w:pPr>
            <w:r>
              <w:rPr>
                <w:rFonts w:ascii="Arial" w:cs="Arial" w:eastAsia="Arial" w:hAnsi="Arial"/>
                <w:sz w:val="11"/>
                <w:szCs w:val="11"/>
                <w:color w:val="050505"/>
              </w:rPr>
              <w:t>adjusted</w:t>
            </w:r>
          </w:p>
        </w:tc>
        <w:tc>
          <w:tcPr>
            <w:tcW w:w="140" w:type="dxa"/>
            <w:vAlign w:val="bottom"/>
            <w:shd w:val="clear" w:color="auto" w:fill="CCEEFF"/>
          </w:tcPr>
          <w:p>
            <w:pPr>
              <w:spacing w:after="0"/>
              <w:rPr>
                <w:sz w:val="10"/>
                <w:szCs w:val="10"/>
                <w:color w:val="auto"/>
              </w:rPr>
            </w:pPr>
          </w:p>
        </w:tc>
        <w:tc>
          <w:tcPr>
            <w:tcW w:w="760" w:type="dxa"/>
            <w:vAlign w:val="bottom"/>
            <w:gridSpan w:val="2"/>
            <w:shd w:val="clear" w:color="auto" w:fill="CCEEFF"/>
          </w:tcPr>
          <w:p>
            <w:pPr>
              <w:jc w:val="right"/>
              <w:ind w:right="80"/>
              <w:spacing w:after="0" w:line="125" w:lineRule="exact"/>
              <w:rPr>
                <w:sz w:val="20"/>
                <w:szCs w:val="20"/>
                <w:color w:val="auto"/>
              </w:rPr>
            </w:pPr>
            <w:r>
              <w:rPr>
                <w:rFonts w:ascii="Arial" w:cs="Arial" w:eastAsia="Arial" w:hAnsi="Arial"/>
                <w:sz w:val="11"/>
                <w:szCs w:val="11"/>
                <w:color w:val="050505"/>
              </w:rPr>
              <w:t>—</w:t>
            </w: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60" w:type="dxa"/>
            <w:vAlign w:val="bottom"/>
            <w:gridSpan w:val="2"/>
            <w:shd w:val="clear" w:color="auto" w:fill="CCEEFF"/>
          </w:tcPr>
          <w:p>
            <w:pPr>
              <w:jc w:val="right"/>
              <w:ind w:right="160"/>
              <w:spacing w:after="0" w:line="125" w:lineRule="exact"/>
              <w:rPr>
                <w:sz w:val="20"/>
                <w:szCs w:val="20"/>
                <w:color w:val="auto"/>
              </w:rPr>
            </w:pPr>
            <w:r>
              <w:rPr>
                <w:rFonts w:ascii="Arial" w:cs="Arial" w:eastAsia="Arial" w:hAnsi="Arial"/>
                <w:sz w:val="11"/>
                <w:szCs w:val="11"/>
                <w:color w:val="050505"/>
              </w:rPr>
              <w:t>—</w:t>
            </w:r>
          </w:p>
        </w:tc>
        <w:tc>
          <w:tcPr>
            <w:tcW w:w="120" w:type="dxa"/>
            <w:vAlign w:val="bottom"/>
            <w:tcBorders>
              <w:right w:val="single" w:sz="8" w:color="CCEEFF"/>
            </w:tcBorders>
            <w:shd w:val="clear" w:color="auto" w:fill="CCEEFF"/>
          </w:tcPr>
          <w:p>
            <w:pPr>
              <w:spacing w:after="0"/>
              <w:rPr>
                <w:sz w:val="10"/>
                <w:szCs w:val="10"/>
                <w:color w:val="auto"/>
              </w:rPr>
            </w:pPr>
          </w:p>
        </w:tc>
        <w:tc>
          <w:tcPr>
            <w:tcW w:w="860" w:type="dxa"/>
            <w:vAlign w:val="bottom"/>
            <w:gridSpan w:val="2"/>
            <w:shd w:val="clear" w:color="auto" w:fill="CCEEFF"/>
          </w:tcPr>
          <w:p>
            <w:pPr>
              <w:jc w:val="right"/>
              <w:ind w:right="80"/>
              <w:spacing w:after="0" w:line="125" w:lineRule="exact"/>
              <w:rPr>
                <w:sz w:val="20"/>
                <w:szCs w:val="20"/>
                <w:color w:val="auto"/>
              </w:rPr>
            </w:pPr>
            <w:r>
              <w:rPr>
                <w:rFonts w:ascii="Arial" w:cs="Arial" w:eastAsia="Arial" w:hAnsi="Arial"/>
                <w:sz w:val="11"/>
                <w:szCs w:val="11"/>
                <w:color w:val="050505"/>
              </w:rPr>
              <w:t>—</w:t>
            </w:r>
          </w:p>
        </w:tc>
      </w:tr>
      <w:tr>
        <w:trPr>
          <w:trHeight w:val="126"/>
        </w:trPr>
        <w:tc>
          <w:tcPr>
            <w:tcW w:w="4400" w:type="dxa"/>
            <w:vAlign w:val="bottom"/>
          </w:tcPr>
          <w:p>
            <w:pPr>
              <w:ind w:left="160"/>
              <w:spacing w:after="0"/>
              <w:rPr>
                <w:sz w:val="20"/>
                <w:szCs w:val="20"/>
                <w:color w:val="auto"/>
              </w:rPr>
            </w:pPr>
            <w:r>
              <w:rPr>
                <w:rFonts w:ascii="Arial" w:cs="Arial" w:eastAsia="Arial" w:hAnsi="Arial"/>
                <w:sz w:val="11"/>
                <w:szCs w:val="11"/>
                <w:color w:val="050505"/>
              </w:rPr>
              <w:t>Additional paid-in capital</w:t>
            </w:r>
          </w:p>
        </w:tc>
        <w:tc>
          <w:tcPr>
            <w:tcW w:w="140" w:type="dxa"/>
            <w:vAlign w:val="bottom"/>
          </w:tcPr>
          <w:p>
            <w:pPr>
              <w:spacing w:after="0"/>
              <w:rPr>
                <w:sz w:val="10"/>
                <w:szCs w:val="10"/>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050505"/>
              </w:rPr>
              <w:t>90.7</w:t>
            </w: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050505"/>
              </w:rPr>
              <w:t>1,031.8</w:t>
            </w: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tcPr>
          <w:p>
            <w:pPr>
              <w:jc w:val="right"/>
              <w:spacing w:after="0"/>
              <w:rPr>
                <w:sz w:val="20"/>
                <w:szCs w:val="20"/>
                <w:color w:val="auto"/>
              </w:rPr>
            </w:pPr>
            <w:r>
              <w:rPr>
                <w:rFonts w:ascii="Arial" w:cs="Arial" w:eastAsia="Arial" w:hAnsi="Arial"/>
                <w:sz w:val="11"/>
                <w:szCs w:val="11"/>
                <w:color w:val="050505"/>
              </w:rPr>
              <w:t>2,227.8</w:t>
            </w:r>
          </w:p>
        </w:tc>
        <w:tc>
          <w:tcPr>
            <w:tcW w:w="80" w:type="dxa"/>
            <w:vAlign w:val="bottom"/>
          </w:tcPr>
          <w:p>
            <w:pPr>
              <w:spacing w:after="0"/>
              <w:rPr>
                <w:sz w:val="10"/>
                <w:szCs w:val="10"/>
                <w:color w:val="auto"/>
              </w:rPr>
            </w:pPr>
          </w:p>
        </w:tc>
      </w:tr>
      <w:tr>
        <w:trPr>
          <w:trHeight w:val="126"/>
        </w:trPr>
        <w:tc>
          <w:tcPr>
            <w:tcW w:w="4400" w:type="dxa"/>
            <w:vAlign w:val="bottom"/>
            <w:shd w:val="clear" w:color="auto" w:fill="CCEEFF"/>
          </w:tcPr>
          <w:p>
            <w:pPr>
              <w:ind w:left="160"/>
              <w:spacing w:after="0"/>
              <w:rPr>
                <w:sz w:val="20"/>
                <w:szCs w:val="20"/>
                <w:color w:val="auto"/>
              </w:rPr>
            </w:pPr>
            <w:r>
              <w:rPr>
                <w:rFonts w:ascii="Arial" w:cs="Arial" w:eastAsia="Arial" w:hAnsi="Arial"/>
                <w:sz w:val="11"/>
                <w:szCs w:val="11"/>
                <w:color w:val="050505"/>
              </w:rPr>
              <w:t>Accumulated other comprehensive loss</w:t>
            </w:r>
          </w:p>
        </w:tc>
        <w:tc>
          <w:tcPr>
            <w:tcW w:w="140" w:type="dxa"/>
            <w:vAlign w:val="bottom"/>
            <w:shd w:val="clear" w:color="auto" w:fill="CCEEFF"/>
          </w:tcPr>
          <w:p>
            <w:pPr>
              <w:spacing w:after="0"/>
              <w:rPr>
                <w:sz w:val="10"/>
                <w:szCs w:val="1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1"/>
                <w:szCs w:val="11"/>
                <w:color w:val="050505"/>
              </w:rPr>
              <w:t>0.2</w:t>
            </w: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1"/>
                <w:szCs w:val="11"/>
                <w:color w:val="050505"/>
              </w:rPr>
              <w:t>0.2</w:t>
            </w:r>
          </w:p>
        </w:tc>
        <w:tc>
          <w:tcPr>
            <w:tcW w:w="160" w:type="dxa"/>
            <w:vAlign w:val="bottom"/>
            <w:shd w:val="clear" w:color="auto" w:fill="CCEEFF"/>
          </w:tcPr>
          <w:p>
            <w:pPr>
              <w:spacing w:after="0"/>
              <w:rPr>
                <w:sz w:val="10"/>
                <w:szCs w:val="10"/>
                <w:color w:val="auto"/>
              </w:rPr>
            </w:pPr>
          </w:p>
        </w:tc>
        <w:tc>
          <w:tcPr>
            <w:tcW w:w="120" w:type="dxa"/>
            <w:vAlign w:val="bottom"/>
            <w:tcBorders>
              <w:right w:val="single" w:sz="8" w:color="CCEEFF"/>
            </w:tcBorders>
            <w:shd w:val="clear" w:color="auto" w:fill="CCEEFF"/>
          </w:tcPr>
          <w:p>
            <w:pPr>
              <w:spacing w:after="0"/>
              <w:rPr>
                <w:sz w:val="10"/>
                <w:szCs w:val="1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1"/>
                <w:szCs w:val="11"/>
                <w:color w:val="050505"/>
              </w:rPr>
              <w:t>0.2</w:t>
            </w:r>
          </w:p>
        </w:tc>
        <w:tc>
          <w:tcPr>
            <w:tcW w:w="80" w:type="dxa"/>
            <w:vAlign w:val="bottom"/>
            <w:shd w:val="clear" w:color="auto" w:fill="CCEEFF"/>
          </w:tcPr>
          <w:p>
            <w:pPr>
              <w:spacing w:after="0"/>
              <w:rPr>
                <w:sz w:val="10"/>
                <w:szCs w:val="10"/>
                <w:color w:val="auto"/>
              </w:rPr>
            </w:pPr>
          </w:p>
        </w:tc>
      </w:tr>
      <w:tr>
        <w:trPr>
          <w:trHeight w:val="126"/>
        </w:trPr>
        <w:tc>
          <w:tcPr>
            <w:tcW w:w="4400" w:type="dxa"/>
            <w:vAlign w:val="bottom"/>
          </w:tcPr>
          <w:p>
            <w:pPr>
              <w:ind w:left="160"/>
              <w:spacing w:after="0"/>
              <w:rPr>
                <w:sz w:val="20"/>
                <w:szCs w:val="20"/>
                <w:color w:val="auto"/>
              </w:rPr>
            </w:pPr>
            <w:r>
              <w:rPr>
                <w:rFonts w:ascii="Arial" w:cs="Arial" w:eastAsia="Arial" w:hAnsi="Arial"/>
                <w:sz w:val="11"/>
                <w:szCs w:val="11"/>
                <w:color w:val="050505"/>
              </w:rPr>
              <w:t>Accumulated deficit</w:t>
            </w:r>
          </w:p>
        </w:tc>
        <w:tc>
          <w:tcPr>
            <w:tcW w:w="140" w:type="dxa"/>
            <w:vAlign w:val="bottom"/>
          </w:tcPr>
          <w:p>
            <w:pPr>
              <w:spacing w:after="0"/>
              <w:rPr>
                <w:sz w:val="10"/>
                <w:szCs w:val="10"/>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1"/>
                <w:szCs w:val="11"/>
                <w:color w:val="050505"/>
              </w:rPr>
              <w:t>(629.5)</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1"/>
                <w:szCs w:val="11"/>
                <w:color w:val="050505"/>
              </w:rPr>
              <w:t>(629.5)</w:t>
            </w:r>
          </w:p>
        </w:tc>
        <w:tc>
          <w:tcPr>
            <w:tcW w:w="120" w:type="dxa"/>
            <w:vAlign w:val="bottom"/>
          </w:tcPr>
          <w:p>
            <w:pPr>
              <w:spacing w:after="0"/>
              <w:rPr>
                <w:sz w:val="10"/>
                <w:szCs w:val="10"/>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1"/>
                <w:szCs w:val="11"/>
                <w:color w:val="050505"/>
              </w:rPr>
              <w:t>(629.5)</w:t>
            </w:r>
          </w:p>
        </w:tc>
      </w:tr>
      <w:tr>
        <w:trPr>
          <w:trHeight w:val="20"/>
        </w:trPr>
        <w:tc>
          <w:tcPr>
            <w:tcW w:w="4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24"/>
        </w:trPr>
        <w:tc>
          <w:tcPr>
            <w:tcW w:w="4400" w:type="dxa"/>
            <w:vAlign w:val="bottom"/>
            <w:shd w:val="clear" w:color="auto" w:fill="CCEEFF"/>
          </w:tcPr>
          <w:p>
            <w:pPr>
              <w:ind w:left="160"/>
              <w:spacing w:after="0" w:line="124" w:lineRule="exact"/>
              <w:rPr>
                <w:sz w:val="20"/>
                <w:szCs w:val="20"/>
                <w:color w:val="auto"/>
              </w:rPr>
            </w:pPr>
            <w:r>
              <w:rPr>
                <w:rFonts w:ascii="Arial" w:cs="Arial" w:eastAsia="Arial" w:hAnsi="Arial"/>
                <w:sz w:val="11"/>
                <w:szCs w:val="11"/>
                <w:color w:val="050505"/>
              </w:rPr>
              <w:t>Total stockholders’ (deficit) equity</w:t>
            </w:r>
          </w:p>
        </w:tc>
        <w:tc>
          <w:tcPr>
            <w:tcW w:w="140" w:type="dxa"/>
            <w:vAlign w:val="bottom"/>
            <w:shd w:val="clear" w:color="auto" w:fill="CCEEFF"/>
          </w:tcPr>
          <w:p>
            <w:pPr>
              <w:spacing w:after="0"/>
              <w:rPr>
                <w:sz w:val="10"/>
                <w:szCs w:val="10"/>
                <w:color w:val="auto"/>
              </w:rPr>
            </w:pPr>
          </w:p>
        </w:tc>
        <w:tc>
          <w:tcPr>
            <w:tcW w:w="760" w:type="dxa"/>
            <w:vAlign w:val="bottom"/>
            <w:gridSpan w:val="2"/>
            <w:shd w:val="clear" w:color="auto" w:fill="CCEEFF"/>
          </w:tcPr>
          <w:p>
            <w:pPr>
              <w:jc w:val="right"/>
              <w:ind w:right="40"/>
              <w:spacing w:after="0" w:line="124" w:lineRule="exact"/>
              <w:rPr>
                <w:sz w:val="20"/>
                <w:szCs w:val="20"/>
                <w:color w:val="auto"/>
              </w:rPr>
            </w:pPr>
            <w:r>
              <w:rPr>
                <w:rFonts w:ascii="Arial" w:cs="Arial" w:eastAsia="Arial" w:hAnsi="Arial"/>
                <w:sz w:val="11"/>
                <w:szCs w:val="11"/>
                <w:color w:val="050505"/>
              </w:rPr>
              <w:t>(538.6)</w:t>
            </w: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shd w:val="clear" w:color="auto" w:fill="CCEEFF"/>
          </w:tcPr>
          <w:p>
            <w:pPr>
              <w:jc w:val="right"/>
              <w:spacing w:after="0" w:line="124" w:lineRule="exact"/>
              <w:rPr>
                <w:sz w:val="20"/>
                <w:szCs w:val="20"/>
                <w:color w:val="auto"/>
              </w:rPr>
            </w:pPr>
            <w:r>
              <w:rPr>
                <w:rFonts w:ascii="Arial" w:cs="Arial" w:eastAsia="Arial" w:hAnsi="Arial"/>
                <w:sz w:val="11"/>
                <w:szCs w:val="11"/>
                <w:color w:val="050505"/>
              </w:rPr>
              <w:t>402.5</w:t>
            </w:r>
          </w:p>
        </w:tc>
        <w:tc>
          <w:tcPr>
            <w:tcW w:w="160" w:type="dxa"/>
            <w:vAlign w:val="bottom"/>
            <w:shd w:val="clear" w:color="auto" w:fill="CCEEFF"/>
          </w:tcPr>
          <w:p>
            <w:pPr>
              <w:spacing w:after="0"/>
              <w:rPr>
                <w:sz w:val="10"/>
                <w:szCs w:val="10"/>
                <w:color w:val="auto"/>
              </w:rPr>
            </w:pPr>
          </w:p>
        </w:tc>
        <w:tc>
          <w:tcPr>
            <w:tcW w:w="120" w:type="dxa"/>
            <w:vAlign w:val="bottom"/>
            <w:tcBorders>
              <w:right w:val="single" w:sz="8" w:color="CCEEFF"/>
            </w:tcBorders>
            <w:shd w:val="clear" w:color="auto" w:fill="CCEEFF"/>
          </w:tcPr>
          <w:p>
            <w:pPr>
              <w:spacing w:after="0"/>
              <w:rPr>
                <w:sz w:val="10"/>
                <w:szCs w:val="10"/>
                <w:color w:val="auto"/>
              </w:rPr>
            </w:pPr>
          </w:p>
        </w:tc>
        <w:tc>
          <w:tcPr>
            <w:tcW w:w="780" w:type="dxa"/>
            <w:vAlign w:val="bottom"/>
            <w:shd w:val="clear" w:color="auto" w:fill="CCEEFF"/>
          </w:tcPr>
          <w:p>
            <w:pPr>
              <w:jc w:val="right"/>
              <w:spacing w:after="0" w:line="124" w:lineRule="exact"/>
              <w:rPr>
                <w:sz w:val="20"/>
                <w:szCs w:val="20"/>
                <w:color w:val="auto"/>
              </w:rPr>
            </w:pPr>
            <w:r>
              <w:rPr>
                <w:rFonts w:ascii="Arial" w:cs="Arial" w:eastAsia="Arial" w:hAnsi="Arial"/>
                <w:sz w:val="11"/>
                <w:szCs w:val="11"/>
                <w:color w:val="050505"/>
              </w:rPr>
              <w:t>1,598.5</w:t>
            </w:r>
          </w:p>
        </w:tc>
        <w:tc>
          <w:tcPr>
            <w:tcW w:w="80" w:type="dxa"/>
            <w:vAlign w:val="bottom"/>
            <w:shd w:val="clear" w:color="auto" w:fill="CCEEFF"/>
          </w:tcPr>
          <w:p>
            <w:pPr>
              <w:spacing w:after="0"/>
              <w:rPr>
                <w:sz w:val="10"/>
                <w:szCs w:val="10"/>
                <w:color w:val="auto"/>
              </w:rPr>
            </w:pPr>
          </w:p>
        </w:tc>
      </w:tr>
      <w:tr>
        <w:trPr>
          <w:trHeight w:val="20"/>
        </w:trPr>
        <w:tc>
          <w:tcPr>
            <w:tcW w:w="4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24"/>
        </w:trPr>
        <w:tc>
          <w:tcPr>
            <w:tcW w:w="4400" w:type="dxa"/>
            <w:vAlign w:val="bottom"/>
          </w:tcPr>
          <w:p>
            <w:pPr>
              <w:ind w:left="260"/>
              <w:spacing w:after="0" w:line="124" w:lineRule="exact"/>
              <w:rPr>
                <w:sz w:val="20"/>
                <w:szCs w:val="20"/>
                <w:color w:val="auto"/>
              </w:rPr>
            </w:pPr>
            <w:r>
              <w:rPr>
                <w:rFonts w:ascii="Arial" w:cs="Arial" w:eastAsia="Arial" w:hAnsi="Arial"/>
                <w:sz w:val="11"/>
                <w:szCs w:val="11"/>
                <w:color w:val="050505"/>
              </w:rPr>
              <w:t>Total capitalization</w:t>
            </w:r>
          </w:p>
        </w:tc>
        <w:tc>
          <w:tcPr>
            <w:tcW w:w="140" w:type="dxa"/>
            <w:vAlign w:val="bottom"/>
          </w:tcPr>
          <w:p>
            <w:pPr>
              <w:jc w:val="right"/>
              <w:ind w:right="31"/>
              <w:spacing w:after="0"/>
              <w:rPr>
                <w:sz w:val="20"/>
                <w:szCs w:val="20"/>
                <w:color w:val="auto"/>
              </w:rPr>
            </w:pPr>
            <w:r>
              <w:rPr>
                <w:rFonts w:ascii="Arial" w:cs="Arial" w:eastAsia="Arial" w:hAnsi="Arial"/>
                <w:sz w:val="10"/>
                <w:szCs w:val="10"/>
                <w:color w:val="050505"/>
                <w:w w:val="71"/>
              </w:rPr>
              <w:t>$</w:t>
            </w:r>
          </w:p>
        </w:tc>
        <w:tc>
          <w:tcPr>
            <w:tcW w:w="680" w:type="dxa"/>
            <w:vAlign w:val="bottom"/>
          </w:tcPr>
          <w:p>
            <w:pPr>
              <w:jc w:val="right"/>
              <w:spacing w:after="0" w:line="124" w:lineRule="exact"/>
              <w:rPr>
                <w:sz w:val="20"/>
                <w:szCs w:val="20"/>
                <w:color w:val="auto"/>
              </w:rPr>
            </w:pPr>
            <w:r>
              <w:rPr>
                <w:rFonts w:ascii="Arial" w:cs="Arial" w:eastAsia="Arial" w:hAnsi="Arial"/>
                <w:sz w:val="11"/>
                <w:szCs w:val="11"/>
                <w:color w:val="050505"/>
              </w:rPr>
              <w:t>402.5</w:t>
            </w:r>
          </w:p>
        </w:tc>
        <w:tc>
          <w:tcPr>
            <w:tcW w:w="80" w:type="dxa"/>
            <w:vAlign w:val="bottom"/>
          </w:tcPr>
          <w:p>
            <w:pPr>
              <w:spacing w:after="0"/>
              <w:rPr>
                <w:sz w:val="10"/>
                <w:szCs w:val="10"/>
                <w:color w:val="auto"/>
              </w:rPr>
            </w:pPr>
          </w:p>
        </w:tc>
        <w:tc>
          <w:tcPr>
            <w:tcW w:w="220" w:type="dxa"/>
            <w:vAlign w:val="bottom"/>
            <w:gridSpan w:val="2"/>
          </w:tcPr>
          <w:p>
            <w:pPr>
              <w:jc w:val="right"/>
              <w:ind w:right="20"/>
              <w:spacing w:after="0" w:line="124" w:lineRule="exact"/>
              <w:rPr>
                <w:sz w:val="20"/>
                <w:szCs w:val="20"/>
                <w:color w:val="auto"/>
              </w:rPr>
            </w:pPr>
            <w:r>
              <w:rPr>
                <w:rFonts w:ascii="Arial" w:cs="Arial" w:eastAsia="Arial" w:hAnsi="Arial"/>
                <w:sz w:val="11"/>
                <w:szCs w:val="11"/>
                <w:color w:val="050505"/>
              </w:rPr>
              <w:t>$</w:t>
            </w:r>
          </w:p>
        </w:tc>
        <w:tc>
          <w:tcPr>
            <w:tcW w:w="700" w:type="dxa"/>
            <w:vAlign w:val="bottom"/>
          </w:tcPr>
          <w:p>
            <w:pPr>
              <w:jc w:val="right"/>
              <w:spacing w:after="0" w:line="124" w:lineRule="exact"/>
              <w:rPr>
                <w:sz w:val="20"/>
                <w:szCs w:val="20"/>
                <w:color w:val="auto"/>
              </w:rPr>
            </w:pPr>
            <w:r>
              <w:rPr>
                <w:rFonts w:ascii="Arial" w:cs="Arial" w:eastAsia="Arial" w:hAnsi="Arial"/>
                <w:sz w:val="11"/>
                <w:szCs w:val="11"/>
                <w:color w:val="050505"/>
              </w:rPr>
              <w:t>402.5</w:t>
            </w:r>
          </w:p>
        </w:tc>
        <w:tc>
          <w:tcPr>
            <w:tcW w:w="160" w:type="dxa"/>
            <w:vAlign w:val="bottom"/>
          </w:tcPr>
          <w:p>
            <w:pPr>
              <w:spacing w:after="0"/>
              <w:rPr>
                <w:sz w:val="10"/>
                <w:szCs w:val="10"/>
                <w:color w:val="auto"/>
              </w:rPr>
            </w:pPr>
          </w:p>
        </w:tc>
        <w:tc>
          <w:tcPr>
            <w:tcW w:w="120" w:type="dxa"/>
            <w:vAlign w:val="bottom"/>
          </w:tcPr>
          <w:p>
            <w:pPr>
              <w:jc w:val="right"/>
              <w:spacing w:after="0" w:line="124" w:lineRule="exact"/>
              <w:rPr>
                <w:sz w:val="20"/>
                <w:szCs w:val="20"/>
                <w:color w:val="auto"/>
              </w:rPr>
            </w:pPr>
            <w:r>
              <w:rPr>
                <w:rFonts w:ascii="Arial" w:cs="Arial" w:eastAsia="Arial" w:hAnsi="Arial"/>
                <w:sz w:val="11"/>
                <w:szCs w:val="11"/>
                <w:color w:val="050505"/>
              </w:rPr>
              <w:t>$</w:t>
            </w:r>
          </w:p>
        </w:tc>
        <w:tc>
          <w:tcPr>
            <w:tcW w:w="780" w:type="dxa"/>
            <w:vAlign w:val="bottom"/>
          </w:tcPr>
          <w:p>
            <w:pPr>
              <w:jc w:val="right"/>
              <w:spacing w:after="0" w:line="124" w:lineRule="exact"/>
              <w:rPr>
                <w:sz w:val="20"/>
                <w:szCs w:val="20"/>
                <w:color w:val="auto"/>
              </w:rPr>
            </w:pPr>
            <w:r>
              <w:rPr>
                <w:rFonts w:ascii="Arial" w:cs="Arial" w:eastAsia="Arial" w:hAnsi="Arial"/>
                <w:sz w:val="11"/>
                <w:szCs w:val="11"/>
                <w:color w:val="050505"/>
              </w:rPr>
              <w:t>1,598.5</w:t>
            </w:r>
          </w:p>
        </w:tc>
        <w:tc>
          <w:tcPr>
            <w:tcW w:w="80" w:type="dxa"/>
            <w:vAlign w:val="bottom"/>
          </w:tcPr>
          <w:p>
            <w:pPr>
              <w:spacing w:after="0"/>
              <w:rPr>
                <w:sz w:val="10"/>
                <w:szCs w:val="10"/>
                <w:color w:val="auto"/>
              </w:rPr>
            </w:pPr>
          </w:p>
        </w:tc>
      </w:tr>
      <w:tr>
        <w:trPr>
          <w:trHeight w:val="27"/>
        </w:trPr>
        <w:tc>
          <w:tcPr>
            <w:tcW w:w="44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1310640</wp:posOffset>
            </wp:positionH>
            <wp:positionV relativeFrom="paragraph">
              <wp:posOffset>62865</wp:posOffset>
            </wp:positionV>
            <wp:extent cx="1212215" cy="571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212215" cy="5715"/>
                    </a:xfrm>
                    <a:prstGeom prst="rect">
                      <a:avLst/>
                    </a:prstGeom>
                    <a:noFill/>
                  </pic:spPr>
                </pic:pic>
              </a:graphicData>
            </a:graphic>
          </wp:anchor>
        </w:drawing>
      </w:r>
    </w:p>
    <w:p>
      <w:pPr>
        <w:spacing w:after="0" w:line="111" w:lineRule="exact"/>
        <w:rPr>
          <w:sz w:val="20"/>
          <w:szCs w:val="20"/>
          <w:color w:val="auto"/>
        </w:rPr>
      </w:pPr>
    </w:p>
    <w:p>
      <w:pPr>
        <w:jc w:val="both"/>
        <w:ind w:left="2280" w:right="839" w:hanging="221"/>
        <w:spacing w:after="0" w:line="245" w:lineRule="auto"/>
        <w:tabs>
          <w:tab w:leader="none" w:pos="2280" w:val="left"/>
        </w:tabs>
        <w:numPr>
          <w:ilvl w:val="0"/>
          <w:numId w:val="29"/>
        </w:numPr>
        <w:rPr>
          <w:rFonts w:ascii="Arial" w:cs="Arial" w:eastAsia="Arial" w:hAnsi="Arial"/>
          <w:sz w:val="8"/>
          <w:szCs w:val="8"/>
          <w:color w:val="050505"/>
        </w:rPr>
      </w:pPr>
      <w:r>
        <w:rPr>
          <w:rFonts w:ascii="Arial" w:cs="Arial" w:eastAsia="Arial" w:hAnsi="Arial"/>
          <w:sz w:val="8"/>
          <w:szCs w:val="8"/>
          <w:color w:val="050505"/>
        </w:rPr>
        <w:t>If the underwriters’ option to purchase additional shares is exercised in full, the pro forma as adjusted amount of each of cash and cash equivalents, additional paid-in capital, total stockholders’ (deficit) equity, and total capitalization would increase by approximately $165.3 million, after deducting the underwriting discount and we would have 49,448,275 shares of our Class A common stock and 235,942,233 shares of our Class B common stock issued and outstanding, pro forma as adjusted.</w:t>
      </w:r>
    </w:p>
    <w:p>
      <w:pPr>
        <w:spacing w:after="0" w:line="93" w:lineRule="exact"/>
        <w:rPr>
          <w:sz w:val="20"/>
          <w:szCs w:val="20"/>
          <w:color w:val="auto"/>
        </w:rPr>
      </w:pPr>
    </w:p>
    <w:p>
      <w:pPr>
        <w:ind w:left="5680"/>
        <w:spacing w:after="0"/>
        <w:rPr>
          <w:sz w:val="20"/>
          <w:szCs w:val="20"/>
          <w:color w:val="auto"/>
        </w:rPr>
      </w:pPr>
      <w:r>
        <w:rPr>
          <w:rFonts w:ascii="Arial" w:cs="Arial" w:eastAsia="Arial" w:hAnsi="Arial"/>
          <w:sz w:val="11"/>
          <w:szCs w:val="11"/>
          <w:color w:val="050505"/>
        </w:rPr>
        <w:t>50</w:t>
      </w:r>
    </w:p>
    <w:p>
      <w:pPr>
        <w:sectPr>
          <w:pgSz w:w="11900" w:h="16838" w:orient="portrait"/>
          <w:cols w:equalWidth="0" w:num="1">
            <w:col w:w="10239"/>
          </w:cols>
          <w:pgMar w:left="220" w:top="354" w:right="1440" w:bottom="1440" w:gutter="0" w:footer="0" w:header="0"/>
        </w:sectPr>
      </w:pPr>
    </w:p>
    <w:bookmarkStart w:id="55" w:name="page56"/>
    <w:bookmarkEnd w:id="55"/>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hyperlink w:anchor="page5">
        <w:r>
          <w:rPr>
            <w:rFonts w:ascii="Arial" w:cs="Arial" w:eastAsia="Arial" w:hAnsi="Arial"/>
            <w:sz w:val="12"/>
            <w:szCs w:val="12"/>
            <w:b w:val="1"/>
            <w:bCs w:val="1"/>
            <w:u w:val="single" w:color="auto"/>
            <w:color w:val="0000EE"/>
          </w:rPr>
          <w:t>Table of Contents</w:t>
        </w:r>
      </w:hyperlink>
    </w:p>
    <w:p>
      <w:pPr>
        <w:spacing w:after="0" w:line="216" w:lineRule="exact"/>
        <w:rPr>
          <w:sz w:val="20"/>
          <w:szCs w:val="20"/>
          <w:color w:val="auto"/>
        </w:rPr>
      </w:pPr>
    </w:p>
    <w:p>
      <w:pPr>
        <w:jc w:val="both"/>
        <w:ind w:left="2060" w:right="839"/>
        <w:spacing w:after="0" w:line="242" w:lineRule="auto"/>
        <w:rPr>
          <w:sz w:val="20"/>
          <w:szCs w:val="20"/>
          <w:color w:val="auto"/>
        </w:rPr>
      </w:pPr>
      <w:r>
        <w:rPr>
          <w:rFonts w:ascii="Arial" w:cs="Arial" w:eastAsia="Arial" w:hAnsi="Arial"/>
          <w:sz w:val="11"/>
          <w:szCs w:val="11"/>
          <w:color w:val="050505"/>
        </w:rPr>
        <w:t>The number of shares of our Class A common stock and Class B common stock to be outstanding after this offering and the private placement is based upon zero shares of our Class A common stock outstanding and 235,942,233 shares of our Class B common stock outstanding, in each case, as of June 30, 2019 and does not include:</w:t>
      </w:r>
    </w:p>
    <w:p>
      <w:pPr>
        <w:spacing w:after="0" w:line="158" w:lineRule="exact"/>
        <w:rPr>
          <w:sz w:val="20"/>
          <w:szCs w:val="20"/>
          <w:color w:val="auto"/>
        </w:rPr>
      </w:pPr>
    </w:p>
    <w:p>
      <w:pPr>
        <w:ind w:left="2420" w:right="839" w:hanging="217"/>
        <w:spacing w:after="0" w:line="245" w:lineRule="auto"/>
        <w:tabs>
          <w:tab w:leader="none" w:pos="2420" w:val="left"/>
        </w:tabs>
        <w:numPr>
          <w:ilvl w:val="0"/>
          <w:numId w:val="30"/>
        </w:numPr>
        <w:rPr>
          <w:rFonts w:ascii="Arial" w:cs="Arial" w:eastAsia="Arial" w:hAnsi="Arial"/>
          <w:sz w:val="11"/>
          <w:szCs w:val="11"/>
          <w:color w:val="F7323F"/>
        </w:rPr>
      </w:pPr>
      <w:r>
        <w:rPr>
          <w:rFonts w:ascii="Arial" w:cs="Arial" w:eastAsia="Arial" w:hAnsi="Arial"/>
          <w:sz w:val="11"/>
          <w:szCs w:val="11"/>
          <w:color w:val="050505"/>
        </w:rPr>
        <w:t>64,602,124 shares of our Class B common stock issuable upon the exercise of options to purchase shares of our Class B common stock outstanding as of June 30, 2019, with a weighted-average exercise price of $6.71 per share;</w:t>
      </w:r>
    </w:p>
    <w:p>
      <w:pPr>
        <w:spacing w:after="0" w:line="38" w:lineRule="exact"/>
        <w:rPr>
          <w:rFonts w:ascii="Arial" w:cs="Arial" w:eastAsia="Arial" w:hAnsi="Arial"/>
          <w:sz w:val="11"/>
          <w:szCs w:val="11"/>
          <w:color w:val="F7323F"/>
        </w:rPr>
      </w:pPr>
    </w:p>
    <w:p>
      <w:pPr>
        <w:ind w:left="2420" w:right="839" w:hanging="217"/>
        <w:spacing w:after="0" w:line="245" w:lineRule="auto"/>
        <w:tabs>
          <w:tab w:leader="none" w:pos="2420" w:val="left"/>
        </w:tabs>
        <w:numPr>
          <w:ilvl w:val="0"/>
          <w:numId w:val="30"/>
        </w:numPr>
        <w:rPr>
          <w:rFonts w:ascii="Arial" w:cs="Arial" w:eastAsia="Arial" w:hAnsi="Arial"/>
          <w:sz w:val="11"/>
          <w:szCs w:val="11"/>
          <w:color w:val="F7323F"/>
        </w:rPr>
      </w:pPr>
      <w:r>
        <w:rPr>
          <w:rFonts w:ascii="Arial" w:cs="Arial" w:eastAsia="Arial" w:hAnsi="Arial"/>
          <w:sz w:val="11"/>
          <w:szCs w:val="11"/>
          <w:color w:val="050505"/>
        </w:rPr>
        <w:t>883,550 shares of our Class B common stock issuable upon the exercise of options to purchase shares of our Class B common stock granted between June 30, 2019 and September 25, 2019 with a weighted-average exercise price of $23.40 per share;</w:t>
      </w:r>
    </w:p>
    <w:p>
      <w:pPr>
        <w:spacing w:after="0" w:line="38" w:lineRule="exact"/>
        <w:rPr>
          <w:rFonts w:ascii="Arial" w:cs="Arial" w:eastAsia="Arial" w:hAnsi="Arial"/>
          <w:sz w:val="11"/>
          <w:szCs w:val="11"/>
          <w:color w:val="F7323F"/>
        </w:rPr>
      </w:pPr>
    </w:p>
    <w:p>
      <w:pPr>
        <w:jc w:val="both"/>
        <w:ind w:left="2420" w:right="839" w:hanging="217"/>
        <w:spacing w:after="0" w:line="242" w:lineRule="auto"/>
        <w:tabs>
          <w:tab w:leader="none" w:pos="2420" w:val="left"/>
        </w:tabs>
        <w:numPr>
          <w:ilvl w:val="0"/>
          <w:numId w:val="30"/>
        </w:numPr>
        <w:rPr>
          <w:rFonts w:ascii="Arial" w:cs="Arial" w:eastAsia="Arial" w:hAnsi="Arial"/>
          <w:sz w:val="11"/>
          <w:szCs w:val="11"/>
          <w:color w:val="F7323F"/>
        </w:rPr>
      </w:pPr>
      <w:r>
        <w:rPr>
          <w:rFonts w:ascii="Arial" w:cs="Arial" w:eastAsia="Arial" w:hAnsi="Arial"/>
          <w:sz w:val="11"/>
          <w:szCs w:val="11"/>
          <w:color w:val="050505"/>
        </w:rPr>
        <w:t>232,550 shares of our Class A common stock issuable upon the exercise of options to purchase shares of our Class A common stock under our 2019 Plan which will be granted effective as of the filing of our registration statement on Form S-8, with an exercise price equal to the initial public offering price;</w:t>
      </w:r>
    </w:p>
    <w:p>
      <w:pPr>
        <w:spacing w:after="0" w:line="40" w:lineRule="exact"/>
        <w:rPr>
          <w:rFonts w:ascii="Arial" w:cs="Arial" w:eastAsia="Arial" w:hAnsi="Arial"/>
          <w:sz w:val="11"/>
          <w:szCs w:val="11"/>
          <w:color w:val="F7323F"/>
        </w:rPr>
      </w:pPr>
    </w:p>
    <w:p>
      <w:pPr>
        <w:ind w:left="2420" w:right="839" w:hanging="217"/>
        <w:spacing w:after="0" w:line="245" w:lineRule="auto"/>
        <w:tabs>
          <w:tab w:leader="none" w:pos="2420" w:val="left"/>
        </w:tabs>
        <w:numPr>
          <w:ilvl w:val="0"/>
          <w:numId w:val="30"/>
        </w:numPr>
        <w:rPr>
          <w:rFonts w:ascii="Arial" w:cs="Arial" w:eastAsia="Arial" w:hAnsi="Arial"/>
          <w:sz w:val="11"/>
          <w:szCs w:val="11"/>
          <w:color w:val="F7323F"/>
        </w:rPr>
      </w:pPr>
      <w:r>
        <w:rPr>
          <w:rFonts w:ascii="Arial" w:cs="Arial" w:eastAsia="Arial" w:hAnsi="Arial"/>
          <w:sz w:val="11"/>
          <w:szCs w:val="11"/>
          <w:color w:val="050505"/>
        </w:rPr>
        <w:t>240,000 shares of our Class B common stock issuable upon the exercise of a warrant to purchase Class B common stock outstanding as of June 30, 2019, with an exercise price of $0.19 per share; and</w:t>
      </w:r>
    </w:p>
    <w:p>
      <w:pPr>
        <w:spacing w:after="0" w:line="38" w:lineRule="exact"/>
        <w:rPr>
          <w:rFonts w:ascii="Arial" w:cs="Arial" w:eastAsia="Arial" w:hAnsi="Arial"/>
          <w:sz w:val="11"/>
          <w:szCs w:val="11"/>
          <w:color w:val="F7323F"/>
        </w:rPr>
      </w:pPr>
    </w:p>
    <w:p>
      <w:pPr>
        <w:jc w:val="both"/>
        <w:ind w:left="2420" w:right="839" w:hanging="217"/>
        <w:spacing w:after="0"/>
        <w:tabs>
          <w:tab w:leader="none" w:pos="2420" w:val="left"/>
        </w:tabs>
        <w:numPr>
          <w:ilvl w:val="0"/>
          <w:numId w:val="30"/>
        </w:numPr>
        <w:rPr>
          <w:rFonts w:ascii="Arial" w:cs="Arial" w:eastAsia="Arial" w:hAnsi="Arial"/>
          <w:sz w:val="11"/>
          <w:szCs w:val="11"/>
          <w:color w:val="F7323F"/>
        </w:rPr>
      </w:pPr>
      <w:r>
        <w:rPr>
          <w:rFonts w:ascii="Arial" w:cs="Arial" w:eastAsia="Arial" w:hAnsi="Arial"/>
          <w:sz w:val="11"/>
          <w:szCs w:val="11"/>
          <w:color w:val="050505"/>
        </w:rPr>
        <w:t>55,672,360 shares of our common stock reserved for future issuance under our equity compensation plans, consisting of (1) 9,085,593 shares of our Class B common stock reserved for future issuance under our 2015 Plan as of June 30, 2019 (which reserve does not reflect the options to purchase shares of our Class B common stock granted after June 30, 2019), (2) 40,986,767 shares of our Class A common stock reserved for future issuance under our 2019 Plan, which became effective on the date immediately prior to the date of this prospectus (which reserve does not reflect the options to purchase shares of our Class A common stock which will be granted effective as of the filing of our registration statement on Form S-8), and (3) 5,600,000 shares of our Class A common stock reserved for issuance under our 2019 ESPP, which became effective on the date of this prospectus.</w:t>
      </w:r>
    </w:p>
    <w:p>
      <w:pPr>
        <w:spacing w:after="0" w:line="141" w:lineRule="exact"/>
        <w:rPr>
          <w:sz w:val="20"/>
          <w:szCs w:val="20"/>
          <w:color w:val="auto"/>
        </w:rPr>
      </w:pPr>
    </w:p>
    <w:p>
      <w:pPr>
        <w:jc w:val="both"/>
        <w:ind w:left="2060" w:right="839"/>
        <w:spacing w:after="0" w:line="241" w:lineRule="auto"/>
        <w:rPr>
          <w:sz w:val="20"/>
          <w:szCs w:val="20"/>
          <w:color w:val="auto"/>
        </w:rPr>
      </w:pPr>
      <w:r>
        <w:rPr>
          <w:rFonts w:ascii="Arial" w:cs="Arial" w:eastAsia="Arial" w:hAnsi="Arial"/>
          <w:sz w:val="11"/>
          <w:szCs w:val="11"/>
          <w:color w:val="050505"/>
        </w:rPr>
        <w:t>On the date immediately prior to the date of this prospectus, the remaining shares available for issuance under our 2015 Plan were added to the shares of our Class A common stock reserved for issuance under our 2019 Plan, and we ceased granting awards under the 2015 Plan. Our 2019 Plan and 2019 ESPP also provide for automatic annual increases in the number of shares reserved thereunder. See the section titled “Executive Compensation— Employee Benefit Plans” for additional information.</w:t>
      </w:r>
    </w:p>
    <w:p>
      <w:pPr>
        <w:spacing w:after="0" w:line="95" w:lineRule="exact"/>
        <w:rPr>
          <w:sz w:val="20"/>
          <w:szCs w:val="20"/>
          <w:color w:val="auto"/>
        </w:rPr>
      </w:pPr>
    </w:p>
    <w:p>
      <w:pPr>
        <w:ind w:left="5680"/>
        <w:spacing w:after="0"/>
        <w:rPr>
          <w:sz w:val="20"/>
          <w:szCs w:val="20"/>
          <w:color w:val="auto"/>
        </w:rPr>
      </w:pPr>
      <w:r>
        <w:rPr>
          <w:rFonts w:ascii="Arial" w:cs="Arial" w:eastAsia="Arial" w:hAnsi="Arial"/>
          <w:sz w:val="11"/>
          <w:szCs w:val="11"/>
          <w:color w:val="050505"/>
        </w:rPr>
        <w:t>51</w:t>
      </w:r>
    </w:p>
    <w:p>
      <w:pPr>
        <w:sectPr>
          <w:pgSz w:w="11900" w:h="16838" w:orient="portrait"/>
          <w:cols w:equalWidth="0" w:num="1">
            <w:col w:w="10239"/>
          </w:cols>
          <w:pgMar w:left="220" w:top="354" w:right="1440" w:bottom="1440" w:gutter="0" w:footer="0" w:header="0"/>
        </w:sectPr>
      </w:pPr>
    </w:p>
    <w:bookmarkStart w:id="56" w:name="page57"/>
    <w:bookmarkEnd w:id="56"/>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hyperlink w:anchor="page5">
        <w:r>
          <w:rPr>
            <w:rFonts w:ascii="Arial" w:cs="Arial" w:eastAsia="Arial" w:hAnsi="Arial"/>
            <w:sz w:val="12"/>
            <w:szCs w:val="12"/>
            <w:b w:val="1"/>
            <w:bCs w:val="1"/>
            <w:u w:val="single" w:color="auto"/>
            <w:color w:val="0000EE"/>
          </w:rPr>
          <w:t>Table of Contents</w:t>
        </w:r>
      </w:hyperlink>
    </w:p>
    <w:p>
      <w:pPr>
        <w:spacing w:after="0" w:line="200" w:lineRule="exact"/>
        <w:rPr>
          <w:sz w:val="20"/>
          <w:szCs w:val="20"/>
          <w:color w:val="auto"/>
        </w:rPr>
      </w:pPr>
    </w:p>
    <w:p>
      <w:pPr>
        <w:jc w:val="center"/>
        <w:ind w:right="-1220"/>
        <w:spacing w:after="0"/>
        <w:rPr>
          <w:sz w:val="20"/>
          <w:szCs w:val="20"/>
          <w:color w:val="auto"/>
        </w:rPr>
      </w:pPr>
      <w:r>
        <w:rPr>
          <w:rFonts w:ascii="Arial" w:cs="Arial" w:eastAsia="Arial" w:hAnsi="Arial"/>
          <w:sz w:val="12"/>
          <w:szCs w:val="12"/>
          <w:b w:val="1"/>
          <w:bCs w:val="1"/>
          <w:color w:val="auto"/>
        </w:rPr>
        <w:t>DILUTION</w:t>
      </w:r>
    </w:p>
    <w:p>
      <w:pPr>
        <w:spacing w:after="0" w:line="157" w:lineRule="exact"/>
        <w:rPr>
          <w:sz w:val="20"/>
          <w:szCs w:val="20"/>
          <w:color w:val="auto"/>
        </w:rPr>
      </w:pPr>
    </w:p>
    <w:p>
      <w:pPr>
        <w:jc w:val="both"/>
        <w:ind w:left="2060" w:right="839"/>
        <w:spacing w:after="0" w:line="242" w:lineRule="auto"/>
        <w:rPr>
          <w:sz w:val="20"/>
          <w:szCs w:val="20"/>
          <w:color w:val="auto"/>
        </w:rPr>
      </w:pPr>
      <w:r>
        <w:rPr>
          <w:rFonts w:ascii="Arial" w:cs="Arial" w:eastAsia="Arial" w:hAnsi="Arial"/>
          <w:sz w:val="11"/>
          <w:szCs w:val="11"/>
          <w:color w:val="050505"/>
        </w:rPr>
        <w:t>If you invest in our Class A common stock, your interest will be diluted to the extent of the difference between the amount per share paid by purchasers of shares of Class A common stock in this initial public offering and the private placement and the pro forma as adjusted net tangible book value per share of Class A common stock immediately after this offering and the private placement.</w:t>
      </w:r>
    </w:p>
    <w:p>
      <w:pPr>
        <w:spacing w:after="0" w:line="140" w:lineRule="exact"/>
        <w:rPr>
          <w:sz w:val="20"/>
          <w:szCs w:val="20"/>
          <w:color w:val="auto"/>
        </w:rPr>
      </w:pPr>
    </w:p>
    <w:p>
      <w:pPr>
        <w:jc w:val="both"/>
        <w:ind w:left="2060" w:right="839"/>
        <w:spacing w:after="0"/>
        <w:rPr>
          <w:sz w:val="20"/>
          <w:szCs w:val="20"/>
          <w:color w:val="auto"/>
        </w:rPr>
      </w:pPr>
      <w:r>
        <w:rPr>
          <w:rFonts w:ascii="Arial" w:cs="Arial" w:eastAsia="Arial" w:hAnsi="Arial"/>
          <w:sz w:val="11"/>
          <w:szCs w:val="11"/>
          <w:color w:val="050505"/>
        </w:rPr>
        <w:t>As of June 30, 2019, our pro forma net tangible book value was approximately $378.8 million, or $1.61 per share of common stock. Our pro forma net tangible book value per share represents the amount of our total tangible assets reduced by the amount of our total liabilities and divided by the total number of shares of our common stock outstanding as of June 30, 2019 after giving effect to (1) the redesignation of our outstanding common stock as Class B common stock as of September 2019, (2) the automatic conversion of all outstanding shares of our redeemable convertible preferred stock outstanding as of June 30, 2019 into 210,640,629 shares of our Class B common stock, and (3) the filing and effectiveness of our restated certificate of incorporation.</w:t>
      </w:r>
    </w:p>
    <w:p>
      <w:pPr>
        <w:spacing w:after="0" w:line="142" w:lineRule="exact"/>
        <w:rPr>
          <w:sz w:val="20"/>
          <w:szCs w:val="20"/>
          <w:color w:val="auto"/>
        </w:rPr>
      </w:pPr>
    </w:p>
    <w:p>
      <w:pPr>
        <w:jc w:val="both"/>
        <w:ind w:left="2060" w:right="839"/>
        <w:spacing w:after="0"/>
        <w:rPr>
          <w:sz w:val="20"/>
          <w:szCs w:val="20"/>
          <w:color w:val="auto"/>
        </w:rPr>
      </w:pPr>
      <w:r>
        <w:rPr>
          <w:rFonts w:ascii="Arial" w:cs="Arial" w:eastAsia="Arial" w:hAnsi="Arial"/>
          <w:sz w:val="11"/>
          <w:szCs w:val="11"/>
          <w:color w:val="050505"/>
        </w:rPr>
        <w:t>After giving effect to our sale in this offering and the private placement of 43,448,275 shares of our Class A common stock, at the initial public offering price of $29.00 per share and after deducting the underwriting discount and estimated offering expenses, our pro forma as adjusted net tangible book value as of June 30, 2019 would have been approximately $1,575 million, or $5.64 per share. This represents an immediate increase in pro forma net tangible book value of $4.03 per share to our existing stockholders and an immediate dilution of $23.36 per share to investors purchasing Class A common stock in this offering and the private placement at the initial public offering price.</w:t>
      </w:r>
    </w:p>
    <w:p>
      <w:pPr>
        <w:spacing w:after="0" w:line="142" w:lineRule="exact"/>
        <w:rPr>
          <w:sz w:val="20"/>
          <w:szCs w:val="20"/>
          <w:color w:val="auto"/>
        </w:rPr>
      </w:pPr>
    </w:p>
    <w:tbl>
      <w:tblPr>
        <w:tblLayout w:type="fixed"/>
        <w:tblInd w:w="2060" w:type="dxa"/>
        <w:tblCellMar>
          <w:top w:w="0" w:type="dxa"/>
          <w:left w:w="0" w:type="dxa"/>
          <w:bottom w:w="0" w:type="dxa"/>
          <w:right w:w="0" w:type="dxa"/>
        </w:tblCellMar>
      </w:tblPr>
      <w:tr>
        <w:trPr>
          <w:trHeight w:val="130"/>
        </w:trPr>
        <w:tc>
          <w:tcPr>
            <w:tcW w:w="6380" w:type="dxa"/>
            <w:vAlign w:val="bottom"/>
          </w:tcPr>
          <w:p>
            <w:pPr>
              <w:spacing w:after="0"/>
              <w:rPr>
                <w:sz w:val="20"/>
                <w:szCs w:val="20"/>
                <w:color w:val="auto"/>
              </w:rPr>
            </w:pPr>
            <w:r>
              <w:rPr>
                <w:rFonts w:ascii="Arial" w:cs="Arial" w:eastAsia="Arial" w:hAnsi="Arial"/>
                <w:sz w:val="11"/>
                <w:szCs w:val="11"/>
                <w:color w:val="050505"/>
              </w:rPr>
              <w:t>The following table illustrates this dilution on a per share basis to new investors and private placement investors:</w:t>
            </w: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157"/>
        </w:trPr>
        <w:tc>
          <w:tcPr>
            <w:tcW w:w="63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126"/>
        </w:trPr>
        <w:tc>
          <w:tcPr>
            <w:tcW w:w="6380" w:type="dxa"/>
            <w:vAlign w:val="bottom"/>
            <w:shd w:val="clear" w:color="auto" w:fill="CCEEFF"/>
          </w:tcPr>
          <w:p>
            <w:pPr>
              <w:ind w:left="40"/>
              <w:spacing w:after="0"/>
              <w:rPr>
                <w:sz w:val="20"/>
                <w:szCs w:val="20"/>
                <w:color w:val="auto"/>
              </w:rPr>
            </w:pPr>
            <w:r>
              <w:rPr>
                <w:rFonts w:ascii="Arial" w:cs="Arial" w:eastAsia="Arial" w:hAnsi="Arial"/>
                <w:sz w:val="11"/>
                <w:szCs w:val="11"/>
                <w:color w:val="050505"/>
              </w:rPr>
              <w:t>Initial public offering price per share</w:t>
            </w:r>
          </w:p>
        </w:tc>
        <w:tc>
          <w:tcPr>
            <w:tcW w:w="940" w:type="dxa"/>
            <w:vAlign w:val="bottom"/>
            <w:gridSpan w:val="4"/>
            <w:shd w:val="clear" w:color="auto" w:fill="CCEEFF"/>
          </w:tcPr>
          <w:p>
            <w:pPr>
              <w:jc w:val="right"/>
              <w:spacing w:after="0"/>
              <w:rPr>
                <w:sz w:val="20"/>
                <w:szCs w:val="20"/>
                <w:color w:val="auto"/>
              </w:rPr>
            </w:pPr>
            <w:r>
              <w:rPr>
                <w:rFonts w:ascii="Arial" w:cs="Arial" w:eastAsia="Arial" w:hAnsi="Arial"/>
                <w:sz w:val="11"/>
                <w:szCs w:val="11"/>
                <w:color w:val="050505"/>
              </w:rPr>
              <w:t>$29.00</w:t>
            </w:r>
          </w:p>
        </w:tc>
        <w:tc>
          <w:tcPr>
            <w:tcW w:w="40" w:type="dxa"/>
            <w:vAlign w:val="bottom"/>
            <w:shd w:val="clear" w:color="auto" w:fill="CCEEFF"/>
          </w:tcPr>
          <w:p>
            <w:pPr>
              <w:spacing w:after="0"/>
              <w:rPr>
                <w:sz w:val="10"/>
                <w:szCs w:val="10"/>
                <w:color w:val="auto"/>
              </w:rPr>
            </w:pPr>
          </w:p>
        </w:tc>
      </w:tr>
      <w:tr>
        <w:trPr>
          <w:trHeight w:val="126"/>
        </w:trPr>
        <w:tc>
          <w:tcPr>
            <w:tcW w:w="6380" w:type="dxa"/>
            <w:vAlign w:val="bottom"/>
          </w:tcPr>
          <w:p>
            <w:pPr>
              <w:ind w:left="160"/>
              <w:spacing w:after="0"/>
              <w:rPr>
                <w:sz w:val="20"/>
                <w:szCs w:val="20"/>
                <w:color w:val="auto"/>
              </w:rPr>
            </w:pPr>
            <w:r>
              <w:rPr>
                <w:rFonts w:ascii="Arial" w:cs="Arial" w:eastAsia="Arial" w:hAnsi="Arial"/>
                <w:sz w:val="11"/>
                <w:szCs w:val="11"/>
                <w:color w:val="050505"/>
              </w:rPr>
              <w:t>Pro forma net tangible book value per share as of June 30, 2019, before giving effect to this offering and the private placement</w:t>
            </w:r>
          </w:p>
        </w:tc>
        <w:tc>
          <w:tcPr>
            <w:tcW w:w="480" w:type="dxa"/>
            <w:vAlign w:val="bottom"/>
            <w:gridSpan w:val="2"/>
          </w:tcPr>
          <w:p>
            <w:pPr>
              <w:jc w:val="right"/>
              <w:spacing w:after="0"/>
              <w:rPr>
                <w:sz w:val="20"/>
                <w:szCs w:val="20"/>
                <w:color w:val="auto"/>
              </w:rPr>
            </w:pPr>
            <w:r>
              <w:rPr>
                <w:rFonts w:ascii="Arial" w:cs="Arial" w:eastAsia="Arial" w:hAnsi="Arial"/>
                <w:sz w:val="11"/>
                <w:szCs w:val="11"/>
                <w:color w:val="050505"/>
              </w:rPr>
              <w:t>$1.61</w:t>
            </w:r>
          </w:p>
        </w:tc>
        <w:tc>
          <w:tcPr>
            <w:tcW w:w="1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0" w:type="dxa"/>
            <w:vAlign w:val="bottom"/>
          </w:tcPr>
          <w:p>
            <w:pPr>
              <w:spacing w:after="0"/>
              <w:rPr>
                <w:sz w:val="10"/>
                <w:szCs w:val="10"/>
                <w:color w:val="auto"/>
              </w:rPr>
            </w:pPr>
          </w:p>
        </w:tc>
      </w:tr>
      <w:tr>
        <w:trPr>
          <w:trHeight w:val="126"/>
        </w:trPr>
        <w:tc>
          <w:tcPr>
            <w:tcW w:w="6380" w:type="dxa"/>
            <w:vAlign w:val="bottom"/>
            <w:shd w:val="clear" w:color="auto" w:fill="CCEEFF"/>
          </w:tcPr>
          <w:p>
            <w:pPr>
              <w:ind w:left="160"/>
              <w:spacing w:after="0"/>
              <w:rPr>
                <w:sz w:val="20"/>
                <w:szCs w:val="20"/>
                <w:color w:val="auto"/>
              </w:rPr>
            </w:pPr>
            <w:r>
              <w:rPr>
                <w:rFonts w:ascii="Arial" w:cs="Arial" w:eastAsia="Arial" w:hAnsi="Arial"/>
                <w:sz w:val="11"/>
                <w:szCs w:val="11"/>
                <w:color w:val="050505"/>
              </w:rPr>
              <w:t>Increase in pro forma net tangible book value per share attributable to new investors and private placement investors</w:t>
            </w:r>
          </w:p>
        </w:tc>
        <w:tc>
          <w:tcPr>
            <w:tcW w:w="200" w:type="dxa"/>
            <w:vAlign w:val="bottom"/>
            <w:shd w:val="clear" w:color="auto" w:fill="CCEEFF"/>
          </w:tcPr>
          <w:p>
            <w:pPr>
              <w:spacing w:after="0"/>
              <w:rPr>
                <w:sz w:val="10"/>
                <w:szCs w:val="10"/>
                <w:color w:val="auto"/>
              </w:rPr>
            </w:pP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050505"/>
              </w:rPr>
              <w:t>4.03</w:t>
            </w:r>
          </w:p>
        </w:tc>
        <w:tc>
          <w:tcPr>
            <w:tcW w:w="12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r>
      <w:tr>
        <w:trPr>
          <w:trHeight w:val="124"/>
        </w:trPr>
        <w:tc>
          <w:tcPr>
            <w:tcW w:w="6380" w:type="dxa"/>
            <w:vAlign w:val="bottom"/>
          </w:tcPr>
          <w:p>
            <w:pPr>
              <w:ind w:left="40"/>
              <w:spacing w:after="0" w:line="124" w:lineRule="exact"/>
              <w:rPr>
                <w:sz w:val="20"/>
                <w:szCs w:val="20"/>
                <w:color w:val="auto"/>
              </w:rPr>
            </w:pPr>
            <w:r>
              <w:rPr>
                <w:rFonts w:ascii="Arial" w:cs="Arial" w:eastAsia="Arial" w:hAnsi="Arial"/>
                <w:sz w:val="11"/>
                <w:szCs w:val="11"/>
                <w:color w:val="050505"/>
              </w:rPr>
              <w:t>Pro forma as adjusted net tangible book value per share</w:t>
            </w:r>
          </w:p>
        </w:tc>
        <w:tc>
          <w:tcPr>
            <w:tcW w:w="600" w:type="dxa"/>
            <w:vAlign w:val="bottom"/>
            <w:gridSpan w:val="3"/>
          </w:tcPr>
          <w:p>
            <w:pPr>
              <w:spacing w:after="0"/>
              <w:rPr>
                <w:sz w:val="10"/>
                <w:szCs w:val="10"/>
                <w:color w:val="auto"/>
              </w:rPr>
            </w:pPr>
          </w:p>
        </w:tc>
        <w:tc>
          <w:tcPr>
            <w:tcW w:w="340" w:type="dxa"/>
            <w:vAlign w:val="bottom"/>
            <w:tcBorders>
              <w:bottom w:val="single" w:sz="8" w:color="auto"/>
            </w:tcBorders>
          </w:tcPr>
          <w:p>
            <w:pPr>
              <w:jc w:val="right"/>
              <w:spacing w:after="0" w:line="124" w:lineRule="exact"/>
              <w:rPr>
                <w:sz w:val="20"/>
                <w:szCs w:val="20"/>
                <w:color w:val="auto"/>
              </w:rPr>
            </w:pPr>
            <w:r>
              <w:rPr>
                <w:rFonts w:ascii="Arial" w:cs="Arial" w:eastAsia="Arial" w:hAnsi="Arial"/>
                <w:sz w:val="11"/>
                <w:szCs w:val="11"/>
                <w:color w:val="050505"/>
              </w:rPr>
              <w:t>5.64</w:t>
            </w:r>
          </w:p>
        </w:tc>
        <w:tc>
          <w:tcPr>
            <w:tcW w:w="40" w:type="dxa"/>
            <w:vAlign w:val="bottom"/>
          </w:tcPr>
          <w:p>
            <w:pPr>
              <w:spacing w:after="0"/>
              <w:rPr>
                <w:sz w:val="10"/>
                <w:szCs w:val="10"/>
                <w:color w:val="auto"/>
              </w:rPr>
            </w:pPr>
          </w:p>
        </w:tc>
      </w:tr>
      <w:tr>
        <w:trPr>
          <w:trHeight w:val="124"/>
        </w:trPr>
        <w:tc>
          <w:tcPr>
            <w:tcW w:w="6380" w:type="dxa"/>
            <w:vAlign w:val="bottom"/>
            <w:shd w:val="clear" w:color="auto" w:fill="CCEEFF"/>
          </w:tcPr>
          <w:p>
            <w:pPr>
              <w:ind w:left="40"/>
              <w:spacing w:after="0" w:line="124" w:lineRule="exact"/>
              <w:rPr>
                <w:sz w:val="20"/>
                <w:szCs w:val="20"/>
                <w:color w:val="auto"/>
              </w:rPr>
            </w:pPr>
            <w:r>
              <w:rPr>
                <w:rFonts w:ascii="Arial" w:cs="Arial" w:eastAsia="Arial" w:hAnsi="Arial"/>
                <w:sz w:val="11"/>
                <w:szCs w:val="11"/>
                <w:color w:val="050505"/>
              </w:rPr>
              <w:t>Dilution in pro forma as adjusted net tangible book value per share to new investors and private placement investors</w:t>
            </w:r>
          </w:p>
        </w:tc>
        <w:tc>
          <w:tcPr>
            <w:tcW w:w="940" w:type="dxa"/>
            <w:vAlign w:val="bottom"/>
            <w:gridSpan w:val="4"/>
            <w:shd w:val="clear" w:color="auto" w:fill="CCEEFF"/>
          </w:tcPr>
          <w:p>
            <w:pPr>
              <w:jc w:val="right"/>
              <w:spacing w:after="0" w:line="124" w:lineRule="exact"/>
              <w:rPr>
                <w:sz w:val="20"/>
                <w:szCs w:val="20"/>
                <w:color w:val="auto"/>
              </w:rPr>
            </w:pPr>
            <w:r>
              <w:rPr>
                <w:rFonts w:ascii="Arial" w:cs="Arial" w:eastAsia="Arial" w:hAnsi="Arial"/>
                <w:sz w:val="11"/>
                <w:szCs w:val="11"/>
                <w:color w:val="050505"/>
              </w:rPr>
              <w:t>$23.36</w:t>
            </w:r>
          </w:p>
        </w:tc>
        <w:tc>
          <w:tcPr>
            <w:tcW w:w="40" w:type="dxa"/>
            <w:vAlign w:val="bottom"/>
            <w:shd w:val="clear" w:color="auto" w:fill="CCEEFF"/>
          </w:tcPr>
          <w:p>
            <w:pPr>
              <w:spacing w:after="0"/>
              <w:rPr>
                <w:sz w:val="10"/>
                <w:szCs w:val="10"/>
                <w:color w:val="auto"/>
              </w:rPr>
            </w:pPr>
          </w:p>
        </w:tc>
      </w:tr>
      <w:tr>
        <w:trPr>
          <w:trHeight w:val="27"/>
        </w:trPr>
        <w:tc>
          <w:tcPr>
            <w:tcW w:w="6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r>
    </w:tbl>
    <w:p>
      <w:pPr>
        <w:spacing w:after="0" w:line="154" w:lineRule="exact"/>
        <w:rPr>
          <w:sz w:val="20"/>
          <w:szCs w:val="20"/>
          <w:color w:val="auto"/>
        </w:rPr>
      </w:pPr>
    </w:p>
    <w:p>
      <w:pPr>
        <w:jc w:val="both"/>
        <w:ind w:left="2060" w:right="839"/>
        <w:spacing w:after="0" w:line="242" w:lineRule="auto"/>
        <w:rPr>
          <w:sz w:val="20"/>
          <w:szCs w:val="20"/>
          <w:color w:val="auto"/>
        </w:rPr>
      </w:pPr>
      <w:r>
        <w:rPr>
          <w:rFonts w:ascii="Arial" w:cs="Arial" w:eastAsia="Arial" w:hAnsi="Arial"/>
          <w:sz w:val="11"/>
          <w:szCs w:val="11"/>
          <w:color w:val="050505"/>
        </w:rPr>
        <w:t>If the underwriters exercise their option to purchase additional shares in full, the pro forma as adjusted net tangible book value per share of our common stock after giving effect to this offering and the private placement would be $6.10 per share and the dilution in pro forma net tangible book value per share to investors in this offering and the private placement would be $22.90 per share.</w:t>
      </w:r>
    </w:p>
    <w:p>
      <w:pPr>
        <w:spacing w:after="0" w:line="140" w:lineRule="exact"/>
        <w:rPr>
          <w:sz w:val="20"/>
          <w:szCs w:val="20"/>
          <w:color w:val="auto"/>
        </w:rPr>
      </w:pPr>
    </w:p>
    <w:p>
      <w:pPr>
        <w:jc w:val="both"/>
        <w:ind w:left="2060" w:right="839"/>
        <w:spacing w:after="0" w:line="242" w:lineRule="auto"/>
        <w:rPr>
          <w:sz w:val="20"/>
          <w:szCs w:val="20"/>
          <w:color w:val="auto"/>
        </w:rPr>
      </w:pPr>
      <w:r>
        <w:rPr>
          <w:rFonts w:ascii="Arial" w:cs="Arial" w:eastAsia="Arial" w:hAnsi="Arial"/>
          <w:sz w:val="11"/>
          <w:szCs w:val="11"/>
          <w:color w:val="050505"/>
        </w:rPr>
        <w:t>The following table summarizes, on a pro forma as adjusted basis as of June 30, 2019, after giving effect to the pro forma adjustments described above, the difference among existing stockholders, new investors purchasing shares of Class A common stock in this offering and the private placement investors with respect to the number of shares purchased from us,</w:t>
      </w:r>
    </w:p>
    <w:p>
      <w:pPr>
        <w:spacing w:after="0" w:line="95" w:lineRule="exact"/>
        <w:rPr>
          <w:sz w:val="20"/>
          <w:szCs w:val="20"/>
          <w:color w:val="auto"/>
        </w:rPr>
      </w:pPr>
    </w:p>
    <w:p>
      <w:pPr>
        <w:ind w:left="5680"/>
        <w:spacing w:after="0"/>
        <w:rPr>
          <w:sz w:val="20"/>
          <w:szCs w:val="20"/>
          <w:color w:val="auto"/>
        </w:rPr>
      </w:pPr>
      <w:r>
        <w:rPr>
          <w:rFonts w:ascii="Arial" w:cs="Arial" w:eastAsia="Arial" w:hAnsi="Arial"/>
          <w:sz w:val="11"/>
          <w:szCs w:val="11"/>
          <w:color w:val="050505"/>
        </w:rPr>
        <w:t>52</w:t>
      </w:r>
    </w:p>
    <w:p>
      <w:pPr>
        <w:sectPr>
          <w:pgSz w:w="11900" w:h="16838" w:orient="portrait"/>
          <w:cols w:equalWidth="0" w:num="1">
            <w:col w:w="10239"/>
          </w:cols>
          <w:pgMar w:left="220" w:top="354" w:right="1440" w:bottom="1440" w:gutter="0" w:footer="0" w:header="0"/>
        </w:sectPr>
      </w:pPr>
    </w:p>
    <w:bookmarkStart w:id="57" w:name="page58"/>
    <w:bookmarkEnd w:id="57"/>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hyperlink w:anchor="page5">
        <w:r>
          <w:rPr>
            <w:rFonts w:ascii="Arial" w:cs="Arial" w:eastAsia="Arial" w:hAnsi="Arial"/>
            <w:sz w:val="12"/>
            <w:szCs w:val="12"/>
            <w:b w:val="1"/>
            <w:bCs w:val="1"/>
            <w:u w:val="single" w:color="auto"/>
            <w:color w:val="0000EE"/>
          </w:rPr>
          <w:t>Table of Contents</w:t>
        </w:r>
      </w:hyperlink>
    </w:p>
    <w:p>
      <w:pPr>
        <w:spacing w:after="0" w:line="216" w:lineRule="exact"/>
        <w:rPr>
          <w:sz w:val="20"/>
          <w:szCs w:val="20"/>
          <w:color w:val="auto"/>
        </w:rPr>
      </w:pPr>
    </w:p>
    <w:p>
      <w:pPr>
        <w:jc w:val="both"/>
        <w:ind w:left="2060" w:right="839"/>
        <w:spacing w:after="0" w:line="242" w:lineRule="auto"/>
        <w:rPr>
          <w:sz w:val="20"/>
          <w:szCs w:val="20"/>
          <w:color w:val="auto"/>
        </w:rPr>
      </w:pPr>
      <w:r>
        <w:rPr>
          <w:rFonts w:ascii="Arial" w:cs="Arial" w:eastAsia="Arial" w:hAnsi="Arial"/>
          <w:sz w:val="11"/>
          <w:szCs w:val="11"/>
          <w:color w:val="050505"/>
        </w:rPr>
        <w:t>the total consideration paid to us, and the average price per share paid by our existing stockholders or to be paid by investors purchasing shares in this offering and the private placement at the initial public offering price of $29.00 per share and before deducting the underwriting discount and estimated offering expenses:</w:t>
      </w:r>
    </w:p>
    <w:p>
      <w:pPr>
        <w:spacing w:after="0" w:line="145" w:lineRule="exact"/>
        <w:rPr>
          <w:sz w:val="20"/>
          <w:szCs w:val="20"/>
          <w:color w:val="auto"/>
        </w:rPr>
      </w:pPr>
    </w:p>
    <w:tbl>
      <w:tblPr>
        <w:tblLayout w:type="fixed"/>
        <w:tblInd w:w="2060" w:type="dxa"/>
        <w:tblCellMar>
          <w:top w:w="0" w:type="dxa"/>
          <w:left w:w="0" w:type="dxa"/>
          <w:bottom w:w="0" w:type="dxa"/>
          <w:right w:w="0" w:type="dxa"/>
        </w:tblCellMar>
      </w:tblPr>
      <w:tr>
        <w:trPr>
          <w:trHeight w:val="126"/>
        </w:trPr>
        <w:tc>
          <w:tcPr>
            <w:tcW w:w="3440" w:type="dxa"/>
            <w:vAlign w:val="bottom"/>
          </w:tcPr>
          <w:p>
            <w:pPr>
              <w:spacing w:after="0"/>
              <w:rPr>
                <w:sz w:val="10"/>
                <w:szCs w:val="10"/>
                <w:color w:val="auto"/>
              </w:rPr>
            </w:pPr>
          </w:p>
        </w:tc>
        <w:tc>
          <w:tcPr>
            <w:tcW w:w="1560" w:type="dxa"/>
            <w:vAlign w:val="bottom"/>
            <w:gridSpan w:val="4"/>
            <w:vMerge w:val="restart"/>
          </w:tcPr>
          <w:p>
            <w:pPr>
              <w:jc w:val="right"/>
              <w:ind w:right="420"/>
              <w:spacing w:after="0"/>
              <w:rPr>
                <w:sz w:val="20"/>
                <w:szCs w:val="20"/>
                <w:color w:val="auto"/>
              </w:rPr>
            </w:pPr>
            <w:r>
              <w:rPr>
                <w:rFonts w:ascii="Arial" w:cs="Arial" w:eastAsia="Arial" w:hAnsi="Arial"/>
                <w:sz w:val="11"/>
                <w:szCs w:val="11"/>
                <w:b w:val="1"/>
                <w:bCs w:val="1"/>
                <w:color w:val="050505"/>
              </w:rPr>
              <w:t>Shares Purchased</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40" w:type="dxa"/>
            <w:vAlign w:val="bottom"/>
            <w:gridSpan w:val="4"/>
            <w:vMerge w:val="restart"/>
          </w:tcPr>
          <w:p>
            <w:pPr>
              <w:jc w:val="right"/>
              <w:ind w:right="380"/>
              <w:spacing w:after="0"/>
              <w:rPr>
                <w:sz w:val="20"/>
                <w:szCs w:val="20"/>
                <w:color w:val="auto"/>
              </w:rPr>
            </w:pPr>
            <w:r>
              <w:rPr>
                <w:rFonts w:ascii="Arial" w:cs="Arial" w:eastAsia="Arial" w:hAnsi="Arial"/>
                <w:sz w:val="11"/>
                <w:szCs w:val="11"/>
                <w:b w:val="1"/>
                <w:bCs w:val="1"/>
                <w:color w:val="050505"/>
              </w:rPr>
              <w:t>Total Consideration</w:t>
            </w:r>
          </w:p>
        </w:tc>
        <w:tc>
          <w:tcPr>
            <w:tcW w:w="140" w:type="dxa"/>
            <w:vAlign w:val="bottom"/>
          </w:tcPr>
          <w:p>
            <w:pPr>
              <w:spacing w:after="0"/>
              <w:rPr>
                <w:sz w:val="10"/>
                <w:szCs w:val="10"/>
                <w:color w:val="auto"/>
              </w:rPr>
            </w:pPr>
          </w:p>
        </w:tc>
        <w:tc>
          <w:tcPr>
            <w:tcW w:w="560" w:type="dxa"/>
            <w:vAlign w:val="bottom"/>
            <w:gridSpan w:val="3"/>
          </w:tcPr>
          <w:p>
            <w:pPr>
              <w:jc w:val="center"/>
              <w:ind w:right="60"/>
              <w:spacing w:after="0"/>
              <w:rPr>
                <w:sz w:val="20"/>
                <w:szCs w:val="20"/>
                <w:color w:val="auto"/>
              </w:rPr>
            </w:pPr>
            <w:r>
              <w:rPr>
                <w:rFonts w:ascii="Arial" w:cs="Arial" w:eastAsia="Arial" w:hAnsi="Arial"/>
                <w:sz w:val="11"/>
                <w:szCs w:val="11"/>
                <w:b w:val="1"/>
                <w:bCs w:val="1"/>
                <w:color w:val="050505"/>
                <w:w w:val="96"/>
              </w:rPr>
              <w:t>Average</w:t>
            </w:r>
          </w:p>
        </w:tc>
        <w:tc>
          <w:tcPr>
            <w:tcW w:w="0" w:type="dxa"/>
            <w:vAlign w:val="bottom"/>
          </w:tcPr>
          <w:p>
            <w:pPr>
              <w:spacing w:after="0"/>
              <w:rPr>
                <w:sz w:val="1"/>
                <w:szCs w:val="1"/>
                <w:color w:val="auto"/>
              </w:rPr>
            </w:pPr>
          </w:p>
        </w:tc>
      </w:tr>
      <w:tr>
        <w:trPr>
          <w:trHeight w:val="65"/>
        </w:trPr>
        <w:tc>
          <w:tcPr>
            <w:tcW w:w="3440" w:type="dxa"/>
            <w:vAlign w:val="bottom"/>
          </w:tcPr>
          <w:p>
            <w:pPr>
              <w:spacing w:after="0"/>
              <w:rPr>
                <w:sz w:val="5"/>
                <w:szCs w:val="5"/>
                <w:color w:val="auto"/>
              </w:rPr>
            </w:pPr>
          </w:p>
        </w:tc>
        <w:tc>
          <w:tcPr>
            <w:tcW w:w="1560" w:type="dxa"/>
            <w:vAlign w:val="bottom"/>
            <w:gridSpan w:val="4"/>
            <w:vMerge w:val="continue"/>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1440" w:type="dxa"/>
            <w:vAlign w:val="bottom"/>
            <w:gridSpan w:val="4"/>
            <w:vMerge w:val="continue"/>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460" w:type="dxa"/>
            <w:vAlign w:val="bottom"/>
            <w:gridSpan w:val="2"/>
            <w:vMerge w:val="restart"/>
          </w:tcPr>
          <w:p>
            <w:pPr>
              <w:jc w:val="center"/>
              <w:ind w:right="160"/>
              <w:spacing w:after="0"/>
              <w:rPr>
                <w:sz w:val="20"/>
                <w:szCs w:val="20"/>
                <w:color w:val="auto"/>
              </w:rPr>
            </w:pPr>
            <w:r>
              <w:rPr>
                <w:rFonts w:ascii="Arial" w:cs="Arial" w:eastAsia="Arial" w:hAnsi="Arial"/>
                <w:sz w:val="11"/>
                <w:szCs w:val="11"/>
                <w:b w:val="1"/>
                <w:bCs w:val="1"/>
                <w:color w:val="050505"/>
                <w:w w:val="96"/>
              </w:rPr>
              <w:t>Price</w:t>
            </w:r>
          </w:p>
        </w:tc>
        <w:tc>
          <w:tcPr>
            <w:tcW w:w="0" w:type="dxa"/>
            <w:vAlign w:val="bottom"/>
          </w:tcPr>
          <w:p>
            <w:pPr>
              <w:spacing w:after="0"/>
              <w:rPr>
                <w:sz w:val="1"/>
                <w:szCs w:val="1"/>
                <w:color w:val="auto"/>
              </w:rPr>
            </w:pPr>
          </w:p>
        </w:tc>
      </w:tr>
      <w:tr>
        <w:trPr>
          <w:trHeight w:val="41"/>
        </w:trPr>
        <w:tc>
          <w:tcPr>
            <w:tcW w:w="3440" w:type="dxa"/>
            <w:vAlign w:val="bottom"/>
          </w:tcPr>
          <w:p>
            <w:pPr>
              <w:spacing w:after="0"/>
              <w:rPr>
                <w:sz w:val="3"/>
                <w:szCs w:val="3"/>
                <w:color w:val="auto"/>
              </w:rPr>
            </w:pPr>
          </w:p>
        </w:tc>
        <w:tc>
          <w:tcPr>
            <w:tcW w:w="640" w:type="dxa"/>
            <w:vAlign w:val="bottom"/>
            <w:tcBorders>
              <w:top w:val="single" w:sz="8" w:color="auto"/>
            </w:tcBorders>
          </w:tcPr>
          <w:p>
            <w:pPr>
              <w:spacing w:after="0"/>
              <w:rPr>
                <w:sz w:val="3"/>
                <w:szCs w:val="3"/>
                <w:color w:val="auto"/>
              </w:rPr>
            </w:pPr>
          </w:p>
        </w:tc>
        <w:tc>
          <w:tcPr>
            <w:tcW w:w="280" w:type="dxa"/>
            <w:vAlign w:val="bottom"/>
            <w:tcBorders>
              <w:top w:val="single" w:sz="8" w:color="auto"/>
            </w:tcBorders>
          </w:tcPr>
          <w:p>
            <w:pPr>
              <w:spacing w:after="0"/>
              <w:rPr>
                <w:sz w:val="3"/>
                <w:szCs w:val="3"/>
                <w:color w:val="auto"/>
              </w:rPr>
            </w:pPr>
          </w:p>
        </w:tc>
        <w:tc>
          <w:tcPr>
            <w:tcW w:w="400" w:type="dxa"/>
            <w:vAlign w:val="bottom"/>
            <w:tcBorders>
              <w:top w:val="single" w:sz="8" w:color="auto"/>
            </w:tcBorders>
          </w:tcPr>
          <w:p>
            <w:pPr>
              <w:spacing w:after="0"/>
              <w:rPr>
                <w:sz w:val="3"/>
                <w:szCs w:val="3"/>
                <w:color w:val="auto"/>
              </w:rPr>
            </w:pPr>
          </w:p>
        </w:tc>
        <w:tc>
          <w:tcPr>
            <w:tcW w:w="24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Borders>
              <w:top w:val="single" w:sz="8" w:color="auto"/>
            </w:tcBorders>
          </w:tcPr>
          <w:p>
            <w:pPr>
              <w:spacing w:after="0"/>
              <w:rPr>
                <w:sz w:val="3"/>
                <w:szCs w:val="3"/>
                <w:color w:val="auto"/>
              </w:rPr>
            </w:pPr>
          </w:p>
        </w:tc>
        <w:tc>
          <w:tcPr>
            <w:tcW w:w="540" w:type="dxa"/>
            <w:vAlign w:val="bottom"/>
            <w:tcBorders>
              <w:top w:val="single" w:sz="8" w:color="auto"/>
            </w:tcBorders>
          </w:tcPr>
          <w:p>
            <w:pPr>
              <w:spacing w:after="0"/>
              <w:rPr>
                <w:sz w:val="3"/>
                <w:szCs w:val="3"/>
                <w:color w:val="auto"/>
              </w:rPr>
            </w:pPr>
          </w:p>
        </w:tc>
        <w:tc>
          <w:tcPr>
            <w:tcW w:w="260" w:type="dxa"/>
            <w:vAlign w:val="bottom"/>
            <w:tcBorders>
              <w:top w:val="single" w:sz="8" w:color="auto"/>
            </w:tcBorders>
          </w:tcPr>
          <w:p>
            <w:pPr>
              <w:spacing w:after="0"/>
              <w:rPr>
                <w:sz w:val="3"/>
                <w:szCs w:val="3"/>
                <w:color w:val="auto"/>
              </w:rPr>
            </w:pPr>
          </w:p>
        </w:tc>
        <w:tc>
          <w:tcPr>
            <w:tcW w:w="420" w:type="dxa"/>
            <w:vAlign w:val="bottom"/>
            <w:tcBorders>
              <w:top w:val="single" w:sz="8" w:color="auto"/>
            </w:tcBorders>
          </w:tcPr>
          <w:p>
            <w:pPr>
              <w:spacing w:after="0"/>
              <w:rPr>
                <w:sz w:val="3"/>
                <w:szCs w:val="3"/>
                <w:color w:val="auto"/>
              </w:rPr>
            </w:pPr>
          </w:p>
        </w:tc>
        <w:tc>
          <w:tcPr>
            <w:tcW w:w="2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460" w:type="dxa"/>
            <w:vAlign w:val="bottom"/>
            <w:gridSpan w:val="2"/>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37"/>
        </w:trPr>
        <w:tc>
          <w:tcPr>
            <w:tcW w:w="3440" w:type="dxa"/>
            <w:vAlign w:val="bottom"/>
          </w:tcPr>
          <w:p>
            <w:pPr>
              <w:spacing w:after="0"/>
              <w:rPr>
                <w:sz w:val="11"/>
                <w:szCs w:val="11"/>
                <w:color w:val="auto"/>
              </w:rPr>
            </w:pPr>
          </w:p>
        </w:tc>
        <w:tc>
          <w:tcPr>
            <w:tcW w:w="640" w:type="dxa"/>
            <w:vAlign w:val="bottom"/>
          </w:tcPr>
          <w:p>
            <w:pPr>
              <w:jc w:val="right"/>
              <w:ind w:right="66"/>
              <w:spacing w:after="0"/>
              <w:rPr>
                <w:sz w:val="20"/>
                <w:szCs w:val="20"/>
                <w:color w:val="auto"/>
              </w:rPr>
            </w:pPr>
            <w:r>
              <w:rPr>
                <w:rFonts w:ascii="Arial" w:cs="Arial" w:eastAsia="Arial" w:hAnsi="Arial"/>
                <w:sz w:val="11"/>
                <w:szCs w:val="11"/>
                <w:b w:val="1"/>
                <w:bCs w:val="1"/>
                <w:color w:val="050505"/>
              </w:rPr>
              <w:t>Number</w:t>
            </w:r>
          </w:p>
        </w:tc>
        <w:tc>
          <w:tcPr>
            <w:tcW w:w="920" w:type="dxa"/>
            <w:vAlign w:val="bottom"/>
            <w:gridSpan w:val="3"/>
          </w:tcPr>
          <w:p>
            <w:pPr>
              <w:jc w:val="right"/>
              <w:ind w:right="240"/>
              <w:spacing w:after="0"/>
              <w:rPr>
                <w:sz w:val="20"/>
                <w:szCs w:val="20"/>
                <w:color w:val="auto"/>
              </w:rPr>
            </w:pPr>
            <w:r>
              <w:rPr>
                <w:rFonts w:ascii="Arial" w:cs="Arial" w:eastAsia="Arial" w:hAnsi="Arial"/>
                <w:sz w:val="11"/>
                <w:szCs w:val="11"/>
                <w:b w:val="1"/>
                <w:bCs w:val="1"/>
                <w:color w:val="050505"/>
              </w:rPr>
              <w:t>Percent</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jc w:val="right"/>
              <w:ind w:right="66"/>
              <w:spacing w:after="0"/>
              <w:rPr>
                <w:sz w:val="20"/>
                <w:szCs w:val="20"/>
                <w:color w:val="auto"/>
              </w:rPr>
            </w:pPr>
            <w:r>
              <w:rPr>
                <w:rFonts w:ascii="Arial" w:cs="Arial" w:eastAsia="Arial" w:hAnsi="Arial"/>
                <w:sz w:val="11"/>
                <w:szCs w:val="11"/>
                <w:b w:val="1"/>
                <w:bCs w:val="1"/>
                <w:color w:val="050505"/>
                <w:w w:val="96"/>
              </w:rPr>
              <w:t>Amount</w:t>
            </w:r>
          </w:p>
        </w:tc>
        <w:tc>
          <w:tcPr>
            <w:tcW w:w="900" w:type="dxa"/>
            <w:vAlign w:val="bottom"/>
            <w:gridSpan w:val="3"/>
          </w:tcPr>
          <w:p>
            <w:pPr>
              <w:jc w:val="right"/>
              <w:ind w:right="240"/>
              <w:spacing w:after="0"/>
              <w:rPr>
                <w:sz w:val="20"/>
                <w:szCs w:val="20"/>
                <w:color w:val="auto"/>
              </w:rPr>
            </w:pPr>
            <w:r>
              <w:rPr>
                <w:rFonts w:ascii="Arial" w:cs="Arial" w:eastAsia="Arial" w:hAnsi="Arial"/>
                <w:sz w:val="11"/>
                <w:szCs w:val="11"/>
                <w:b w:val="1"/>
                <w:bCs w:val="1"/>
                <w:color w:val="050505"/>
              </w:rPr>
              <w:t>Percent</w:t>
            </w:r>
          </w:p>
        </w:tc>
        <w:tc>
          <w:tcPr>
            <w:tcW w:w="700" w:type="dxa"/>
            <w:vAlign w:val="bottom"/>
            <w:gridSpan w:val="4"/>
          </w:tcPr>
          <w:p>
            <w:pPr>
              <w:jc w:val="center"/>
              <w:ind w:left="26"/>
              <w:spacing w:after="0"/>
              <w:rPr>
                <w:sz w:val="20"/>
                <w:szCs w:val="20"/>
                <w:color w:val="auto"/>
              </w:rPr>
            </w:pPr>
            <w:r>
              <w:rPr>
                <w:rFonts w:ascii="Arial" w:cs="Arial" w:eastAsia="Arial" w:hAnsi="Arial"/>
                <w:sz w:val="11"/>
                <w:szCs w:val="11"/>
                <w:b w:val="1"/>
                <w:bCs w:val="1"/>
                <w:color w:val="050505"/>
                <w:w w:val="97"/>
              </w:rPr>
              <w:t>Per Share</w:t>
            </w:r>
          </w:p>
        </w:tc>
        <w:tc>
          <w:tcPr>
            <w:tcW w:w="0" w:type="dxa"/>
            <w:vAlign w:val="bottom"/>
          </w:tcPr>
          <w:p>
            <w:pPr>
              <w:spacing w:after="0"/>
              <w:rPr>
                <w:sz w:val="1"/>
                <w:szCs w:val="1"/>
                <w:color w:val="auto"/>
              </w:rPr>
            </w:pPr>
          </w:p>
        </w:tc>
      </w:tr>
      <w:tr>
        <w:trPr>
          <w:trHeight w:val="115"/>
        </w:trPr>
        <w:tc>
          <w:tcPr>
            <w:tcW w:w="3440" w:type="dxa"/>
            <w:vAlign w:val="bottom"/>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280" w:type="dxa"/>
            <w:vAlign w:val="bottom"/>
          </w:tcPr>
          <w:p>
            <w:pPr>
              <w:spacing w:after="0"/>
              <w:rPr>
                <w:sz w:val="10"/>
                <w:szCs w:val="10"/>
                <w:color w:val="auto"/>
              </w:rPr>
            </w:pPr>
          </w:p>
        </w:tc>
        <w:tc>
          <w:tcPr>
            <w:tcW w:w="400" w:type="dxa"/>
            <w:vAlign w:val="bottom"/>
            <w:tcBorders>
              <w:top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Borders>
              <w:top w:val="single" w:sz="8" w:color="auto"/>
            </w:tcBorders>
            <w:gridSpan w:val="2"/>
          </w:tcPr>
          <w:p>
            <w:pPr>
              <w:spacing w:after="0" w:line="115" w:lineRule="exact"/>
              <w:rPr>
                <w:sz w:val="20"/>
                <w:szCs w:val="20"/>
                <w:color w:val="auto"/>
              </w:rPr>
            </w:pPr>
            <w:r>
              <w:rPr>
                <w:rFonts w:ascii="Arial" w:cs="Arial" w:eastAsia="Arial" w:hAnsi="Arial"/>
                <w:sz w:val="11"/>
                <w:szCs w:val="11"/>
                <w:b w:val="1"/>
                <w:bCs w:val="1"/>
                <w:color w:val="050505"/>
                <w:w w:val="97"/>
              </w:rPr>
              <w:t>(in millions)</w:t>
            </w:r>
          </w:p>
        </w:tc>
        <w:tc>
          <w:tcPr>
            <w:tcW w:w="260" w:type="dxa"/>
            <w:vAlign w:val="bottom"/>
          </w:tcPr>
          <w:p>
            <w:pPr>
              <w:spacing w:after="0"/>
              <w:rPr>
                <w:sz w:val="10"/>
                <w:szCs w:val="10"/>
                <w:color w:val="auto"/>
              </w:rPr>
            </w:pPr>
          </w:p>
        </w:tc>
        <w:tc>
          <w:tcPr>
            <w:tcW w:w="42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420" w:type="dxa"/>
            <w:vAlign w:val="bottom"/>
            <w:tcBorders>
              <w:top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3440" w:type="dxa"/>
            <w:vAlign w:val="bottom"/>
            <w:shd w:val="clear" w:color="auto" w:fill="CCEEFF"/>
          </w:tcPr>
          <w:p>
            <w:pPr>
              <w:ind w:left="40"/>
              <w:spacing w:after="0"/>
              <w:rPr>
                <w:sz w:val="20"/>
                <w:szCs w:val="20"/>
                <w:color w:val="auto"/>
              </w:rPr>
            </w:pPr>
            <w:r>
              <w:rPr>
                <w:rFonts w:ascii="Arial" w:cs="Arial" w:eastAsia="Arial" w:hAnsi="Arial"/>
                <w:sz w:val="11"/>
                <w:szCs w:val="11"/>
                <w:color w:val="050505"/>
              </w:rPr>
              <w:t>Existing stockholders</w:t>
            </w:r>
          </w:p>
        </w:tc>
        <w:tc>
          <w:tcPr>
            <w:tcW w:w="640" w:type="dxa"/>
            <w:vAlign w:val="bottom"/>
            <w:shd w:val="clear" w:color="auto" w:fill="CCEEFF"/>
          </w:tcPr>
          <w:p>
            <w:pPr>
              <w:jc w:val="right"/>
              <w:spacing w:after="0"/>
              <w:rPr>
                <w:sz w:val="20"/>
                <w:szCs w:val="20"/>
                <w:color w:val="auto"/>
              </w:rPr>
            </w:pPr>
            <w:r>
              <w:rPr>
                <w:rFonts w:ascii="Arial" w:cs="Arial" w:eastAsia="Arial" w:hAnsi="Arial"/>
                <w:sz w:val="11"/>
                <w:szCs w:val="11"/>
                <w:color w:val="050505"/>
              </w:rPr>
              <w:t>235,942,233</w:t>
            </w:r>
          </w:p>
        </w:tc>
        <w:tc>
          <w:tcPr>
            <w:tcW w:w="920" w:type="dxa"/>
            <w:vAlign w:val="bottom"/>
            <w:gridSpan w:val="3"/>
            <w:shd w:val="clear" w:color="auto" w:fill="CCEEFF"/>
          </w:tcPr>
          <w:p>
            <w:pPr>
              <w:jc w:val="right"/>
              <w:ind w:right="140"/>
              <w:spacing w:after="0"/>
              <w:rPr>
                <w:sz w:val="20"/>
                <w:szCs w:val="20"/>
                <w:color w:val="auto"/>
              </w:rPr>
            </w:pPr>
            <w:r>
              <w:rPr>
                <w:rFonts w:ascii="Arial" w:cs="Arial" w:eastAsia="Arial" w:hAnsi="Arial"/>
                <w:sz w:val="11"/>
                <w:szCs w:val="11"/>
                <w:color w:val="050505"/>
              </w:rPr>
              <w:t>84.5%</w:t>
            </w:r>
          </w:p>
        </w:tc>
        <w:tc>
          <w:tcPr>
            <w:tcW w:w="220" w:type="dxa"/>
            <w:vAlign w:val="bottom"/>
            <w:gridSpan w:val="2"/>
            <w:shd w:val="clear" w:color="auto" w:fill="CCEEFF"/>
          </w:tcPr>
          <w:p>
            <w:pPr>
              <w:ind w:left="140"/>
              <w:spacing w:after="0"/>
              <w:rPr>
                <w:sz w:val="20"/>
                <w:szCs w:val="20"/>
                <w:color w:val="auto"/>
              </w:rPr>
            </w:pPr>
            <w:r>
              <w:rPr>
                <w:rFonts w:ascii="Arial" w:cs="Arial" w:eastAsia="Arial" w:hAnsi="Arial"/>
                <w:sz w:val="11"/>
                <w:szCs w:val="11"/>
                <w:color w:val="050505"/>
                <w:w w:val="97"/>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1"/>
                <w:szCs w:val="11"/>
                <w:color w:val="050505"/>
              </w:rPr>
              <w:t>973.2</w:t>
            </w:r>
          </w:p>
        </w:tc>
        <w:tc>
          <w:tcPr>
            <w:tcW w:w="900" w:type="dxa"/>
            <w:vAlign w:val="bottom"/>
            <w:gridSpan w:val="3"/>
            <w:shd w:val="clear" w:color="auto" w:fill="CCEEFF"/>
          </w:tcPr>
          <w:p>
            <w:pPr>
              <w:jc w:val="right"/>
              <w:ind w:right="140"/>
              <w:spacing w:after="0"/>
              <w:rPr>
                <w:sz w:val="20"/>
                <w:szCs w:val="20"/>
                <w:color w:val="auto"/>
              </w:rPr>
            </w:pPr>
            <w:r>
              <w:rPr>
                <w:rFonts w:ascii="Arial" w:cs="Arial" w:eastAsia="Arial" w:hAnsi="Arial"/>
                <w:sz w:val="11"/>
                <w:szCs w:val="11"/>
                <w:color w:val="050505"/>
              </w:rPr>
              <w:t>43.6%</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050505"/>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1"/>
                <w:szCs w:val="11"/>
                <w:color w:val="050505"/>
              </w:rPr>
              <w:t>4.12</w:t>
            </w: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3440" w:type="dxa"/>
            <w:vAlign w:val="bottom"/>
          </w:tcPr>
          <w:p>
            <w:pPr>
              <w:ind w:left="40"/>
              <w:spacing w:after="0"/>
              <w:rPr>
                <w:sz w:val="20"/>
                <w:szCs w:val="20"/>
                <w:color w:val="auto"/>
              </w:rPr>
            </w:pPr>
            <w:r>
              <w:rPr>
                <w:rFonts w:ascii="Arial" w:cs="Arial" w:eastAsia="Arial" w:hAnsi="Arial"/>
                <w:sz w:val="11"/>
                <w:szCs w:val="11"/>
                <w:color w:val="050505"/>
              </w:rPr>
              <w:t>New investors</w:t>
            </w:r>
          </w:p>
        </w:tc>
        <w:tc>
          <w:tcPr>
            <w:tcW w:w="640" w:type="dxa"/>
            <w:vAlign w:val="bottom"/>
          </w:tcPr>
          <w:p>
            <w:pPr>
              <w:jc w:val="right"/>
              <w:spacing w:after="0"/>
              <w:rPr>
                <w:sz w:val="20"/>
                <w:szCs w:val="20"/>
                <w:color w:val="auto"/>
              </w:rPr>
            </w:pPr>
            <w:r>
              <w:rPr>
                <w:rFonts w:ascii="Arial" w:cs="Arial" w:eastAsia="Arial" w:hAnsi="Arial"/>
                <w:sz w:val="11"/>
                <w:szCs w:val="11"/>
                <w:color w:val="050505"/>
              </w:rPr>
              <w:t>40,000,000</w:t>
            </w:r>
          </w:p>
        </w:tc>
        <w:tc>
          <w:tcPr>
            <w:tcW w:w="680" w:type="dxa"/>
            <w:vAlign w:val="bottom"/>
            <w:gridSpan w:val="2"/>
          </w:tcPr>
          <w:p>
            <w:pPr>
              <w:jc w:val="right"/>
              <w:spacing w:after="0"/>
              <w:rPr>
                <w:sz w:val="20"/>
                <w:szCs w:val="20"/>
                <w:color w:val="auto"/>
              </w:rPr>
            </w:pPr>
            <w:r>
              <w:rPr>
                <w:rFonts w:ascii="Arial" w:cs="Arial" w:eastAsia="Arial" w:hAnsi="Arial"/>
                <w:sz w:val="11"/>
                <w:szCs w:val="11"/>
                <w:color w:val="050505"/>
              </w:rPr>
              <w:t>14.3</w:t>
            </w: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050505"/>
              </w:rPr>
              <w:t>1,160.0</w:t>
            </w:r>
          </w:p>
        </w:tc>
        <w:tc>
          <w:tcPr>
            <w:tcW w:w="680" w:type="dxa"/>
            <w:vAlign w:val="bottom"/>
            <w:gridSpan w:val="2"/>
          </w:tcPr>
          <w:p>
            <w:pPr>
              <w:jc w:val="right"/>
              <w:spacing w:after="0"/>
              <w:rPr>
                <w:sz w:val="20"/>
                <w:szCs w:val="20"/>
                <w:color w:val="auto"/>
              </w:rPr>
            </w:pPr>
            <w:r>
              <w:rPr>
                <w:rFonts w:ascii="Arial" w:cs="Arial" w:eastAsia="Arial" w:hAnsi="Arial"/>
                <w:sz w:val="11"/>
                <w:szCs w:val="11"/>
                <w:color w:val="050505"/>
              </w:rPr>
              <w:t>51.9</w:t>
            </w: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jc w:val="right"/>
              <w:spacing w:after="0"/>
              <w:rPr>
                <w:sz w:val="20"/>
                <w:szCs w:val="20"/>
                <w:color w:val="auto"/>
              </w:rPr>
            </w:pPr>
            <w:r>
              <w:rPr>
                <w:rFonts w:ascii="Arial" w:cs="Arial" w:eastAsia="Arial" w:hAnsi="Arial"/>
                <w:sz w:val="11"/>
                <w:szCs w:val="11"/>
                <w:color w:val="050505"/>
              </w:rPr>
              <w:t>29.00</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3440" w:type="dxa"/>
            <w:vAlign w:val="bottom"/>
            <w:shd w:val="clear" w:color="auto" w:fill="CCEEFF"/>
          </w:tcPr>
          <w:p>
            <w:pPr>
              <w:ind w:left="40"/>
              <w:spacing w:after="0"/>
              <w:rPr>
                <w:sz w:val="20"/>
                <w:szCs w:val="20"/>
                <w:color w:val="auto"/>
              </w:rPr>
            </w:pPr>
            <w:r>
              <w:rPr>
                <w:rFonts w:ascii="Arial" w:cs="Arial" w:eastAsia="Arial" w:hAnsi="Arial"/>
                <w:sz w:val="11"/>
                <w:szCs w:val="11"/>
                <w:color w:val="050505"/>
              </w:rPr>
              <w:t>Private placement investors</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050505"/>
              </w:rPr>
              <w:t>3,448,275</w:t>
            </w:r>
          </w:p>
        </w:tc>
        <w:tc>
          <w:tcPr>
            <w:tcW w:w="280" w:type="dxa"/>
            <w:vAlign w:val="bottom"/>
            <w:shd w:val="clear" w:color="auto" w:fill="CCEEFF"/>
          </w:tcPr>
          <w:p>
            <w:pPr>
              <w:spacing w:after="0"/>
              <w:rPr>
                <w:sz w:val="10"/>
                <w:szCs w:val="10"/>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050505"/>
              </w:rPr>
              <w:t>1.2</w:t>
            </w:r>
          </w:p>
        </w:tc>
        <w:tc>
          <w:tcPr>
            <w:tcW w:w="2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tcBorders>
              <w:bottom w:val="single" w:sz="8" w:color="auto"/>
            </w:tcBorders>
            <w:shd w:val="clear" w:color="auto" w:fill="CCEEFF"/>
          </w:tcPr>
          <w:p>
            <w:pPr>
              <w:spacing w:after="0"/>
              <w:rPr>
                <w:sz w:val="10"/>
                <w:szCs w:val="10"/>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050505"/>
              </w:rPr>
              <w:t>100.0</w:t>
            </w:r>
          </w:p>
        </w:tc>
        <w:tc>
          <w:tcPr>
            <w:tcW w:w="260" w:type="dxa"/>
            <w:vAlign w:val="bottom"/>
            <w:shd w:val="clear" w:color="auto" w:fill="CCEEFF"/>
          </w:tcPr>
          <w:p>
            <w:pPr>
              <w:spacing w:after="0"/>
              <w:rPr>
                <w:sz w:val="10"/>
                <w:szCs w:val="10"/>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050505"/>
              </w:rPr>
              <w:t>4.5</w:t>
            </w:r>
          </w:p>
        </w:tc>
        <w:tc>
          <w:tcPr>
            <w:tcW w:w="2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1"/>
                <w:szCs w:val="11"/>
                <w:color w:val="050505"/>
              </w:rPr>
              <w:t>29.00</w:t>
            </w: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3440" w:type="dxa"/>
            <w:vAlign w:val="bottom"/>
          </w:tcPr>
          <w:p>
            <w:pPr>
              <w:ind w:left="260"/>
              <w:spacing w:after="0" w:line="124" w:lineRule="exact"/>
              <w:rPr>
                <w:sz w:val="20"/>
                <w:szCs w:val="20"/>
                <w:color w:val="auto"/>
              </w:rPr>
            </w:pPr>
            <w:r>
              <w:rPr>
                <w:rFonts w:ascii="Arial" w:cs="Arial" w:eastAsia="Arial" w:hAnsi="Arial"/>
                <w:sz w:val="11"/>
                <w:szCs w:val="11"/>
                <w:color w:val="050505"/>
              </w:rPr>
              <w:t>Total</w:t>
            </w:r>
          </w:p>
        </w:tc>
        <w:tc>
          <w:tcPr>
            <w:tcW w:w="640" w:type="dxa"/>
            <w:vAlign w:val="bottom"/>
          </w:tcPr>
          <w:p>
            <w:pPr>
              <w:jc w:val="right"/>
              <w:spacing w:after="0" w:line="124" w:lineRule="exact"/>
              <w:rPr>
                <w:sz w:val="20"/>
                <w:szCs w:val="20"/>
                <w:color w:val="auto"/>
              </w:rPr>
            </w:pPr>
            <w:r>
              <w:rPr>
                <w:rFonts w:ascii="Arial" w:cs="Arial" w:eastAsia="Arial" w:hAnsi="Arial"/>
                <w:sz w:val="11"/>
                <w:szCs w:val="11"/>
                <w:color w:val="050505"/>
              </w:rPr>
              <w:t>279,390,508</w:t>
            </w:r>
          </w:p>
        </w:tc>
        <w:tc>
          <w:tcPr>
            <w:tcW w:w="280" w:type="dxa"/>
            <w:vAlign w:val="bottom"/>
          </w:tcPr>
          <w:p>
            <w:pPr>
              <w:spacing w:after="0"/>
              <w:rPr>
                <w:sz w:val="10"/>
                <w:szCs w:val="10"/>
                <w:color w:val="auto"/>
              </w:rPr>
            </w:pPr>
          </w:p>
        </w:tc>
        <w:tc>
          <w:tcPr>
            <w:tcW w:w="640" w:type="dxa"/>
            <w:vAlign w:val="bottom"/>
            <w:gridSpan w:val="2"/>
          </w:tcPr>
          <w:p>
            <w:pPr>
              <w:jc w:val="right"/>
              <w:ind w:right="140"/>
              <w:spacing w:after="0" w:line="124" w:lineRule="exact"/>
              <w:rPr>
                <w:sz w:val="20"/>
                <w:szCs w:val="20"/>
                <w:color w:val="auto"/>
              </w:rPr>
            </w:pPr>
            <w:r>
              <w:rPr>
                <w:rFonts w:ascii="Arial" w:cs="Arial" w:eastAsia="Arial" w:hAnsi="Arial"/>
                <w:sz w:val="11"/>
                <w:szCs w:val="11"/>
                <w:color w:val="050505"/>
              </w:rPr>
              <w:t>100%</w:t>
            </w:r>
          </w:p>
        </w:tc>
        <w:tc>
          <w:tcPr>
            <w:tcW w:w="220" w:type="dxa"/>
            <w:vAlign w:val="bottom"/>
            <w:gridSpan w:val="2"/>
          </w:tcPr>
          <w:p>
            <w:pPr>
              <w:ind w:left="140"/>
              <w:spacing w:after="0" w:line="124" w:lineRule="exact"/>
              <w:rPr>
                <w:sz w:val="20"/>
                <w:szCs w:val="20"/>
                <w:color w:val="auto"/>
              </w:rPr>
            </w:pPr>
            <w:r>
              <w:rPr>
                <w:rFonts w:ascii="Arial" w:cs="Arial" w:eastAsia="Arial" w:hAnsi="Arial"/>
                <w:sz w:val="11"/>
                <w:szCs w:val="11"/>
                <w:color w:val="050505"/>
                <w:w w:val="97"/>
              </w:rPr>
              <w:t>$</w:t>
            </w:r>
          </w:p>
        </w:tc>
        <w:tc>
          <w:tcPr>
            <w:tcW w:w="540" w:type="dxa"/>
            <w:vAlign w:val="bottom"/>
          </w:tcPr>
          <w:p>
            <w:pPr>
              <w:jc w:val="right"/>
              <w:spacing w:after="0" w:line="124" w:lineRule="exact"/>
              <w:rPr>
                <w:sz w:val="20"/>
                <w:szCs w:val="20"/>
                <w:color w:val="auto"/>
              </w:rPr>
            </w:pPr>
            <w:r>
              <w:rPr>
                <w:rFonts w:ascii="Arial" w:cs="Arial" w:eastAsia="Arial" w:hAnsi="Arial"/>
                <w:sz w:val="11"/>
                <w:szCs w:val="11"/>
                <w:color w:val="050505"/>
              </w:rPr>
              <w:t>2,233.2</w:t>
            </w:r>
          </w:p>
        </w:tc>
        <w:tc>
          <w:tcPr>
            <w:tcW w:w="900" w:type="dxa"/>
            <w:vAlign w:val="bottom"/>
            <w:gridSpan w:val="3"/>
          </w:tcPr>
          <w:p>
            <w:pPr>
              <w:jc w:val="right"/>
              <w:ind w:right="140"/>
              <w:spacing w:after="0" w:line="124" w:lineRule="exact"/>
              <w:rPr>
                <w:sz w:val="20"/>
                <w:szCs w:val="20"/>
                <w:color w:val="auto"/>
              </w:rPr>
            </w:pPr>
            <w:r>
              <w:rPr>
                <w:rFonts w:ascii="Arial" w:cs="Arial" w:eastAsia="Arial" w:hAnsi="Arial"/>
                <w:sz w:val="11"/>
                <w:szCs w:val="11"/>
                <w:color w:val="050505"/>
              </w:rPr>
              <w:t>100%</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7"/>
        </w:trPr>
        <w:tc>
          <w:tcPr>
            <w:tcW w:w="344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jc w:val="both"/>
        <w:ind w:left="2060" w:right="839"/>
        <w:spacing w:after="0" w:line="241" w:lineRule="auto"/>
        <w:rPr>
          <w:sz w:val="20"/>
          <w:szCs w:val="20"/>
          <w:color w:val="auto"/>
        </w:rPr>
      </w:pPr>
      <w:r>
        <w:rPr>
          <w:rFonts w:ascii="Arial" w:cs="Arial" w:eastAsia="Arial" w:hAnsi="Arial"/>
          <w:sz w:val="11"/>
          <w:szCs w:val="11"/>
          <w:color w:val="050505"/>
        </w:rPr>
        <w:t>Except as otherwise indicated, the above discussion and tables assume no exercise of the underwriters’ option to purchase additional shares of our Class A common stock. If the underwriters exercise their option to purchase additional shares in full, our existing stockholders would own 82.7%, our new investors would own 16.1%, and our private placement investors would own 1.2% of the total number of shares of our common stock outstanding after this offering and the private placement.</w:t>
      </w:r>
    </w:p>
    <w:p>
      <w:pPr>
        <w:spacing w:after="0" w:line="140" w:lineRule="exact"/>
        <w:rPr>
          <w:sz w:val="20"/>
          <w:szCs w:val="20"/>
          <w:color w:val="auto"/>
        </w:rPr>
      </w:pPr>
    </w:p>
    <w:p>
      <w:pPr>
        <w:jc w:val="both"/>
        <w:ind w:left="2060" w:right="839"/>
        <w:spacing w:after="0" w:line="245" w:lineRule="auto"/>
        <w:rPr>
          <w:sz w:val="20"/>
          <w:szCs w:val="20"/>
          <w:color w:val="auto"/>
        </w:rPr>
      </w:pPr>
      <w:r>
        <w:rPr>
          <w:rFonts w:ascii="Arial" w:cs="Arial" w:eastAsia="Arial" w:hAnsi="Arial"/>
          <w:sz w:val="11"/>
          <w:szCs w:val="11"/>
          <w:color w:val="050505"/>
        </w:rPr>
        <w:t>In addition, to the extent we issue any additional stock options or any outstanding stock options or warrant are exercised, or we issue any other securities or convertible debt in the future, investors will experience further dilution.</w:t>
      </w:r>
    </w:p>
    <w:p>
      <w:pPr>
        <w:spacing w:after="0" w:line="138" w:lineRule="exact"/>
        <w:rPr>
          <w:sz w:val="20"/>
          <w:szCs w:val="20"/>
          <w:color w:val="auto"/>
        </w:rPr>
      </w:pPr>
    </w:p>
    <w:p>
      <w:pPr>
        <w:jc w:val="both"/>
        <w:ind w:left="2060" w:right="839"/>
        <w:spacing w:after="0" w:line="242" w:lineRule="auto"/>
        <w:rPr>
          <w:sz w:val="20"/>
          <w:szCs w:val="20"/>
          <w:color w:val="auto"/>
        </w:rPr>
      </w:pPr>
      <w:r>
        <w:rPr>
          <w:rFonts w:ascii="Arial" w:cs="Arial" w:eastAsia="Arial" w:hAnsi="Arial"/>
          <w:sz w:val="11"/>
          <w:szCs w:val="11"/>
          <w:color w:val="050505"/>
        </w:rPr>
        <w:t>The number of shares of our Class A common stock and Class B common stock to be outstanding after this offering and the private placement is based upon zero shares of our Class A common stock outstanding and 235,942,233 shares of our Class B common stock outstanding, in each case, as of June 30, 2019:</w:t>
      </w:r>
    </w:p>
    <w:p>
      <w:pPr>
        <w:spacing w:after="0" w:line="158" w:lineRule="exact"/>
        <w:rPr>
          <w:sz w:val="20"/>
          <w:szCs w:val="20"/>
          <w:color w:val="auto"/>
        </w:rPr>
      </w:pPr>
    </w:p>
    <w:p>
      <w:pPr>
        <w:ind w:left="2420" w:right="839" w:hanging="217"/>
        <w:spacing w:after="0" w:line="245" w:lineRule="auto"/>
        <w:tabs>
          <w:tab w:leader="none" w:pos="2420" w:val="left"/>
        </w:tabs>
        <w:numPr>
          <w:ilvl w:val="0"/>
          <w:numId w:val="31"/>
        </w:numPr>
        <w:rPr>
          <w:rFonts w:ascii="Arial" w:cs="Arial" w:eastAsia="Arial" w:hAnsi="Arial"/>
          <w:sz w:val="11"/>
          <w:szCs w:val="11"/>
          <w:color w:val="F7323F"/>
        </w:rPr>
      </w:pPr>
      <w:r>
        <w:rPr>
          <w:rFonts w:ascii="Arial" w:cs="Arial" w:eastAsia="Arial" w:hAnsi="Arial"/>
          <w:sz w:val="11"/>
          <w:szCs w:val="11"/>
          <w:color w:val="050505"/>
        </w:rPr>
        <w:t>64,602,124 shares of our Class B common stock issuable upon the exercise of options to purchase shares of our Class B common stock outstanding as of June 30, 2019, with a weighted-average exercise price of $6.71 per share;</w:t>
      </w:r>
    </w:p>
    <w:p>
      <w:pPr>
        <w:spacing w:after="0" w:line="38" w:lineRule="exact"/>
        <w:rPr>
          <w:rFonts w:ascii="Arial" w:cs="Arial" w:eastAsia="Arial" w:hAnsi="Arial"/>
          <w:sz w:val="11"/>
          <w:szCs w:val="11"/>
          <w:color w:val="F7323F"/>
        </w:rPr>
      </w:pPr>
    </w:p>
    <w:p>
      <w:pPr>
        <w:ind w:left="2420" w:right="839" w:hanging="217"/>
        <w:spacing w:after="0" w:line="245" w:lineRule="auto"/>
        <w:tabs>
          <w:tab w:leader="none" w:pos="2420" w:val="left"/>
        </w:tabs>
        <w:numPr>
          <w:ilvl w:val="0"/>
          <w:numId w:val="31"/>
        </w:numPr>
        <w:rPr>
          <w:rFonts w:ascii="Arial" w:cs="Arial" w:eastAsia="Arial" w:hAnsi="Arial"/>
          <w:sz w:val="11"/>
          <w:szCs w:val="11"/>
          <w:color w:val="F7323F"/>
        </w:rPr>
      </w:pPr>
      <w:r>
        <w:rPr>
          <w:rFonts w:ascii="Arial" w:cs="Arial" w:eastAsia="Arial" w:hAnsi="Arial"/>
          <w:sz w:val="11"/>
          <w:szCs w:val="11"/>
          <w:color w:val="050505"/>
        </w:rPr>
        <w:t>883,550 shares of our Class B common stock issuable upon the exercise of options to purchase shares of our Class B common stock granted between June 30, 2019 and September 25, 2019 with a weighted-average exercise price of $23.40 per share;</w:t>
      </w:r>
    </w:p>
    <w:p>
      <w:pPr>
        <w:spacing w:after="0" w:line="38" w:lineRule="exact"/>
        <w:rPr>
          <w:rFonts w:ascii="Arial" w:cs="Arial" w:eastAsia="Arial" w:hAnsi="Arial"/>
          <w:sz w:val="11"/>
          <w:szCs w:val="11"/>
          <w:color w:val="F7323F"/>
        </w:rPr>
      </w:pPr>
    </w:p>
    <w:p>
      <w:pPr>
        <w:jc w:val="both"/>
        <w:ind w:left="2420" w:right="839" w:hanging="217"/>
        <w:spacing w:after="0" w:line="242" w:lineRule="auto"/>
        <w:tabs>
          <w:tab w:leader="none" w:pos="2420" w:val="left"/>
        </w:tabs>
        <w:numPr>
          <w:ilvl w:val="0"/>
          <w:numId w:val="31"/>
        </w:numPr>
        <w:rPr>
          <w:rFonts w:ascii="Arial" w:cs="Arial" w:eastAsia="Arial" w:hAnsi="Arial"/>
          <w:sz w:val="11"/>
          <w:szCs w:val="11"/>
          <w:color w:val="F7323F"/>
        </w:rPr>
      </w:pPr>
      <w:r>
        <w:rPr>
          <w:rFonts w:ascii="Arial" w:cs="Arial" w:eastAsia="Arial" w:hAnsi="Arial"/>
          <w:sz w:val="11"/>
          <w:szCs w:val="11"/>
          <w:color w:val="050505"/>
        </w:rPr>
        <w:t>232,550 shares of our Class A common stock issuable upon the exercise of options to purchase shares of our Class A common stock under our 2019 Plan which will be granted effective as of the filing of our registration statement on Form S-8, with an exercise price equal to the initial public offering price;</w:t>
      </w:r>
    </w:p>
    <w:p>
      <w:pPr>
        <w:spacing w:after="0" w:line="40" w:lineRule="exact"/>
        <w:rPr>
          <w:rFonts w:ascii="Arial" w:cs="Arial" w:eastAsia="Arial" w:hAnsi="Arial"/>
          <w:sz w:val="11"/>
          <w:szCs w:val="11"/>
          <w:color w:val="F7323F"/>
        </w:rPr>
      </w:pPr>
    </w:p>
    <w:p>
      <w:pPr>
        <w:ind w:left="2420" w:right="839" w:hanging="217"/>
        <w:spacing w:after="0" w:line="245" w:lineRule="auto"/>
        <w:tabs>
          <w:tab w:leader="none" w:pos="2420" w:val="left"/>
        </w:tabs>
        <w:numPr>
          <w:ilvl w:val="0"/>
          <w:numId w:val="31"/>
        </w:numPr>
        <w:rPr>
          <w:rFonts w:ascii="Arial" w:cs="Arial" w:eastAsia="Arial" w:hAnsi="Arial"/>
          <w:sz w:val="11"/>
          <w:szCs w:val="11"/>
          <w:color w:val="F7323F"/>
        </w:rPr>
      </w:pPr>
      <w:r>
        <w:rPr>
          <w:rFonts w:ascii="Arial" w:cs="Arial" w:eastAsia="Arial" w:hAnsi="Arial"/>
          <w:sz w:val="11"/>
          <w:szCs w:val="11"/>
          <w:color w:val="050505"/>
        </w:rPr>
        <w:t>240,000 shares of our Class B common stock issuable upon the exercise of a warrant to purchase Class B common stock outstanding as of June 30, 2019, with an exercise price of $0.19 per share; and</w:t>
      </w:r>
    </w:p>
    <w:p>
      <w:pPr>
        <w:spacing w:after="0" w:line="38" w:lineRule="exact"/>
        <w:rPr>
          <w:rFonts w:ascii="Arial" w:cs="Arial" w:eastAsia="Arial" w:hAnsi="Arial"/>
          <w:sz w:val="11"/>
          <w:szCs w:val="11"/>
          <w:color w:val="F7323F"/>
        </w:rPr>
      </w:pPr>
    </w:p>
    <w:p>
      <w:pPr>
        <w:jc w:val="both"/>
        <w:ind w:left="2420" w:right="839" w:hanging="217"/>
        <w:spacing w:after="0"/>
        <w:tabs>
          <w:tab w:leader="none" w:pos="2420" w:val="left"/>
        </w:tabs>
        <w:numPr>
          <w:ilvl w:val="0"/>
          <w:numId w:val="31"/>
        </w:numPr>
        <w:rPr>
          <w:rFonts w:ascii="Arial" w:cs="Arial" w:eastAsia="Arial" w:hAnsi="Arial"/>
          <w:sz w:val="11"/>
          <w:szCs w:val="11"/>
          <w:color w:val="F7323F"/>
        </w:rPr>
      </w:pPr>
      <w:r>
        <w:rPr>
          <w:rFonts w:ascii="Arial" w:cs="Arial" w:eastAsia="Arial" w:hAnsi="Arial"/>
          <w:sz w:val="11"/>
          <w:szCs w:val="11"/>
          <w:color w:val="050505"/>
        </w:rPr>
        <w:t>55,672,360 shares of our common stock reserved for future issuance under our equity compensation plans, consisting of (1) 9,085,593 shares of our Class B common stock reserved for future issuance under our 2015 Plan as of June 30, 2019 (which reserve does not reflect the options to purchase shares of our Class B common stock granted after June 30, 2019), (2) 40,986,767 shares of our Class A common stock reserved for future issuance under our 2019 Plan, which became effective on the date immediately prior to the date of this prospectus (which reserve does not reflect the options to purchase shares of our Class A common stock which will be granted effective as of the filing of our registration statement on Form S-8), and (3) 5,600,000 shares of our Class A common stock reserved for issuance under our 2019 ESPP, which became effective on the date of this prospectus.</w:t>
      </w:r>
    </w:p>
    <w:p>
      <w:pPr>
        <w:spacing w:after="0" w:line="96" w:lineRule="exact"/>
        <w:rPr>
          <w:sz w:val="20"/>
          <w:szCs w:val="20"/>
          <w:color w:val="auto"/>
        </w:rPr>
      </w:pPr>
    </w:p>
    <w:p>
      <w:pPr>
        <w:ind w:left="5680"/>
        <w:spacing w:after="0"/>
        <w:rPr>
          <w:sz w:val="20"/>
          <w:szCs w:val="20"/>
          <w:color w:val="auto"/>
        </w:rPr>
      </w:pPr>
      <w:r>
        <w:rPr>
          <w:rFonts w:ascii="Arial" w:cs="Arial" w:eastAsia="Arial" w:hAnsi="Arial"/>
          <w:sz w:val="11"/>
          <w:szCs w:val="11"/>
          <w:color w:val="050505"/>
        </w:rPr>
        <w:t>53</w:t>
      </w:r>
    </w:p>
    <w:p>
      <w:pPr>
        <w:sectPr>
          <w:pgSz w:w="11900" w:h="16838" w:orient="portrait"/>
          <w:cols w:equalWidth="0" w:num="1">
            <w:col w:w="10239"/>
          </w:cols>
          <w:pgMar w:left="220" w:top="354" w:right="1440" w:bottom="1440" w:gutter="0" w:footer="0" w:header="0"/>
        </w:sectPr>
      </w:pPr>
    </w:p>
    <w:bookmarkStart w:id="58" w:name="page59"/>
    <w:bookmarkEnd w:id="58"/>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hyperlink w:anchor="page5">
        <w:r>
          <w:rPr>
            <w:rFonts w:ascii="Arial" w:cs="Arial" w:eastAsia="Arial" w:hAnsi="Arial"/>
            <w:sz w:val="12"/>
            <w:szCs w:val="12"/>
            <w:b w:val="1"/>
            <w:bCs w:val="1"/>
            <w:u w:val="single" w:color="auto"/>
            <w:color w:val="0000EE"/>
          </w:rPr>
          <w:t>Table of Contents</w:t>
        </w:r>
      </w:hyperlink>
    </w:p>
    <w:p>
      <w:pPr>
        <w:spacing w:after="0" w:line="216" w:lineRule="exact"/>
        <w:rPr>
          <w:sz w:val="20"/>
          <w:szCs w:val="20"/>
          <w:color w:val="auto"/>
        </w:rPr>
      </w:pPr>
    </w:p>
    <w:p>
      <w:pPr>
        <w:jc w:val="both"/>
        <w:ind w:left="2060" w:right="839"/>
        <w:spacing w:after="0" w:line="241" w:lineRule="auto"/>
        <w:rPr>
          <w:sz w:val="20"/>
          <w:szCs w:val="20"/>
          <w:color w:val="auto"/>
        </w:rPr>
      </w:pPr>
      <w:r>
        <w:rPr>
          <w:rFonts w:ascii="Arial" w:cs="Arial" w:eastAsia="Arial" w:hAnsi="Arial"/>
          <w:sz w:val="11"/>
          <w:szCs w:val="11"/>
          <w:color w:val="050505"/>
        </w:rPr>
        <w:t>On the date immediately prior to the date of this prospectus, the remaining shares available for issuance under our 2015 Plan were added to the shares of our Class A common stock reserved for issuance under our 2019 Plan, and we ceased granting awards under the 2015 Plan. Our 2019 Plan and 2019 ESPP also provide for automatic annual increases in the number of shares reserved thereunder. See the section titled “Executive Compensation— Employee Benefit Plans” for additional information.</w:t>
      </w:r>
    </w:p>
    <w:p>
      <w:pPr>
        <w:spacing w:after="0" w:line="95" w:lineRule="exact"/>
        <w:rPr>
          <w:sz w:val="20"/>
          <w:szCs w:val="20"/>
          <w:color w:val="auto"/>
        </w:rPr>
      </w:pPr>
    </w:p>
    <w:p>
      <w:pPr>
        <w:ind w:left="5680"/>
        <w:spacing w:after="0"/>
        <w:rPr>
          <w:sz w:val="20"/>
          <w:szCs w:val="20"/>
          <w:color w:val="auto"/>
        </w:rPr>
      </w:pPr>
      <w:r>
        <w:rPr>
          <w:rFonts w:ascii="Arial" w:cs="Arial" w:eastAsia="Arial" w:hAnsi="Arial"/>
          <w:sz w:val="11"/>
          <w:szCs w:val="11"/>
          <w:color w:val="050505"/>
        </w:rPr>
        <w:t>54</w:t>
      </w:r>
    </w:p>
    <w:p>
      <w:pPr>
        <w:sectPr>
          <w:pgSz w:w="11900" w:h="16838" w:orient="portrait"/>
          <w:cols w:equalWidth="0" w:num="1">
            <w:col w:w="10239"/>
          </w:cols>
          <w:pgMar w:left="220" w:top="354" w:right="1440" w:bottom="1440" w:gutter="0" w:footer="0" w:header="0"/>
        </w:sectPr>
      </w:pPr>
    </w:p>
    <w:bookmarkStart w:id="59" w:name="page60"/>
    <w:bookmarkEnd w:id="59"/>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hyperlink w:anchor="page5">
        <w:r>
          <w:rPr>
            <w:rFonts w:ascii="Arial" w:cs="Arial" w:eastAsia="Arial" w:hAnsi="Arial"/>
            <w:sz w:val="12"/>
            <w:szCs w:val="12"/>
            <w:b w:val="1"/>
            <w:bCs w:val="1"/>
            <w:u w:val="single" w:color="auto"/>
            <w:color w:val="0000EE"/>
          </w:rPr>
          <w:t>Table of Contents</w:t>
        </w:r>
      </w:hyperlink>
    </w:p>
    <w:p>
      <w:pPr>
        <w:spacing w:after="0" w:line="200" w:lineRule="exact"/>
        <w:rPr>
          <w:sz w:val="20"/>
          <w:szCs w:val="20"/>
          <w:color w:val="auto"/>
        </w:rPr>
      </w:pPr>
    </w:p>
    <w:p>
      <w:pPr>
        <w:jc w:val="center"/>
        <w:ind w:right="-1220"/>
        <w:spacing w:after="0"/>
        <w:rPr>
          <w:sz w:val="20"/>
          <w:szCs w:val="20"/>
          <w:color w:val="auto"/>
        </w:rPr>
      </w:pPr>
      <w:r>
        <w:rPr>
          <w:rFonts w:ascii="Arial" w:cs="Arial" w:eastAsia="Arial" w:hAnsi="Arial"/>
          <w:sz w:val="12"/>
          <w:szCs w:val="12"/>
          <w:b w:val="1"/>
          <w:bCs w:val="1"/>
          <w:color w:val="auto"/>
        </w:rPr>
        <w:t>SELECTED CONSOLIDATED FINANCIAL AND OTHER DATA</w:t>
      </w:r>
    </w:p>
    <w:p>
      <w:pPr>
        <w:spacing w:after="0" w:line="157" w:lineRule="exact"/>
        <w:rPr>
          <w:sz w:val="20"/>
          <w:szCs w:val="20"/>
          <w:color w:val="auto"/>
        </w:rPr>
      </w:pPr>
    </w:p>
    <w:p>
      <w:pPr>
        <w:jc w:val="both"/>
        <w:ind w:left="2060" w:right="839"/>
        <w:spacing w:after="0"/>
        <w:rPr>
          <w:sz w:val="20"/>
          <w:szCs w:val="20"/>
          <w:color w:val="auto"/>
        </w:rPr>
      </w:pPr>
      <w:r>
        <w:rPr>
          <w:rFonts w:ascii="Arial" w:cs="Arial" w:eastAsia="Arial" w:hAnsi="Arial"/>
          <w:sz w:val="11"/>
          <w:szCs w:val="11"/>
          <w:color w:val="050505"/>
        </w:rPr>
        <w:t>The following tables present selected historical financial and other data for our business. We derived our selected consolidated statements of operations for fiscal 2017, fiscal 2018, and fiscal 2019 (except the pro forma share and pro forma net loss per share information) and our selected consolidated balance sheet data as of June 30, 2018 and June 30, 2019 from our audited consolidated financial statements included elsewhere in this prospectus. We have derived our selected consolidated balance sheet data as of June 30, 2017 from our audited consolidated financial statements that are not included in this prospectus. Our historical results are not necessarily indicative of the results that may be expected for any other period in the future. You should read the following selected consolidated financial data in conjunction with the section titled “Management’s Discussion and Analysis of Financial Condition and Results of Operations” and our consolidated financial statements, the accompanying notes, and other financial information included elsewhere in this prospectus. Our fiscal year end is June 30, and our fiscal quarters end on September 30, December 31, March 31, and June 30. Our fiscal years ended June 30, 2017, 2018, and 2019 are referred to herein as fiscal 2017, fiscal 2018, and fiscal 2019, respectively.</w:t>
      </w:r>
    </w:p>
    <w:p>
      <w:pPr>
        <w:spacing w:after="0" w:line="147" w:lineRule="exact"/>
        <w:rPr>
          <w:sz w:val="20"/>
          <w:szCs w:val="20"/>
          <w:color w:val="auto"/>
        </w:rPr>
      </w:pPr>
    </w:p>
    <w:tbl>
      <w:tblPr>
        <w:tblLayout w:type="fixed"/>
        <w:tblInd w:w="2060" w:type="dxa"/>
        <w:tblCellMar>
          <w:top w:w="0" w:type="dxa"/>
          <w:left w:w="0" w:type="dxa"/>
          <w:bottom w:w="0" w:type="dxa"/>
          <w:right w:w="0" w:type="dxa"/>
        </w:tblCellMar>
      </w:tblPr>
      <w:tr>
        <w:trPr>
          <w:trHeight w:val="137"/>
        </w:trPr>
        <w:tc>
          <w:tcPr>
            <w:tcW w:w="296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980" w:type="dxa"/>
            <w:vAlign w:val="bottom"/>
            <w:tcBorders>
              <w:bottom w:val="single" w:sz="8" w:color="auto"/>
            </w:tcBorders>
            <w:gridSpan w:val="8"/>
          </w:tcPr>
          <w:p>
            <w:pPr>
              <w:jc w:val="center"/>
              <w:ind w:left="386"/>
              <w:spacing w:after="0"/>
              <w:rPr>
                <w:sz w:val="20"/>
                <w:szCs w:val="20"/>
                <w:color w:val="auto"/>
              </w:rPr>
            </w:pPr>
            <w:r>
              <w:rPr>
                <w:rFonts w:ascii="Arial" w:cs="Arial" w:eastAsia="Arial" w:hAnsi="Arial"/>
                <w:sz w:val="11"/>
                <w:szCs w:val="11"/>
                <w:b w:val="1"/>
                <w:bCs w:val="1"/>
                <w:color w:val="050505"/>
                <w:w w:val="97"/>
              </w:rPr>
              <w:t>Fiscal Year Ended June 30,</w:t>
            </w:r>
          </w:p>
        </w:tc>
        <w:tc>
          <w:tcPr>
            <w:tcW w:w="56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r>
      <w:tr>
        <w:trPr>
          <w:trHeight w:val="115"/>
        </w:trPr>
        <w:tc>
          <w:tcPr>
            <w:tcW w:w="2960" w:type="dxa"/>
            <w:vAlign w:val="bottom"/>
          </w:tcPr>
          <w:p>
            <w:pPr>
              <w:spacing w:after="0"/>
              <w:rPr>
                <w:sz w:val="10"/>
                <w:szCs w:val="10"/>
                <w:color w:val="auto"/>
              </w:rPr>
            </w:pPr>
          </w:p>
        </w:tc>
        <w:tc>
          <w:tcPr>
            <w:tcW w:w="168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jc w:val="right"/>
              <w:ind w:right="186"/>
              <w:spacing w:after="0" w:line="115" w:lineRule="exact"/>
              <w:rPr>
                <w:sz w:val="20"/>
                <w:szCs w:val="20"/>
                <w:color w:val="auto"/>
              </w:rPr>
            </w:pPr>
            <w:r>
              <w:rPr>
                <w:rFonts w:ascii="Arial" w:cs="Arial" w:eastAsia="Arial" w:hAnsi="Arial"/>
                <w:sz w:val="11"/>
                <w:szCs w:val="11"/>
                <w:b w:val="1"/>
                <w:bCs w:val="1"/>
                <w:color w:val="050505"/>
              </w:rPr>
              <w:t>2017</w:t>
            </w:r>
          </w:p>
        </w:tc>
        <w:tc>
          <w:tcPr>
            <w:tcW w:w="1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jc w:val="center"/>
              <w:ind w:right="86"/>
              <w:spacing w:after="0" w:line="115" w:lineRule="exact"/>
              <w:rPr>
                <w:sz w:val="20"/>
                <w:szCs w:val="20"/>
                <w:color w:val="auto"/>
              </w:rPr>
            </w:pPr>
            <w:r>
              <w:rPr>
                <w:rFonts w:ascii="Arial" w:cs="Arial" w:eastAsia="Arial" w:hAnsi="Arial"/>
                <w:sz w:val="11"/>
                <w:szCs w:val="11"/>
                <w:b w:val="1"/>
                <w:bCs w:val="1"/>
                <w:color w:val="050505"/>
                <w:w w:val="97"/>
              </w:rPr>
              <w:t>2018</w:t>
            </w:r>
          </w:p>
        </w:tc>
        <w:tc>
          <w:tcPr>
            <w:tcW w:w="14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jc w:val="right"/>
              <w:ind w:right="186"/>
              <w:spacing w:after="0" w:line="115" w:lineRule="exact"/>
              <w:rPr>
                <w:sz w:val="20"/>
                <w:szCs w:val="20"/>
                <w:color w:val="auto"/>
              </w:rPr>
            </w:pPr>
            <w:r>
              <w:rPr>
                <w:rFonts w:ascii="Arial" w:cs="Arial" w:eastAsia="Arial" w:hAnsi="Arial"/>
                <w:sz w:val="11"/>
                <w:szCs w:val="11"/>
                <w:b w:val="1"/>
                <w:bCs w:val="1"/>
                <w:color w:val="050505"/>
              </w:rPr>
              <w:t>2019</w:t>
            </w:r>
          </w:p>
        </w:tc>
        <w:tc>
          <w:tcPr>
            <w:tcW w:w="80" w:type="dxa"/>
            <w:vAlign w:val="bottom"/>
          </w:tcPr>
          <w:p>
            <w:pPr>
              <w:spacing w:after="0"/>
              <w:rPr>
                <w:sz w:val="10"/>
                <w:szCs w:val="10"/>
                <w:color w:val="auto"/>
              </w:rPr>
            </w:pPr>
          </w:p>
        </w:tc>
      </w:tr>
      <w:tr>
        <w:trPr>
          <w:trHeight w:val="115"/>
        </w:trPr>
        <w:tc>
          <w:tcPr>
            <w:tcW w:w="2960" w:type="dxa"/>
            <w:vAlign w:val="bottom"/>
          </w:tcPr>
          <w:p>
            <w:pPr>
              <w:spacing w:after="0"/>
              <w:rPr>
                <w:sz w:val="10"/>
                <w:szCs w:val="10"/>
                <w:color w:val="auto"/>
              </w:rPr>
            </w:pPr>
          </w:p>
        </w:tc>
        <w:tc>
          <w:tcPr>
            <w:tcW w:w="1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540" w:type="dxa"/>
            <w:vAlign w:val="bottom"/>
            <w:gridSpan w:val="9"/>
          </w:tcPr>
          <w:p>
            <w:pPr>
              <w:jc w:val="center"/>
              <w:ind w:right="46"/>
              <w:spacing w:after="0" w:line="115" w:lineRule="exact"/>
              <w:rPr>
                <w:sz w:val="20"/>
                <w:szCs w:val="20"/>
                <w:color w:val="auto"/>
              </w:rPr>
            </w:pPr>
            <w:r>
              <w:rPr>
                <w:rFonts w:ascii="Arial" w:cs="Arial" w:eastAsia="Arial" w:hAnsi="Arial"/>
                <w:sz w:val="11"/>
                <w:szCs w:val="11"/>
                <w:b w:val="1"/>
                <w:bCs w:val="1"/>
                <w:color w:val="050505"/>
                <w:w w:val="98"/>
              </w:rPr>
              <w:t>(in millions, except share and per share data)</w:t>
            </w:r>
          </w:p>
        </w:tc>
        <w:tc>
          <w:tcPr>
            <w:tcW w:w="80" w:type="dxa"/>
            <w:vAlign w:val="bottom"/>
          </w:tcPr>
          <w:p>
            <w:pPr>
              <w:spacing w:after="0"/>
              <w:rPr>
                <w:sz w:val="10"/>
                <w:szCs w:val="10"/>
                <w:color w:val="auto"/>
              </w:rPr>
            </w:pPr>
          </w:p>
        </w:tc>
      </w:tr>
      <w:tr>
        <w:trPr>
          <w:trHeight w:val="126"/>
        </w:trPr>
        <w:tc>
          <w:tcPr>
            <w:tcW w:w="2960" w:type="dxa"/>
            <w:vAlign w:val="bottom"/>
            <w:shd w:val="clear" w:color="auto" w:fill="CCEEFF"/>
          </w:tcPr>
          <w:p>
            <w:pPr>
              <w:ind w:left="40"/>
              <w:spacing w:after="0"/>
              <w:rPr>
                <w:sz w:val="20"/>
                <w:szCs w:val="20"/>
                <w:color w:val="auto"/>
              </w:rPr>
            </w:pPr>
            <w:r>
              <w:rPr>
                <w:rFonts w:ascii="Arial" w:cs="Arial" w:eastAsia="Arial" w:hAnsi="Arial"/>
                <w:sz w:val="11"/>
                <w:szCs w:val="11"/>
                <w:b w:val="1"/>
                <w:bCs w:val="1"/>
                <w:color w:val="050505"/>
              </w:rPr>
              <w:t>Consolidated Statement of Operations Data:</w:t>
            </w:r>
          </w:p>
        </w:tc>
        <w:tc>
          <w:tcPr>
            <w:tcW w:w="16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r>
      <w:tr>
        <w:trPr>
          <w:trHeight w:val="126"/>
        </w:trPr>
        <w:tc>
          <w:tcPr>
            <w:tcW w:w="2960" w:type="dxa"/>
            <w:vAlign w:val="bottom"/>
          </w:tcPr>
          <w:p>
            <w:pPr>
              <w:ind w:left="40"/>
              <w:spacing w:after="0"/>
              <w:rPr>
                <w:sz w:val="20"/>
                <w:szCs w:val="20"/>
                <w:color w:val="auto"/>
              </w:rPr>
            </w:pPr>
            <w:r>
              <w:rPr>
                <w:rFonts w:ascii="Arial" w:cs="Arial" w:eastAsia="Arial" w:hAnsi="Arial"/>
                <w:sz w:val="11"/>
                <w:szCs w:val="11"/>
                <w:color w:val="050505"/>
              </w:rPr>
              <w:t>Revenue:</w:t>
            </w:r>
          </w:p>
        </w:tc>
        <w:tc>
          <w:tcPr>
            <w:tcW w:w="1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r>
      <w:tr>
        <w:trPr>
          <w:trHeight w:val="126"/>
        </w:trPr>
        <w:tc>
          <w:tcPr>
            <w:tcW w:w="2960" w:type="dxa"/>
            <w:vAlign w:val="bottom"/>
            <w:shd w:val="clear" w:color="auto" w:fill="CCEEFF"/>
          </w:tcPr>
          <w:p>
            <w:pPr>
              <w:ind w:left="160"/>
              <w:spacing w:after="0"/>
              <w:rPr>
                <w:sz w:val="20"/>
                <w:szCs w:val="20"/>
                <w:color w:val="auto"/>
              </w:rPr>
            </w:pPr>
            <w:r>
              <w:rPr>
                <w:rFonts w:ascii="Arial" w:cs="Arial" w:eastAsia="Arial" w:hAnsi="Arial"/>
                <w:sz w:val="11"/>
                <w:szCs w:val="11"/>
                <w:color w:val="050505"/>
              </w:rPr>
              <w:t>Connected Fitness Products</w:t>
            </w:r>
          </w:p>
        </w:tc>
        <w:tc>
          <w:tcPr>
            <w:tcW w:w="178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050505"/>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1"/>
                <w:szCs w:val="11"/>
                <w:color w:val="050505"/>
              </w:rPr>
              <w:t>183.5</w:t>
            </w:r>
          </w:p>
        </w:tc>
        <w:tc>
          <w:tcPr>
            <w:tcW w:w="120" w:type="dxa"/>
            <w:vAlign w:val="bottom"/>
            <w:shd w:val="clear" w:color="auto" w:fill="CCEEFF"/>
          </w:tcPr>
          <w:p>
            <w:pPr>
              <w:spacing w:after="0"/>
              <w:rPr>
                <w:sz w:val="10"/>
                <w:szCs w:val="10"/>
                <w:color w:val="auto"/>
              </w:rPr>
            </w:pP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050505"/>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1"/>
                <w:szCs w:val="11"/>
                <w:color w:val="050505"/>
              </w:rPr>
              <w:t>348.6</w:t>
            </w:r>
          </w:p>
        </w:tc>
        <w:tc>
          <w:tcPr>
            <w:tcW w:w="140" w:type="dxa"/>
            <w:vAlign w:val="bottom"/>
            <w:shd w:val="clear" w:color="auto" w:fill="CCEEFF"/>
          </w:tcPr>
          <w:p>
            <w:pPr>
              <w:spacing w:after="0"/>
              <w:rPr>
                <w:sz w:val="10"/>
                <w:szCs w:val="10"/>
                <w:color w:val="auto"/>
              </w:rPr>
            </w:pPr>
          </w:p>
        </w:tc>
        <w:tc>
          <w:tcPr>
            <w:tcW w:w="28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050505"/>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1"/>
                <w:szCs w:val="11"/>
                <w:color w:val="050505"/>
              </w:rPr>
              <w:t>719.2</w:t>
            </w:r>
          </w:p>
        </w:tc>
        <w:tc>
          <w:tcPr>
            <w:tcW w:w="80" w:type="dxa"/>
            <w:vAlign w:val="bottom"/>
            <w:shd w:val="clear" w:color="auto" w:fill="CCEEFF"/>
          </w:tcPr>
          <w:p>
            <w:pPr>
              <w:spacing w:after="0"/>
              <w:rPr>
                <w:sz w:val="10"/>
                <w:szCs w:val="10"/>
                <w:color w:val="auto"/>
              </w:rPr>
            </w:pPr>
          </w:p>
        </w:tc>
      </w:tr>
      <w:tr>
        <w:trPr>
          <w:trHeight w:val="126"/>
        </w:trPr>
        <w:tc>
          <w:tcPr>
            <w:tcW w:w="2960" w:type="dxa"/>
            <w:vAlign w:val="bottom"/>
          </w:tcPr>
          <w:p>
            <w:pPr>
              <w:ind w:left="160"/>
              <w:spacing w:after="0"/>
              <w:rPr>
                <w:sz w:val="20"/>
                <w:szCs w:val="20"/>
                <w:color w:val="auto"/>
              </w:rPr>
            </w:pPr>
            <w:r>
              <w:rPr>
                <w:rFonts w:ascii="Arial" w:cs="Arial" w:eastAsia="Arial" w:hAnsi="Arial"/>
                <w:sz w:val="11"/>
                <w:szCs w:val="11"/>
                <w:color w:val="050505"/>
              </w:rPr>
              <w:t>Subscription</w:t>
            </w:r>
          </w:p>
        </w:tc>
        <w:tc>
          <w:tcPr>
            <w:tcW w:w="1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050505"/>
              </w:rPr>
              <w:t>32.5</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050505"/>
              </w:rPr>
              <w:t>80.3</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050505"/>
              </w:rPr>
              <w:t>181.1</w:t>
            </w:r>
          </w:p>
        </w:tc>
        <w:tc>
          <w:tcPr>
            <w:tcW w:w="80" w:type="dxa"/>
            <w:vAlign w:val="bottom"/>
          </w:tcPr>
          <w:p>
            <w:pPr>
              <w:spacing w:after="0"/>
              <w:rPr>
                <w:sz w:val="10"/>
                <w:szCs w:val="10"/>
                <w:color w:val="auto"/>
              </w:rPr>
            </w:pPr>
          </w:p>
        </w:tc>
      </w:tr>
      <w:tr>
        <w:trPr>
          <w:trHeight w:val="126"/>
        </w:trPr>
        <w:tc>
          <w:tcPr>
            <w:tcW w:w="2960" w:type="dxa"/>
            <w:vAlign w:val="bottom"/>
            <w:shd w:val="clear" w:color="auto" w:fill="CCEEFF"/>
          </w:tcPr>
          <w:p>
            <w:pPr>
              <w:ind w:left="160"/>
              <w:spacing w:after="0"/>
              <w:rPr>
                <w:sz w:val="20"/>
                <w:szCs w:val="20"/>
                <w:color w:val="auto"/>
              </w:rPr>
            </w:pPr>
            <w:r>
              <w:rPr>
                <w:rFonts w:ascii="Arial" w:cs="Arial" w:eastAsia="Arial" w:hAnsi="Arial"/>
                <w:sz w:val="11"/>
                <w:szCs w:val="11"/>
                <w:color w:val="050505"/>
              </w:rPr>
              <w:t>Other</w:t>
            </w:r>
          </w:p>
        </w:tc>
        <w:tc>
          <w:tcPr>
            <w:tcW w:w="1680" w:type="dxa"/>
            <w:vAlign w:val="bottom"/>
            <w:shd w:val="clear" w:color="auto" w:fill="CCEEFF"/>
          </w:tcPr>
          <w:p>
            <w:pPr>
              <w:spacing w:after="0"/>
              <w:rPr>
                <w:sz w:val="10"/>
                <w:szCs w:val="10"/>
                <w:color w:val="auto"/>
              </w:rPr>
            </w:pPr>
          </w:p>
        </w:tc>
        <w:tc>
          <w:tcPr>
            <w:tcW w:w="100" w:type="dxa"/>
            <w:vAlign w:val="bottom"/>
            <w:tcBorders>
              <w:bottom w:val="single" w:sz="8" w:color="auto"/>
            </w:tcBorders>
            <w:shd w:val="clear" w:color="auto" w:fill="CCEEFF"/>
          </w:tcPr>
          <w:p>
            <w:pPr>
              <w:spacing w:after="0"/>
              <w:rPr>
                <w:sz w:val="10"/>
                <w:szCs w:val="10"/>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050505"/>
              </w:rPr>
              <w:t>2.6</w:t>
            </w: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tcBorders>
              <w:bottom w:val="single" w:sz="8" w:color="auto"/>
            </w:tcBorders>
            <w:shd w:val="clear" w:color="auto" w:fill="CCEEFF"/>
          </w:tcPr>
          <w:p>
            <w:pPr>
              <w:spacing w:after="0"/>
              <w:rPr>
                <w:sz w:val="10"/>
                <w:szCs w:val="10"/>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050505"/>
              </w:rPr>
              <w:t>6.2</w:t>
            </w: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0" w:type="dxa"/>
            <w:vAlign w:val="bottom"/>
            <w:tcBorders>
              <w:bottom w:val="single" w:sz="8" w:color="auto"/>
            </w:tcBorders>
            <w:shd w:val="clear" w:color="auto" w:fill="CCEEFF"/>
          </w:tcPr>
          <w:p>
            <w:pPr>
              <w:spacing w:after="0"/>
              <w:rPr>
                <w:sz w:val="10"/>
                <w:szCs w:val="10"/>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050505"/>
              </w:rPr>
              <w:t>14.7</w:t>
            </w:r>
          </w:p>
        </w:tc>
        <w:tc>
          <w:tcPr>
            <w:tcW w:w="80" w:type="dxa"/>
            <w:vAlign w:val="bottom"/>
            <w:shd w:val="clear" w:color="auto" w:fill="CCEEFF"/>
          </w:tcPr>
          <w:p>
            <w:pPr>
              <w:spacing w:after="0"/>
              <w:rPr>
                <w:sz w:val="10"/>
                <w:szCs w:val="10"/>
                <w:color w:val="auto"/>
              </w:rPr>
            </w:pPr>
          </w:p>
        </w:tc>
      </w:tr>
      <w:tr>
        <w:trPr>
          <w:trHeight w:val="124"/>
        </w:trPr>
        <w:tc>
          <w:tcPr>
            <w:tcW w:w="2960" w:type="dxa"/>
            <w:vAlign w:val="bottom"/>
          </w:tcPr>
          <w:p>
            <w:pPr>
              <w:ind w:left="260"/>
              <w:spacing w:after="0" w:line="124" w:lineRule="exact"/>
              <w:rPr>
                <w:sz w:val="20"/>
                <w:szCs w:val="20"/>
                <w:color w:val="auto"/>
              </w:rPr>
            </w:pPr>
            <w:r>
              <w:rPr>
                <w:rFonts w:ascii="Arial" w:cs="Arial" w:eastAsia="Arial" w:hAnsi="Arial"/>
                <w:sz w:val="11"/>
                <w:szCs w:val="11"/>
                <w:color w:val="050505"/>
              </w:rPr>
              <w:t>Total revenue</w:t>
            </w:r>
          </w:p>
        </w:tc>
        <w:tc>
          <w:tcPr>
            <w:tcW w:w="168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jc w:val="right"/>
              <w:spacing w:after="0" w:line="124" w:lineRule="exact"/>
              <w:rPr>
                <w:sz w:val="20"/>
                <w:szCs w:val="20"/>
                <w:color w:val="auto"/>
              </w:rPr>
            </w:pPr>
            <w:r>
              <w:rPr>
                <w:rFonts w:ascii="Arial" w:cs="Arial" w:eastAsia="Arial" w:hAnsi="Arial"/>
                <w:sz w:val="11"/>
                <w:szCs w:val="11"/>
                <w:color w:val="050505"/>
              </w:rPr>
              <w:t>218.6</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jc w:val="right"/>
              <w:spacing w:after="0" w:line="124" w:lineRule="exact"/>
              <w:rPr>
                <w:sz w:val="20"/>
                <w:szCs w:val="20"/>
                <w:color w:val="auto"/>
              </w:rPr>
            </w:pPr>
            <w:r>
              <w:rPr>
                <w:rFonts w:ascii="Arial" w:cs="Arial" w:eastAsia="Arial" w:hAnsi="Arial"/>
                <w:sz w:val="11"/>
                <w:szCs w:val="11"/>
                <w:color w:val="050505"/>
              </w:rPr>
              <w:t>435.0</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jc w:val="right"/>
              <w:spacing w:after="0" w:line="124" w:lineRule="exact"/>
              <w:rPr>
                <w:sz w:val="20"/>
                <w:szCs w:val="20"/>
                <w:color w:val="auto"/>
              </w:rPr>
            </w:pPr>
            <w:r>
              <w:rPr>
                <w:rFonts w:ascii="Arial" w:cs="Arial" w:eastAsia="Arial" w:hAnsi="Arial"/>
                <w:sz w:val="11"/>
                <w:szCs w:val="11"/>
                <w:color w:val="050505"/>
              </w:rPr>
              <w:t>915.0</w:t>
            </w:r>
          </w:p>
        </w:tc>
        <w:tc>
          <w:tcPr>
            <w:tcW w:w="80" w:type="dxa"/>
            <w:vAlign w:val="bottom"/>
          </w:tcPr>
          <w:p>
            <w:pPr>
              <w:spacing w:after="0"/>
              <w:rPr>
                <w:sz w:val="10"/>
                <w:szCs w:val="10"/>
                <w:color w:val="auto"/>
              </w:rPr>
            </w:pPr>
          </w:p>
        </w:tc>
      </w:tr>
      <w:tr>
        <w:trPr>
          <w:trHeight w:val="124"/>
        </w:trPr>
        <w:tc>
          <w:tcPr>
            <w:tcW w:w="2960" w:type="dxa"/>
            <w:vAlign w:val="bottom"/>
            <w:shd w:val="clear" w:color="auto" w:fill="CCEEFF"/>
          </w:tcPr>
          <w:p>
            <w:pPr>
              <w:ind w:left="40"/>
              <w:spacing w:after="0" w:line="125" w:lineRule="exact"/>
              <w:rPr>
                <w:sz w:val="20"/>
                <w:szCs w:val="20"/>
                <w:color w:val="auto"/>
              </w:rPr>
            </w:pPr>
            <w:r>
              <w:rPr>
                <w:rFonts w:ascii="Arial" w:cs="Arial" w:eastAsia="Arial" w:hAnsi="Arial"/>
                <w:sz w:val="9"/>
                <w:szCs w:val="9"/>
                <w:color w:val="050505"/>
              </w:rPr>
              <w:t>Cost of revenue</w:t>
            </w:r>
            <w:r>
              <w:rPr>
                <w:rFonts w:ascii="Arial" w:cs="Arial" w:eastAsia="Arial" w:hAnsi="Arial"/>
                <w:sz w:val="14"/>
                <w:szCs w:val="14"/>
                <w:color w:val="050505"/>
                <w:vertAlign w:val="superscript"/>
              </w:rPr>
              <w:t>(1)(2)</w:t>
            </w:r>
            <w:r>
              <w:rPr>
                <w:rFonts w:ascii="Arial" w:cs="Arial" w:eastAsia="Arial" w:hAnsi="Arial"/>
                <w:sz w:val="9"/>
                <w:szCs w:val="9"/>
                <w:color w:val="050505"/>
              </w:rPr>
              <w:t>:</w:t>
            </w:r>
          </w:p>
        </w:tc>
        <w:tc>
          <w:tcPr>
            <w:tcW w:w="16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r>
      <w:tr>
        <w:trPr>
          <w:trHeight w:val="126"/>
        </w:trPr>
        <w:tc>
          <w:tcPr>
            <w:tcW w:w="2960" w:type="dxa"/>
            <w:vAlign w:val="bottom"/>
          </w:tcPr>
          <w:p>
            <w:pPr>
              <w:ind w:left="160"/>
              <w:spacing w:after="0"/>
              <w:rPr>
                <w:sz w:val="20"/>
                <w:szCs w:val="20"/>
                <w:color w:val="auto"/>
              </w:rPr>
            </w:pPr>
            <w:r>
              <w:rPr>
                <w:rFonts w:ascii="Arial" w:cs="Arial" w:eastAsia="Arial" w:hAnsi="Arial"/>
                <w:sz w:val="11"/>
                <w:szCs w:val="11"/>
                <w:color w:val="050505"/>
              </w:rPr>
              <w:t>Connected Fitness Products</w:t>
            </w:r>
          </w:p>
        </w:tc>
        <w:tc>
          <w:tcPr>
            <w:tcW w:w="1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050505"/>
              </w:rPr>
              <w:t>113.5</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050505"/>
              </w:rPr>
              <w:t>195.0</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050505"/>
              </w:rPr>
              <w:t>410.8</w:t>
            </w:r>
          </w:p>
        </w:tc>
        <w:tc>
          <w:tcPr>
            <w:tcW w:w="80" w:type="dxa"/>
            <w:vAlign w:val="bottom"/>
          </w:tcPr>
          <w:p>
            <w:pPr>
              <w:spacing w:after="0"/>
              <w:rPr>
                <w:sz w:val="10"/>
                <w:szCs w:val="10"/>
                <w:color w:val="auto"/>
              </w:rPr>
            </w:pPr>
          </w:p>
        </w:tc>
      </w:tr>
      <w:tr>
        <w:trPr>
          <w:trHeight w:val="126"/>
        </w:trPr>
        <w:tc>
          <w:tcPr>
            <w:tcW w:w="2960" w:type="dxa"/>
            <w:vAlign w:val="bottom"/>
            <w:shd w:val="clear" w:color="auto" w:fill="CCEEFF"/>
          </w:tcPr>
          <w:p>
            <w:pPr>
              <w:ind w:left="160"/>
              <w:spacing w:after="0" w:line="126" w:lineRule="exact"/>
              <w:rPr>
                <w:sz w:val="20"/>
                <w:szCs w:val="20"/>
                <w:color w:val="auto"/>
              </w:rPr>
            </w:pPr>
            <w:r>
              <w:rPr>
                <w:rFonts w:ascii="Arial" w:cs="Arial" w:eastAsia="Arial" w:hAnsi="Arial"/>
                <w:sz w:val="9"/>
                <w:szCs w:val="9"/>
                <w:color w:val="050505"/>
              </w:rPr>
              <w:t>Subscription</w:t>
            </w:r>
            <w:r>
              <w:rPr>
                <w:rFonts w:ascii="Arial" w:cs="Arial" w:eastAsia="Arial" w:hAnsi="Arial"/>
                <w:sz w:val="14"/>
                <w:szCs w:val="14"/>
                <w:color w:val="050505"/>
                <w:vertAlign w:val="superscript"/>
              </w:rPr>
              <w:t>(3)</w:t>
            </w:r>
          </w:p>
        </w:tc>
        <w:tc>
          <w:tcPr>
            <w:tcW w:w="16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1"/>
                <w:szCs w:val="11"/>
                <w:color w:val="050505"/>
              </w:rPr>
              <w:t>29.3</w:t>
            </w: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1"/>
                <w:szCs w:val="11"/>
                <w:color w:val="050505"/>
              </w:rPr>
              <w:t>45.5</w:t>
            </w: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1"/>
                <w:szCs w:val="11"/>
                <w:color w:val="050505"/>
              </w:rPr>
              <w:t>103.7</w:t>
            </w:r>
          </w:p>
        </w:tc>
        <w:tc>
          <w:tcPr>
            <w:tcW w:w="80" w:type="dxa"/>
            <w:vAlign w:val="bottom"/>
            <w:shd w:val="clear" w:color="auto" w:fill="CCEEFF"/>
          </w:tcPr>
          <w:p>
            <w:pPr>
              <w:spacing w:after="0"/>
              <w:rPr>
                <w:sz w:val="10"/>
                <w:szCs w:val="10"/>
                <w:color w:val="auto"/>
              </w:rPr>
            </w:pPr>
          </w:p>
        </w:tc>
      </w:tr>
      <w:tr>
        <w:trPr>
          <w:trHeight w:val="126"/>
        </w:trPr>
        <w:tc>
          <w:tcPr>
            <w:tcW w:w="2960" w:type="dxa"/>
            <w:vAlign w:val="bottom"/>
          </w:tcPr>
          <w:p>
            <w:pPr>
              <w:ind w:left="160"/>
              <w:spacing w:after="0"/>
              <w:rPr>
                <w:sz w:val="20"/>
                <w:szCs w:val="20"/>
                <w:color w:val="auto"/>
              </w:rPr>
            </w:pPr>
            <w:r>
              <w:rPr>
                <w:rFonts w:ascii="Arial" w:cs="Arial" w:eastAsia="Arial" w:hAnsi="Arial"/>
                <w:sz w:val="11"/>
                <w:szCs w:val="11"/>
                <w:color w:val="050505"/>
              </w:rPr>
              <w:t>Other</w:t>
            </w:r>
          </w:p>
        </w:tc>
        <w:tc>
          <w:tcPr>
            <w:tcW w:w="168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050505"/>
              </w:rPr>
              <w:t>1.9</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050505"/>
              </w:rPr>
              <w:t>4.9</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050505"/>
              </w:rPr>
              <w:t>17.0</w:t>
            </w:r>
          </w:p>
        </w:tc>
        <w:tc>
          <w:tcPr>
            <w:tcW w:w="80" w:type="dxa"/>
            <w:vAlign w:val="bottom"/>
          </w:tcPr>
          <w:p>
            <w:pPr>
              <w:spacing w:after="0"/>
              <w:rPr>
                <w:sz w:val="10"/>
                <w:szCs w:val="10"/>
                <w:color w:val="auto"/>
              </w:rPr>
            </w:pPr>
          </w:p>
        </w:tc>
      </w:tr>
      <w:tr>
        <w:trPr>
          <w:trHeight w:val="124"/>
        </w:trPr>
        <w:tc>
          <w:tcPr>
            <w:tcW w:w="2960" w:type="dxa"/>
            <w:vAlign w:val="bottom"/>
            <w:shd w:val="clear" w:color="auto" w:fill="CCEEFF"/>
          </w:tcPr>
          <w:p>
            <w:pPr>
              <w:ind w:left="260"/>
              <w:spacing w:after="0" w:line="124" w:lineRule="exact"/>
              <w:rPr>
                <w:sz w:val="20"/>
                <w:szCs w:val="20"/>
                <w:color w:val="auto"/>
              </w:rPr>
            </w:pPr>
            <w:r>
              <w:rPr>
                <w:rFonts w:ascii="Arial" w:cs="Arial" w:eastAsia="Arial" w:hAnsi="Arial"/>
                <w:sz w:val="11"/>
                <w:szCs w:val="11"/>
                <w:color w:val="050505"/>
              </w:rPr>
              <w:t>Total cost of revenue</w:t>
            </w:r>
          </w:p>
        </w:tc>
        <w:tc>
          <w:tcPr>
            <w:tcW w:w="1680" w:type="dxa"/>
            <w:vAlign w:val="bottom"/>
            <w:shd w:val="clear" w:color="auto" w:fill="CCEEFF"/>
          </w:tcPr>
          <w:p>
            <w:pPr>
              <w:spacing w:after="0"/>
              <w:rPr>
                <w:sz w:val="10"/>
                <w:szCs w:val="10"/>
                <w:color w:val="auto"/>
              </w:rPr>
            </w:pPr>
          </w:p>
        </w:tc>
        <w:tc>
          <w:tcPr>
            <w:tcW w:w="100" w:type="dxa"/>
            <w:vAlign w:val="bottom"/>
            <w:tcBorders>
              <w:bottom w:val="single" w:sz="8" w:color="auto"/>
            </w:tcBorders>
            <w:shd w:val="clear" w:color="auto" w:fill="CCEEFF"/>
          </w:tcPr>
          <w:p>
            <w:pPr>
              <w:spacing w:after="0"/>
              <w:rPr>
                <w:sz w:val="10"/>
                <w:szCs w:val="10"/>
                <w:color w:val="auto"/>
              </w:rPr>
            </w:pPr>
          </w:p>
        </w:tc>
        <w:tc>
          <w:tcPr>
            <w:tcW w:w="620" w:type="dxa"/>
            <w:vAlign w:val="bottom"/>
            <w:tcBorders>
              <w:bottom w:val="single" w:sz="8" w:color="auto"/>
            </w:tcBorders>
            <w:shd w:val="clear" w:color="auto" w:fill="CCEEFF"/>
          </w:tcPr>
          <w:p>
            <w:pPr>
              <w:jc w:val="right"/>
              <w:spacing w:after="0" w:line="124" w:lineRule="exact"/>
              <w:rPr>
                <w:sz w:val="20"/>
                <w:szCs w:val="20"/>
                <w:color w:val="auto"/>
              </w:rPr>
            </w:pPr>
            <w:r>
              <w:rPr>
                <w:rFonts w:ascii="Arial" w:cs="Arial" w:eastAsia="Arial" w:hAnsi="Arial"/>
                <w:sz w:val="11"/>
                <w:szCs w:val="11"/>
                <w:color w:val="050505"/>
              </w:rPr>
              <w:t>144.7</w:t>
            </w: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tcBorders>
              <w:bottom w:val="single" w:sz="8" w:color="auto"/>
            </w:tcBorders>
            <w:shd w:val="clear" w:color="auto" w:fill="CCEEFF"/>
          </w:tcPr>
          <w:p>
            <w:pPr>
              <w:spacing w:after="0"/>
              <w:rPr>
                <w:sz w:val="10"/>
                <w:szCs w:val="10"/>
                <w:color w:val="auto"/>
              </w:rPr>
            </w:pPr>
          </w:p>
        </w:tc>
        <w:tc>
          <w:tcPr>
            <w:tcW w:w="580" w:type="dxa"/>
            <w:vAlign w:val="bottom"/>
            <w:tcBorders>
              <w:bottom w:val="single" w:sz="8" w:color="auto"/>
            </w:tcBorders>
            <w:shd w:val="clear" w:color="auto" w:fill="CCEEFF"/>
          </w:tcPr>
          <w:p>
            <w:pPr>
              <w:jc w:val="right"/>
              <w:spacing w:after="0" w:line="124" w:lineRule="exact"/>
              <w:rPr>
                <w:sz w:val="20"/>
                <w:szCs w:val="20"/>
                <w:color w:val="auto"/>
              </w:rPr>
            </w:pPr>
            <w:r>
              <w:rPr>
                <w:rFonts w:ascii="Arial" w:cs="Arial" w:eastAsia="Arial" w:hAnsi="Arial"/>
                <w:sz w:val="11"/>
                <w:szCs w:val="11"/>
                <w:color w:val="050505"/>
              </w:rPr>
              <w:t>245.4</w:t>
            </w: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0" w:type="dxa"/>
            <w:vAlign w:val="bottom"/>
            <w:tcBorders>
              <w:bottom w:val="single" w:sz="8" w:color="auto"/>
            </w:tcBorders>
            <w:shd w:val="clear" w:color="auto" w:fill="CCEEFF"/>
          </w:tcPr>
          <w:p>
            <w:pPr>
              <w:spacing w:after="0"/>
              <w:rPr>
                <w:sz w:val="10"/>
                <w:szCs w:val="10"/>
                <w:color w:val="auto"/>
              </w:rPr>
            </w:pPr>
          </w:p>
        </w:tc>
        <w:tc>
          <w:tcPr>
            <w:tcW w:w="560" w:type="dxa"/>
            <w:vAlign w:val="bottom"/>
            <w:tcBorders>
              <w:bottom w:val="single" w:sz="8" w:color="auto"/>
            </w:tcBorders>
            <w:shd w:val="clear" w:color="auto" w:fill="CCEEFF"/>
          </w:tcPr>
          <w:p>
            <w:pPr>
              <w:jc w:val="right"/>
              <w:spacing w:after="0" w:line="124" w:lineRule="exact"/>
              <w:rPr>
                <w:sz w:val="20"/>
                <w:szCs w:val="20"/>
                <w:color w:val="auto"/>
              </w:rPr>
            </w:pPr>
            <w:r>
              <w:rPr>
                <w:rFonts w:ascii="Arial" w:cs="Arial" w:eastAsia="Arial" w:hAnsi="Arial"/>
                <w:sz w:val="11"/>
                <w:szCs w:val="11"/>
                <w:color w:val="050505"/>
              </w:rPr>
              <w:t>531.4</w:t>
            </w:r>
          </w:p>
        </w:tc>
        <w:tc>
          <w:tcPr>
            <w:tcW w:w="80" w:type="dxa"/>
            <w:vAlign w:val="bottom"/>
            <w:shd w:val="clear" w:color="auto" w:fill="CCEEFF"/>
          </w:tcPr>
          <w:p>
            <w:pPr>
              <w:spacing w:after="0"/>
              <w:rPr>
                <w:sz w:val="10"/>
                <w:szCs w:val="10"/>
                <w:color w:val="auto"/>
              </w:rPr>
            </w:pPr>
          </w:p>
        </w:tc>
      </w:tr>
      <w:tr>
        <w:trPr>
          <w:trHeight w:val="124"/>
        </w:trPr>
        <w:tc>
          <w:tcPr>
            <w:tcW w:w="2960" w:type="dxa"/>
            <w:vAlign w:val="bottom"/>
          </w:tcPr>
          <w:p>
            <w:pPr>
              <w:ind w:left="40"/>
              <w:spacing w:after="0" w:line="124" w:lineRule="exact"/>
              <w:rPr>
                <w:sz w:val="20"/>
                <w:szCs w:val="20"/>
                <w:color w:val="auto"/>
              </w:rPr>
            </w:pPr>
            <w:r>
              <w:rPr>
                <w:rFonts w:ascii="Arial" w:cs="Arial" w:eastAsia="Arial" w:hAnsi="Arial"/>
                <w:sz w:val="11"/>
                <w:szCs w:val="11"/>
                <w:color w:val="050505"/>
              </w:rPr>
              <w:t>Gross profit</w:t>
            </w:r>
          </w:p>
        </w:tc>
        <w:tc>
          <w:tcPr>
            <w:tcW w:w="168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jc w:val="right"/>
              <w:spacing w:after="0" w:line="124" w:lineRule="exact"/>
              <w:rPr>
                <w:sz w:val="20"/>
                <w:szCs w:val="20"/>
                <w:color w:val="auto"/>
              </w:rPr>
            </w:pPr>
            <w:r>
              <w:rPr>
                <w:rFonts w:ascii="Arial" w:cs="Arial" w:eastAsia="Arial" w:hAnsi="Arial"/>
                <w:sz w:val="11"/>
                <w:szCs w:val="11"/>
                <w:color w:val="050505"/>
              </w:rPr>
              <w:t>73.9</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jc w:val="right"/>
              <w:spacing w:after="0" w:line="124" w:lineRule="exact"/>
              <w:rPr>
                <w:sz w:val="20"/>
                <w:szCs w:val="20"/>
                <w:color w:val="auto"/>
              </w:rPr>
            </w:pPr>
            <w:r>
              <w:rPr>
                <w:rFonts w:ascii="Arial" w:cs="Arial" w:eastAsia="Arial" w:hAnsi="Arial"/>
                <w:sz w:val="11"/>
                <w:szCs w:val="11"/>
                <w:color w:val="050505"/>
              </w:rPr>
              <w:t>189.6</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jc w:val="right"/>
              <w:spacing w:after="0" w:line="124" w:lineRule="exact"/>
              <w:rPr>
                <w:sz w:val="20"/>
                <w:szCs w:val="20"/>
                <w:color w:val="auto"/>
              </w:rPr>
            </w:pPr>
            <w:r>
              <w:rPr>
                <w:rFonts w:ascii="Arial" w:cs="Arial" w:eastAsia="Arial" w:hAnsi="Arial"/>
                <w:sz w:val="11"/>
                <w:szCs w:val="11"/>
                <w:color w:val="050505"/>
              </w:rPr>
              <w:t>383.6</w:t>
            </w:r>
          </w:p>
        </w:tc>
        <w:tc>
          <w:tcPr>
            <w:tcW w:w="80" w:type="dxa"/>
            <w:vAlign w:val="bottom"/>
          </w:tcPr>
          <w:p>
            <w:pPr>
              <w:spacing w:after="0"/>
              <w:rPr>
                <w:sz w:val="10"/>
                <w:szCs w:val="10"/>
                <w:color w:val="auto"/>
              </w:rPr>
            </w:pPr>
          </w:p>
        </w:tc>
      </w:tr>
      <w:tr>
        <w:trPr>
          <w:trHeight w:val="124"/>
        </w:trPr>
        <w:tc>
          <w:tcPr>
            <w:tcW w:w="2960" w:type="dxa"/>
            <w:vAlign w:val="bottom"/>
            <w:shd w:val="clear" w:color="auto" w:fill="CCEEFF"/>
          </w:tcPr>
          <w:p>
            <w:pPr>
              <w:ind w:left="40"/>
              <w:spacing w:after="0" w:line="124" w:lineRule="exact"/>
              <w:rPr>
                <w:sz w:val="20"/>
                <w:szCs w:val="20"/>
                <w:color w:val="auto"/>
              </w:rPr>
            </w:pPr>
            <w:r>
              <w:rPr>
                <w:rFonts w:ascii="Arial" w:cs="Arial" w:eastAsia="Arial" w:hAnsi="Arial"/>
                <w:sz w:val="11"/>
                <w:szCs w:val="11"/>
                <w:color w:val="050505"/>
              </w:rPr>
              <w:t>Operating expenses:</w:t>
            </w:r>
          </w:p>
        </w:tc>
        <w:tc>
          <w:tcPr>
            <w:tcW w:w="16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r>
      <w:tr>
        <w:trPr>
          <w:trHeight w:val="126"/>
        </w:trPr>
        <w:tc>
          <w:tcPr>
            <w:tcW w:w="2960" w:type="dxa"/>
            <w:vAlign w:val="bottom"/>
          </w:tcPr>
          <w:p>
            <w:pPr>
              <w:ind w:left="160"/>
              <w:spacing w:after="0" w:line="126" w:lineRule="exact"/>
              <w:rPr>
                <w:sz w:val="20"/>
                <w:szCs w:val="20"/>
                <w:color w:val="auto"/>
              </w:rPr>
            </w:pPr>
            <w:r>
              <w:rPr>
                <w:rFonts w:ascii="Arial" w:cs="Arial" w:eastAsia="Arial" w:hAnsi="Arial"/>
                <w:sz w:val="9"/>
                <w:szCs w:val="9"/>
                <w:color w:val="050505"/>
              </w:rPr>
              <w:t>Research and development</w:t>
            </w:r>
            <w:r>
              <w:rPr>
                <w:rFonts w:ascii="Arial" w:cs="Arial" w:eastAsia="Arial" w:hAnsi="Arial"/>
                <w:sz w:val="14"/>
                <w:szCs w:val="14"/>
                <w:color w:val="050505"/>
                <w:vertAlign w:val="superscript"/>
              </w:rPr>
              <w:t>(1)(2)</w:t>
            </w:r>
          </w:p>
        </w:tc>
        <w:tc>
          <w:tcPr>
            <w:tcW w:w="1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050505"/>
              </w:rPr>
              <w:t>13.0</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050505"/>
              </w:rPr>
              <w:t>23.4</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050505"/>
              </w:rPr>
              <w:t>54.8</w:t>
            </w:r>
          </w:p>
        </w:tc>
        <w:tc>
          <w:tcPr>
            <w:tcW w:w="80" w:type="dxa"/>
            <w:vAlign w:val="bottom"/>
          </w:tcPr>
          <w:p>
            <w:pPr>
              <w:spacing w:after="0"/>
              <w:rPr>
                <w:sz w:val="10"/>
                <w:szCs w:val="10"/>
                <w:color w:val="auto"/>
              </w:rPr>
            </w:pPr>
          </w:p>
        </w:tc>
      </w:tr>
      <w:tr>
        <w:trPr>
          <w:trHeight w:val="126"/>
        </w:trPr>
        <w:tc>
          <w:tcPr>
            <w:tcW w:w="2960" w:type="dxa"/>
            <w:vAlign w:val="bottom"/>
            <w:shd w:val="clear" w:color="auto" w:fill="CCEEFF"/>
          </w:tcPr>
          <w:p>
            <w:pPr>
              <w:ind w:left="160"/>
              <w:spacing w:after="0" w:line="126" w:lineRule="exact"/>
              <w:rPr>
                <w:sz w:val="20"/>
                <w:szCs w:val="20"/>
                <w:color w:val="auto"/>
              </w:rPr>
            </w:pPr>
            <w:r>
              <w:rPr>
                <w:rFonts w:ascii="Arial" w:cs="Arial" w:eastAsia="Arial" w:hAnsi="Arial"/>
                <w:sz w:val="9"/>
                <w:szCs w:val="9"/>
                <w:color w:val="050505"/>
              </w:rPr>
              <w:t>Sales and marketing</w:t>
            </w:r>
            <w:r>
              <w:rPr>
                <w:rFonts w:ascii="Arial" w:cs="Arial" w:eastAsia="Arial" w:hAnsi="Arial"/>
                <w:sz w:val="14"/>
                <w:szCs w:val="14"/>
                <w:color w:val="050505"/>
                <w:vertAlign w:val="superscript"/>
              </w:rPr>
              <w:t>(1)(2)</w:t>
            </w:r>
          </w:p>
        </w:tc>
        <w:tc>
          <w:tcPr>
            <w:tcW w:w="16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1"/>
                <w:szCs w:val="11"/>
                <w:color w:val="050505"/>
              </w:rPr>
              <w:t>86.0</w:t>
            </w: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1"/>
                <w:szCs w:val="11"/>
                <w:color w:val="050505"/>
              </w:rPr>
              <w:t>151.4</w:t>
            </w: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1"/>
                <w:szCs w:val="11"/>
                <w:color w:val="050505"/>
              </w:rPr>
              <w:t>324.0</w:t>
            </w:r>
          </w:p>
        </w:tc>
        <w:tc>
          <w:tcPr>
            <w:tcW w:w="80" w:type="dxa"/>
            <w:vAlign w:val="bottom"/>
            <w:shd w:val="clear" w:color="auto" w:fill="CCEEFF"/>
          </w:tcPr>
          <w:p>
            <w:pPr>
              <w:spacing w:after="0"/>
              <w:rPr>
                <w:sz w:val="10"/>
                <w:szCs w:val="10"/>
                <w:color w:val="auto"/>
              </w:rPr>
            </w:pPr>
          </w:p>
        </w:tc>
      </w:tr>
      <w:tr>
        <w:trPr>
          <w:trHeight w:val="126"/>
        </w:trPr>
        <w:tc>
          <w:tcPr>
            <w:tcW w:w="2960" w:type="dxa"/>
            <w:vAlign w:val="bottom"/>
          </w:tcPr>
          <w:p>
            <w:pPr>
              <w:ind w:left="160"/>
              <w:spacing w:after="0" w:line="126" w:lineRule="exact"/>
              <w:rPr>
                <w:sz w:val="20"/>
                <w:szCs w:val="20"/>
                <w:color w:val="auto"/>
              </w:rPr>
            </w:pPr>
            <w:r>
              <w:rPr>
                <w:rFonts w:ascii="Arial" w:cs="Arial" w:eastAsia="Arial" w:hAnsi="Arial"/>
                <w:sz w:val="9"/>
                <w:szCs w:val="9"/>
                <w:color w:val="050505"/>
              </w:rPr>
              <w:t>General and administrative</w:t>
            </w:r>
            <w:r>
              <w:rPr>
                <w:rFonts w:ascii="Arial" w:cs="Arial" w:eastAsia="Arial" w:hAnsi="Arial"/>
                <w:sz w:val="14"/>
                <w:szCs w:val="14"/>
                <w:color w:val="050505"/>
                <w:vertAlign w:val="superscript"/>
              </w:rPr>
              <w:t>(1)(2)</w:t>
            </w:r>
          </w:p>
        </w:tc>
        <w:tc>
          <w:tcPr>
            <w:tcW w:w="168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050505"/>
              </w:rPr>
              <w:t>45.6</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050505"/>
              </w:rPr>
              <w:t>62.4</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050505"/>
              </w:rPr>
              <w:t>207.0</w:t>
            </w:r>
          </w:p>
        </w:tc>
        <w:tc>
          <w:tcPr>
            <w:tcW w:w="80" w:type="dxa"/>
            <w:vAlign w:val="bottom"/>
          </w:tcPr>
          <w:p>
            <w:pPr>
              <w:spacing w:after="0"/>
              <w:rPr>
                <w:sz w:val="10"/>
                <w:szCs w:val="10"/>
                <w:color w:val="auto"/>
              </w:rPr>
            </w:pPr>
          </w:p>
        </w:tc>
      </w:tr>
      <w:tr>
        <w:trPr>
          <w:trHeight w:val="124"/>
        </w:trPr>
        <w:tc>
          <w:tcPr>
            <w:tcW w:w="2960" w:type="dxa"/>
            <w:vAlign w:val="bottom"/>
            <w:shd w:val="clear" w:color="auto" w:fill="CCEEFF"/>
          </w:tcPr>
          <w:p>
            <w:pPr>
              <w:ind w:left="260"/>
              <w:spacing w:after="0" w:line="124" w:lineRule="exact"/>
              <w:rPr>
                <w:sz w:val="20"/>
                <w:szCs w:val="20"/>
                <w:color w:val="auto"/>
              </w:rPr>
            </w:pPr>
            <w:r>
              <w:rPr>
                <w:rFonts w:ascii="Arial" w:cs="Arial" w:eastAsia="Arial" w:hAnsi="Arial"/>
                <w:sz w:val="11"/>
                <w:szCs w:val="11"/>
                <w:color w:val="050505"/>
              </w:rPr>
              <w:t>Total operating expenses</w:t>
            </w:r>
          </w:p>
        </w:tc>
        <w:tc>
          <w:tcPr>
            <w:tcW w:w="1680" w:type="dxa"/>
            <w:vAlign w:val="bottom"/>
            <w:shd w:val="clear" w:color="auto" w:fill="CCEEFF"/>
          </w:tcPr>
          <w:p>
            <w:pPr>
              <w:spacing w:after="0"/>
              <w:rPr>
                <w:sz w:val="10"/>
                <w:szCs w:val="10"/>
                <w:color w:val="auto"/>
              </w:rPr>
            </w:pPr>
          </w:p>
        </w:tc>
        <w:tc>
          <w:tcPr>
            <w:tcW w:w="100" w:type="dxa"/>
            <w:vAlign w:val="bottom"/>
            <w:tcBorders>
              <w:bottom w:val="single" w:sz="8" w:color="auto"/>
            </w:tcBorders>
            <w:shd w:val="clear" w:color="auto" w:fill="CCEEFF"/>
          </w:tcPr>
          <w:p>
            <w:pPr>
              <w:spacing w:after="0"/>
              <w:rPr>
                <w:sz w:val="10"/>
                <w:szCs w:val="10"/>
                <w:color w:val="auto"/>
              </w:rPr>
            </w:pPr>
          </w:p>
        </w:tc>
        <w:tc>
          <w:tcPr>
            <w:tcW w:w="620" w:type="dxa"/>
            <w:vAlign w:val="bottom"/>
            <w:tcBorders>
              <w:bottom w:val="single" w:sz="8" w:color="auto"/>
            </w:tcBorders>
            <w:shd w:val="clear" w:color="auto" w:fill="CCEEFF"/>
          </w:tcPr>
          <w:p>
            <w:pPr>
              <w:jc w:val="right"/>
              <w:spacing w:after="0" w:line="124" w:lineRule="exact"/>
              <w:rPr>
                <w:sz w:val="20"/>
                <w:szCs w:val="20"/>
                <w:color w:val="auto"/>
              </w:rPr>
            </w:pPr>
            <w:r>
              <w:rPr>
                <w:rFonts w:ascii="Arial" w:cs="Arial" w:eastAsia="Arial" w:hAnsi="Arial"/>
                <w:sz w:val="11"/>
                <w:szCs w:val="11"/>
                <w:color w:val="050505"/>
              </w:rPr>
              <w:t>144.7</w:t>
            </w: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tcBorders>
              <w:bottom w:val="single" w:sz="8" w:color="auto"/>
            </w:tcBorders>
            <w:shd w:val="clear" w:color="auto" w:fill="CCEEFF"/>
          </w:tcPr>
          <w:p>
            <w:pPr>
              <w:spacing w:after="0"/>
              <w:rPr>
                <w:sz w:val="10"/>
                <w:szCs w:val="10"/>
                <w:color w:val="auto"/>
              </w:rPr>
            </w:pPr>
          </w:p>
        </w:tc>
        <w:tc>
          <w:tcPr>
            <w:tcW w:w="580" w:type="dxa"/>
            <w:vAlign w:val="bottom"/>
            <w:tcBorders>
              <w:bottom w:val="single" w:sz="8" w:color="auto"/>
            </w:tcBorders>
            <w:shd w:val="clear" w:color="auto" w:fill="CCEEFF"/>
          </w:tcPr>
          <w:p>
            <w:pPr>
              <w:jc w:val="right"/>
              <w:spacing w:after="0" w:line="124" w:lineRule="exact"/>
              <w:rPr>
                <w:sz w:val="20"/>
                <w:szCs w:val="20"/>
                <w:color w:val="auto"/>
              </w:rPr>
            </w:pPr>
            <w:r>
              <w:rPr>
                <w:rFonts w:ascii="Arial" w:cs="Arial" w:eastAsia="Arial" w:hAnsi="Arial"/>
                <w:sz w:val="11"/>
                <w:szCs w:val="11"/>
                <w:color w:val="050505"/>
              </w:rPr>
              <w:t>237.1</w:t>
            </w: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0" w:type="dxa"/>
            <w:vAlign w:val="bottom"/>
            <w:tcBorders>
              <w:bottom w:val="single" w:sz="8" w:color="auto"/>
            </w:tcBorders>
            <w:shd w:val="clear" w:color="auto" w:fill="CCEEFF"/>
          </w:tcPr>
          <w:p>
            <w:pPr>
              <w:spacing w:after="0"/>
              <w:rPr>
                <w:sz w:val="10"/>
                <w:szCs w:val="10"/>
                <w:color w:val="auto"/>
              </w:rPr>
            </w:pPr>
          </w:p>
        </w:tc>
        <w:tc>
          <w:tcPr>
            <w:tcW w:w="560" w:type="dxa"/>
            <w:vAlign w:val="bottom"/>
            <w:tcBorders>
              <w:bottom w:val="single" w:sz="8" w:color="auto"/>
            </w:tcBorders>
            <w:shd w:val="clear" w:color="auto" w:fill="CCEEFF"/>
          </w:tcPr>
          <w:p>
            <w:pPr>
              <w:jc w:val="right"/>
              <w:spacing w:after="0" w:line="124" w:lineRule="exact"/>
              <w:rPr>
                <w:sz w:val="20"/>
                <w:szCs w:val="20"/>
                <w:color w:val="auto"/>
              </w:rPr>
            </w:pPr>
            <w:r>
              <w:rPr>
                <w:rFonts w:ascii="Arial" w:cs="Arial" w:eastAsia="Arial" w:hAnsi="Arial"/>
                <w:sz w:val="11"/>
                <w:szCs w:val="11"/>
                <w:color w:val="050505"/>
              </w:rPr>
              <w:t>585.8</w:t>
            </w:r>
          </w:p>
        </w:tc>
        <w:tc>
          <w:tcPr>
            <w:tcW w:w="80" w:type="dxa"/>
            <w:vAlign w:val="bottom"/>
            <w:shd w:val="clear" w:color="auto" w:fill="CCEEFF"/>
          </w:tcPr>
          <w:p>
            <w:pPr>
              <w:spacing w:after="0"/>
              <w:rPr>
                <w:sz w:val="10"/>
                <w:szCs w:val="10"/>
                <w:color w:val="auto"/>
              </w:rPr>
            </w:pPr>
          </w:p>
        </w:tc>
      </w:tr>
      <w:tr>
        <w:trPr>
          <w:trHeight w:val="124"/>
        </w:trPr>
        <w:tc>
          <w:tcPr>
            <w:tcW w:w="2960" w:type="dxa"/>
            <w:vAlign w:val="bottom"/>
          </w:tcPr>
          <w:p>
            <w:pPr>
              <w:ind w:left="40"/>
              <w:spacing w:after="0" w:line="124" w:lineRule="exact"/>
              <w:rPr>
                <w:sz w:val="20"/>
                <w:szCs w:val="20"/>
                <w:color w:val="auto"/>
              </w:rPr>
            </w:pPr>
            <w:r>
              <w:rPr>
                <w:rFonts w:ascii="Arial" w:cs="Arial" w:eastAsia="Arial" w:hAnsi="Arial"/>
                <w:sz w:val="11"/>
                <w:szCs w:val="11"/>
                <w:color w:val="050505"/>
              </w:rPr>
              <w:t>Loss from operations</w:t>
            </w:r>
          </w:p>
        </w:tc>
        <w:tc>
          <w:tcPr>
            <w:tcW w:w="1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gridSpan w:val="2"/>
          </w:tcPr>
          <w:p>
            <w:pPr>
              <w:jc w:val="right"/>
              <w:ind w:right="80"/>
              <w:spacing w:after="0" w:line="124" w:lineRule="exact"/>
              <w:rPr>
                <w:sz w:val="20"/>
                <w:szCs w:val="20"/>
                <w:color w:val="auto"/>
              </w:rPr>
            </w:pPr>
            <w:r>
              <w:rPr>
                <w:rFonts w:ascii="Arial" w:cs="Arial" w:eastAsia="Arial" w:hAnsi="Arial"/>
                <w:sz w:val="11"/>
                <w:szCs w:val="11"/>
                <w:color w:val="050505"/>
              </w:rPr>
              <w:t>(70.7)</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gridSpan w:val="2"/>
          </w:tcPr>
          <w:p>
            <w:pPr>
              <w:jc w:val="right"/>
              <w:ind w:right="100"/>
              <w:spacing w:after="0" w:line="124" w:lineRule="exact"/>
              <w:rPr>
                <w:sz w:val="20"/>
                <w:szCs w:val="20"/>
                <w:color w:val="auto"/>
              </w:rPr>
            </w:pPr>
            <w:r>
              <w:rPr>
                <w:rFonts w:ascii="Arial" w:cs="Arial" w:eastAsia="Arial" w:hAnsi="Arial"/>
                <w:sz w:val="11"/>
                <w:szCs w:val="11"/>
                <w:color w:val="050505"/>
              </w:rPr>
              <w:t>(47.5)</w:t>
            </w: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40" w:type="dxa"/>
            <w:vAlign w:val="bottom"/>
            <w:gridSpan w:val="2"/>
          </w:tcPr>
          <w:p>
            <w:pPr>
              <w:jc w:val="right"/>
              <w:ind w:right="40"/>
              <w:spacing w:after="0" w:line="124" w:lineRule="exact"/>
              <w:rPr>
                <w:sz w:val="20"/>
                <w:szCs w:val="20"/>
                <w:color w:val="auto"/>
              </w:rPr>
            </w:pPr>
            <w:r>
              <w:rPr>
                <w:rFonts w:ascii="Arial" w:cs="Arial" w:eastAsia="Arial" w:hAnsi="Arial"/>
                <w:sz w:val="11"/>
                <w:szCs w:val="11"/>
                <w:color w:val="050505"/>
              </w:rPr>
              <w:t>(202.3)</w:t>
            </w:r>
          </w:p>
        </w:tc>
      </w:tr>
      <w:tr>
        <w:trPr>
          <w:trHeight w:val="126"/>
        </w:trPr>
        <w:tc>
          <w:tcPr>
            <w:tcW w:w="2960" w:type="dxa"/>
            <w:vAlign w:val="bottom"/>
            <w:shd w:val="clear" w:color="auto" w:fill="CCEEFF"/>
          </w:tcPr>
          <w:p>
            <w:pPr>
              <w:ind w:left="40"/>
              <w:spacing w:after="0"/>
              <w:rPr>
                <w:sz w:val="20"/>
                <w:szCs w:val="20"/>
                <w:color w:val="auto"/>
              </w:rPr>
            </w:pPr>
            <w:r>
              <w:rPr>
                <w:rFonts w:ascii="Arial" w:cs="Arial" w:eastAsia="Arial" w:hAnsi="Arial"/>
                <w:sz w:val="11"/>
                <w:szCs w:val="11"/>
                <w:color w:val="050505"/>
              </w:rPr>
              <w:t>Other (expense) income, net</w:t>
            </w:r>
          </w:p>
        </w:tc>
        <w:tc>
          <w:tcPr>
            <w:tcW w:w="16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050505"/>
              </w:rPr>
              <w:t>(0.3)</w:t>
            </w: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050505"/>
              </w:rPr>
              <w:t>(0.3)</w:t>
            </w:r>
          </w:p>
        </w:tc>
        <w:tc>
          <w:tcPr>
            <w:tcW w:w="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1"/>
                <w:szCs w:val="11"/>
                <w:color w:val="050505"/>
              </w:rPr>
              <w:t>6.7</w:t>
            </w:r>
          </w:p>
        </w:tc>
        <w:tc>
          <w:tcPr>
            <w:tcW w:w="80" w:type="dxa"/>
            <w:vAlign w:val="bottom"/>
            <w:shd w:val="clear" w:color="auto" w:fill="CCEEFF"/>
          </w:tcPr>
          <w:p>
            <w:pPr>
              <w:spacing w:after="0"/>
              <w:rPr>
                <w:sz w:val="10"/>
                <w:szCs w:val="10"/>
                <w:color w:val="auto"/>
              </w:rPr>
            </w:pPr>
          </w:p>
        </w:tc>
      </w:tr>
      <w:tr>
        <w:trPr>
          <w:trHeight w:val="20"/>
        </w:trPr>
        <w:tc>
          <w:tcPr>
            <w:tcW w:w="29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24"/>
        </w:trPr>
        <w:tc>
          <w:tcPr>
            <w:tcW w:w="2960" w:type="dxa"/>
            <w:vAlign w:val="bottom"/>
          </w:tcPr>
          <w:p>
            <w:pPr>
              <w:ind w:left="40"/>
              <w:spacing w:after="0" w:line="124" w:lineRule="exact"/>
              <w:rPr>
                <w:sz w:val="20"/>
                <w:szCs w:val="20"/>
                <w:color w:val="auto"/>
              </w:rPr>
            </w:pPr>
            <w:r>
              <w:rPr>
                <w:rFonts w:ascii="Arial" w:cs="Arial" w:eastAsia="Arial" w:hAnsi="Arial"/>
                <w:sz w:val="11"/>
                <w:szCs w:val="11"/>
                <w:color w:val="050505"/>
              </w:rPr>
              <w:t>Loss before provision for income taxes</w:t>
            </w:r>
          </w:p>
        </w:tc>
        <w:tc>
          <w:tcPr>
            <w:tcW w:w="1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gridSpan w:val="2"/>
          </w:tcPr>
          <w:p>
            <w:pPr>
              <w:jc w:val="right"/>
              <w:ind w:right="80"/>
              <w:spacing w:after="0" w:line="124" w:lineRule="exact"/>
              <w:rPr>
                <w:sz w:val="20"/>
                <w:szCs w:val="20"/>
                <w:color w:val="auto"/>
              </w:rPr>
            </w:pPr>
            <w:r>
              <w:rPr>
                <w:rFonts w:ascii="Arial" w:cs="Arial" w:eastAsia="Arial" w:hAnsi="Arial"/>
                <w:sz w:val="11"/>
                <w:szCs w:val="11"/>
                <w:color w:val="050505"/>
              </w:rPr>
              <w:t>(71.1)</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gridSpan w:val="2"/>
          </w:tcPr>
          <w:p>
            <w:pPr>
              <w:jc w:val="right"/>
              <w:ind w:right="100"/>
              <w:spacing w:after="0" w:line="124" w:lineRule="exact"/>
              <w:rPr>
                <w:sz w:val="20"/>
                <w:szCs w:val="20"/>
                <w:color w:val="auto"/>
              </w:rPr>
            </w:pPr>
            <w:r>
              <w:rPr>
                <w:rFonts w:ascii="Arial" w:cs="Arial" w:eastAsia="Arial" w:hAnsi="Arial"/>
                <w:sz w:val="11"/>
                <w:szCs w:val="11"/>
                <w:color w:val="050505"/>
              </w:rPr>
              <w:t>(47.8)</w:t>
            </w: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40" w:type="dxa"/>
            <w:vAlign w:val="bottom"/>
            <w:gridSpan w:val="2"/>
          </w:tcPr>
          <w:p>
            <w:pPr>
              <w:jc w:val="right"/>
              <w:ind w:right="40"/>
              <w:spacing w:after="0" w:line="124" w:lineRule="exact"/>
              <w:rPr>
                <w:sz w:val="20"/>
                <w:szCs w:val="20"/>
                <w:color w:val="auto"/>
              </w:rPr>
            </w:pPr>
            <w:r>
              <w:rPr>
                <w:rFonts w:ascii="Arial" w:cs="Arial" w:eastAsia="Arial" w:hAnsi="Arial"/>
                <w:sz w:val="11"/>
                <w:szCs w:val="11"/>
                <w:color w:val="050505"/>
              </w:rPr>
              <w:t>(195.6)</w:t>
            </w:r>
          </w:p>
        </w:tc>
      </w:tr>
      <w:tr>
        <w:trPr>
          <w:trHeight w:val="124"/>
        </w:trPr>
        <w:tc>
          <w:tcPr>
            <w:tcW w:w="2960" w:type="dxa"/>
            <w:vAlign w:val="bottom"/>
            <w:shd w:val="clear" w:color="auto" w:fill="CCEEFF"/>
          </w:tcPr>
          <w:p>
            <w:pPr>
              <w:ind w:left="40"/>
              <w:spacing w:after="0" w:line="124" w:lineRule="exact"/>
              <w:rPr>
                <w:sz w:val="20"/>
                <w:szCs w:val="20"/>
                <w:color w:val="auto"/>
              </w:rPr>
            </w:pPr>
            <w:r>
              <w:rPr>
                <w:rFonts w:ascii="Arial" w:cs="Arial" w:eastAsia="Arial" w:hAnsi="Arial"/>
                <w:sz w:val="11"/>
                <w:szCs w:val="11"/>
                <w:color w:val="050505"/>
              </w:rPr>
              <w:t>Provision for income taxes</w:t>
            </w:r>
          </w:p>
        </w:tc>
        <w:tc>
          <w:tcPr>
            <w:tcW w:w="1680" w:type="dxa"/>
            <w:vAlign w:val="bottom"/>
            <w:shd w:val="clear" w:color="auto" w:fill="CCEEFF"/>
          </w:tcPr>
          <w:p>
            <w:pPr>
              <w:spacing w:after="0"/>
              <w:rPr>
                <w:sz w:val="10"/>
                <w:szCs w:val="10"/>
                <w:color w:val="auto"/>
              </w:rPr>
            </w:pPr>
          </w:p>
        </w:tc>
        <w:tc>
          <w:tcPr>
            <w:tcW w:w="100" w:type="dxa"/>
            <w:vAlign w:val="bottom"/>
            <w:tcBorders>
              <w:top w:val="single" w:sz="8" w:color="auto"/>
              <w:bottom w:val="single" w:sz="8" w:color="auto"/>
            </w:tcBorders>
            <w:shd w:val="clear" w:color="auto" w:fill="CCEEFF"/>
          </w:tcPr>
          <w:p>
            <w:pPr>
              <w:spacing w:after="0"/>
              <w:rPr>
                <w:sz w:val="10"/>
                <w:szCs w:val="10"/>
                <w:color w:val="auto"/>
              </w:rPr>
            </w:pPr>
          </w:p>
        </w:tc>
        <w:tc>
          <w:tcPr>
            <w:tcW w:w="620" w:type="dxa"/>
            <w:vAlign w:val="bottom"/>
            <w:tcBorders>
              <w:top w:val="single" w:sz="8" w:color="auto"/>
              <w:bottom w:val="single" w:sz="8" w:color="auto"/>
            </w:tcBorders>
            <w:shd w:val="clear" w:color="auto" w:fill="CCEEFF"/>
          </w:tcPr>
          <w:p>
            <w:pPr>
              <w:jc w:val="right"/>
              <w:spacing w:after="0" w:line="124" w:lineRule="exact"/>
              <w:rPr>
                <w:sz w:val="20"/>
                <w:szCs w:val="20"/>
                <w:color w:val="auto"/>
              </w:rPr>
            </w:pPr>
            <w:r>
              <w:rPr>
                <w:rFonts w:ascii="Arial" w:cs="Arial" w:eastAsia="Arial" w:hAnsi="Arial"/>
                <w:sz w:val="11"/>
                <w:szCs w:val="11"/>
                <w:color w:val="050505"/>
              </w:rPr>
              <w:t>—</w:t>
            </w: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tcBorders>
              <w:top w:val="single" w:sz="8" w:color="auto"/>
              <w:bottom w:val="single" w:sz="8" w:color="auto"/>
            </w:tcBorders>
            <w:shd w:val="clear" w:color="auto" w:fill="CCEEFF"/>
          </w:tcPr>
          <w:p>
            <w:pPr>
              <w:spacing w:after="0"/>
              <w:rPr>
                <w:sz w:val="10"/>
                <w:szCs w:val="10"/>
                <w:color w:val="auto"/>
              </w:rPr>
            </w:pPr>
          </w:p>
        </w:tc>
        <w:tc>
          <w:tcPr>
            <w:tcW w:w="580" w:type="dxa"/>
            <w:vAlign w:val="bottom"/>
            <w:tcBorders>
              <w:top w:val="single" w:sz="8" w:color="auto"/>
              <w:bottom w:val="single" w:sz="8" w:color="auto"/>
            </w:tcBorders>
            <w:shd w:val="clear" w:color="auto" w:fill="CCEEFF"/>
          </w:tcPr>
          <w:p>
            <w:pPr>
              <w:jc w:val="right"/>
              <w:spacing w:after="0" w:line="124" w:lineRule="exact"/>
              <w:rPr>
                <w:sz w:val="20"/>
                <w:szCs w:val="20"/>
                <w:color w:val="auto"/>
              </w:rPr>
            </w:pPr>
            <w:r>
              <w:rPr>
                <w:rFonts w:ascii="Arial" w:cs="Arial" w:eastAsia="Arial" w:hAnsi="Arial"/>
                <w:sz w:val="11"/>
                <w:szCs w:val="11"/>
                <w:color w:val="050505"/>
              </w:rPr>
              <w:t>0.1</w:t>
            </w: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0" w:type="dxa"/>
            <w:vAlign w:val="bottom"/>
            <w:tcBorders>
              <w:top w:val="single" w:sz="8" w:color="auto"/>
              <w:bottom w:val="single" w:sz="8" w:color="auto"/>
            </w:tcBorders>
            <w:shd w:val="clear" w:color="auto" w:fill="CCEEFF"/>
          </w:tcPr>
          <w:p>
            <w:pPr>
              <w:spacing w:after="0"/>
              <w:rPr>
                <w:sz w:val="10"/>
                <w:szCs w:val="10"/>
                <w:color w:val="auto"/>
              </w:rPr>
            </w:pPr>
          </w:p>
        </w:tc>
        <w:tc>
          <w:tcPr>
            <w:tcW w:w="560" w:type="dxa"/>
            <w:vAlign w:val="bottom"/>
            <w:tcBorders>
              <w:top w:val="single" w:sz="8" w:color="auto"/>
              <w:bottom w:val="single" w:sz="8" w:color="auto"/>
            </w:tcBorders>
            <w:shd w:val="clear" w:color="auto" w:fill="CCEEFF"/>
          </w:tcPr>
          <w:p>
            <w:pPr>
              <w:jc w:val="right"/>
              <w:spacing w:after="0" w:line="124" w:lineRule="exact"/>
              <w:rPr>
                <w:sz w:val="20"/>
                <w:szCs w:val="20"/>
                <w:color w:val="auto"/>
              </w:rPr>
            </w:pPr>
            <w:r>
              <w:rPr>
                <w:rFonts w:ascii="Arial" w:cs="Arial" w:eastAsia="Arial" w:hAnsi="Arial"/>
                <w:sz w:val="11"/>
                <w:szCs w:val="11"/>
                <w:color w:val="050505"/>
              </w:rPr>
              <w:t>0.1</w:t>
            </w:r>
          </w:p>
        </w:tc>
        <w:tc>
          <w:tcPr>
            <w:tcW w:w="80" w:type="dxa"/>
            <w:vAlign w:val="bottom"/>
            <w:shd w:val="clear" w:color="auto" w:fill="CCEEFF"/>
          </w:tcPr>
          <w:p>
            <w:pPr>
              <w:spacing w:after="0"/>
              <w:rPr>
                <w:sz w:val="10"/>
                <w:szCs w:val="10"/>
                <w:color w:val="auto"/>
              </w:rPr>
            </w:pPr>
          </w:p>
        </w:tc>
      </w:tr>
      <w:tr>
        <w:trPr>
          <w:trHeight w:val="131"/>
        </w:trPr>
        <w:tc>
          <w:tcPr>
            <w:tcW w:w="2960" w:type="dxa"/>
            <w:vAlign w:val="bottom"/>
          </w:tcPr>
          <w:p>
            <w:pPr>
              <w:ind w:left="40"/>
              <w:spacing w:after="0" w:line="124" w:lineRule="exact"/>
              <w:rPr>
                <w:sz w:val="20"/>
                <w:szCs w:val="20"/>
                <w:color w:val="auto"/>
              </w:rPr>
            </w:pPr>
            <w:r>
              <w:rPr>
                <w:rFonts w:ascii="Arial" w:cs="Arial" w:eastAsia="Arial" w:hAnsi="Arial"/>
                <w:sz w:val="11"/>
                <w:szCs w:val="11"/>
                <w:color w:val="050505"/>
              </w:rPr>
              <w:t>Net loss</w:t>
            </w:r>
          </w:p>
        </w:tc>
        <w:tc>
          <w:tcPr>
            <w:tcW w:w="1780" w:type="dxa"/>
            <w:vAlign w:val="bottom"/>
            <w:gridSpan w:val="2"/>
          </w:tcPr>
          <w:p>
            <w:pPr>
              <w:jc w:val="right"/>
              <w:ind w:right="60"/>
              <w:spacing w:after="0" w:line="124" w:lineRule="exact"/>
              <w:rPr>
                <w:sz w:val="20"/>
                <w:szCs w:val="20"/>
                <w:color w:val="auto"/>
              </w:rPr>
            </w:pPr>
            <w:r>
              <w:rPr>
                <w:rFonts w:ascii="Arial" w:cs="Arial" w:eastAsia="Arial" w:hAnsi="Arial"/>
                <w:sz w:val="11"/>
                <w:szCs w:val="11"/>
                <w:color w:val="050505"/>
              </w:rPr>
              <w:t>$</w:t>
            </w:r>
          </w:p>
        </w:tc>
        <w:tc>
          <w:tcPr>
            <w:tcW w:w="740" w:type="dxa"/>
            <w:vAlign w:val="bottom"/>
            <w:gridSpan w:val="2"/>
          </w:tcPr>
          <w:p>
            <w:pPr>
              <w:jc w:val="right"/>
              <w:ind w:right="80"/>
              <w:spacing w:after="0" w:line="124" w:lineRule="exact"/>
              <w:rPr>
                <w:sz w:val="20"/>
                <w:szCs w:val="20"/>
                <w:color w:val="auto"/>
              </w:rPr>
            </w:pPr>
            <w:r>
              <w:rPr>
                <w:rFonts w:ascii="Arial" w:cs="Arial" w:eastAsia="Arial" w:hAnsi="Arial"/>
                <w:sz w:val="11"/>
                <w:szCs w:val="11"/>
                <w:color w:val="050505"/>
              </w:rPr>
              <w:t>(71.1)</w:t>
            </w:r>
          </w:p>
        </w:tc>
        <w:tc>
          <w:tcPr>
            <w:tcW w:w="240" w:type="dxa"/>
            <w:vAlign w:val="bottom"/>
            <w:gridSpan w:val="2"/>
          </w:tcPr>
          <w:p>
            <w:pPr>
              <w:jc w:val="right"/>
              <w:ind w:right="80"/>
              <w:spacing w:after="0" w:line="124" w:lineRule="exact"/>
              <w:rPr>
                <w:sz w:val="20"/>
                <w:szCs w:val="20"/>
                <w:color w:val="auto"/>
              </w:rPr>
            </w:pPr>
            <w:r>
              <w:rPr>
                <w:rFonts w:ascii="Arial" w:cs="Arial" w:eastAsia="Arial" w:hAnsi="Arial"/>
                <w:sz w:val="11"/>
                <w:szCs w:val="11"/>
                <w:color w:val="050505"/>
              </w:rPr>
              <w:t>$</w:t>
            </w:r>
          </w:p>
        </w:tc>
        <w:tc>
          <w:tcPr>
            <w:tcW w:w="720" w:type="dxa"/>
            <w:vAlign w:val="bottom"/>
            <w:gridSpan w:val="2"/>
          </w:tcPr>
          <w:p>
            <w:pPr>
              <w:jc w:val="right"/>
              <w:ind w:right="100"/>
              <w:spacing w:after="0" w:line="124" w:lineRule="exact"/>
              <w:rPr>
                <w:sz w:val="20"/>
                <w:szCs w:val="20"/>
                <w:color w:val="auto"/>
              </w:rPr>
            </w:pPr>
            <w:r>
              <w:rPr>
                <w:rFonts w:ascii="Arial" w:cs="Arial" w:eastAsia="Arial" w:hAnsi="Arial"/>
                <w:sz w:val="11"/>
                <w:szCs w:val="11"/>
                <w:color w:val="050505"/>
              </w:rPr>
              <w:t>(47.9)</w:t>
            </w:r>
          </w:p>
        </w:tc>
        <w:tc>
          <w:tcPr>
            <w:tcW w:w="280" w:type="dxa"/>
            <w:vAlign w:val="bottom"/>
            <w:gridSpan w:val="2"/>
          </w:tcPr>
          <w:p>
            <w:pPr>
              <w:jc w:val="right"/>
              <w:ind w:right="140"/>
              <w:spacing w:after="0" w:line="124" w:lineRule="exact"/>
              <w:rPr>
                <w:sz w:val="20"/>
                <w:szCs w:val="20"/>
                <w:color w:val="auto"/>
              </w:rPr>
            </w:pPr>
            <w:r>
              <w:rPr>
                <w:rFonts w:ascii="Arial" w:cs="Arial" w:eastAsia="Arial" w:hAnsi="Arial"/>
                <w:sz w:val="11"/>
                <w:szCs w:val="11"/>
                <w:color w:val="050505"/>
              </w:rPr>
              <w:t>$</w:t>
            </w:r>
          </w:p>
        </w:tc>
        <w:tc>
          <w:tcPr>
            <w:tcW w:w="640" w:type="dxa"/>
            <w:vAlign w:val="bottom"/>
            <w:gridSpan w:val="2"/>
          </w:tcPr>
          <w:p>
            <w:pPr>
              <w:jc w:val="right"/>
              <w:ind w:right="40"/>
              <w:spacing w:after="0" w:line="124" w:lineRule="exact"/>
              <w:rPr>
                <w:sz w:val="20"/>
                <w:szCs w:val="20"/>
                <w:color w:val="auto"/>
              </w:rPr>
            </w:pPr>
            <w:r>
              <w:rPr>
                <w:rFonts w:ascii="Arial" w:cs="Arial" w:eastAsia="Arial" w:hAnsi="Arial"/>
                <w:sz w:val="11"/>
                <w:szCs w:val="11"/>
                <w:color w:val="050505"/>
              </w:rPr>
              <w:t>(195.6)</w:t>
            </w:r>
          </w:p>
        </w:tc>
      </w:tr>
      <w:tr>
        <w:trPr>
          <w:trHeight w:val="239"/>
        </w:trPr>
        <w:tc>
          <w:tcPr>
            <w:tcW w:w="2960" w:type="dxa"/>
            <w:vAlign w:val="bottom"/>
          </w:tcPr>
          <w:p>
            <w:pPr>
              <w:spacing w:after="0"/>
              <w:rPr>
                <w:sz w:val="20"/>
                <w:szCs w:val="20"/>
                <w:color w:val="auto"/>
              </w:rPr>
            </w:pPr>
          </w:p>
        </w:tc>
        <w:tc>
          <w:tcPr>
            <w:tcW w:w="1680" w:type="dxa"/>
            <w:vAlign w:val="bottom"/>
          </w:tcPr>
          <w:p>
            <w:pPr>
              <w:jc w:val="right"/>
              <w:ind w:right="846"/>
              <w:spacing w:after="0"/>
              <w:rPr>
                <w:sz w:val="20"/>
                <w:szCs w:val="20"/>
                <w:color w:val="auto"/>
              </w:rPr>
            </w:pPr>
            <w:r>
              <w:rPr>
                <w:rFonts w:ascii="Arial" w:cs="Arial" w:eastAsia="Arial" w:hAnsi="Arial"/>
                <w:sz w:val="11"/>
                <w:szCs w:val="11"/>
                <w:color w:val="050505"/>
              </w:rPr>
              <w:t>55</w:t>
            </w:r>
          </w:p>
        </w:tc>
        <w:tc>
          <w:tcPr>
            <w:tcW w:w="100" w:type="dxa"/>
            <w:vAlign w:val="bottom"/>
            <w:tcBorders>
              <w:top w:val="single" w:sz="8" w:color="auto"/>
            </w:tcBorders>
          </w:tcPr>
          <w:p>
            <w:pPr>
              <w:spacing w:after="0"/>
              <w:rPr>
                <w:sz w:val="20"/>
                <w:szCs w:val="20"/>
                <w:color w:val="auto"/>
              </w:rPr>
            </w:pPr>
          </w:p>
        </w:tc>
        <w:tc>
          <w:tcPr>
            <w:tcW w:w="6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580" w:type="dxa"/>
            <w:vAlign w:val="bottom"/>
            <w:tcBorders>
              <w:top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56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r>
    </w:tbl>
    <w:p>
      <w:pPr>
        <w:sectPr>
          <w:pgSz w:w="11900" w:h="16838" w:orient="portrait"/>
          <w:cols w:equalWidth="0" w:num="1">
            <w:col w:w="10239"/>
          </w:cols>
          <w:pgMar w:left="220" w:top="354" w:right="1440" w:bottom="1440" w:gutter="0" w:footer="0" w:header="0"/>
        </w:sectPr>
      </w:pPr>
    </w:p>
    <w:bookmarkStart w:id="60" w:name="page61"/>
    <w:bookmarkEnd w:id="60"/>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hyperlink w:anchor="page5">
        <w:r>
          <w:rPr>
            <w:rFonts w:ascii="Arial" w:cs="Arial" w:eastAsia="Arial" w:hAnsi="Arial"/>
            <w:sz w:val="12"/>
            <w:szCs w:val="12"/>
            <w:b w:val="1"/>
            <w:bCs w:val="1"/>
            <w:u w:val="single" w:color="auto"/>
            <w:color w:val="0000EE"/>
          </w:rPr>
          <w:t>Table of Contents</w:t>
        </w:r>
      </w:hyperlink>
    </w:p>
    <w:p>
      <w:pPr>
        <w:spacing w:after="0" w:line="204" w:lineRule="exact"/>
        <w:rPr>
          <w:sz w:val="20"/>
          <w:szCs w:val="20"/>
          <w:color w:val="auto"/>
        </w:rPr>
      </w:pPr>
    </w:p>
    <w:tbl>
      <w:tblPr>
        <w:tblLayout w:type="fixed"/>
        <w:tblInd w:w="2060" w:type="dxa"/>
        <w:tblCellMar>
          <w:top w:w="0" w:type="dxa"/>
          <w:left w:w="0" w:type="dxa"/>
          <w:bottom w:w="0" w:type="dxa"/>
          <w:right w:w="0" w:type="dxa"/>
        </w:tblCellMar>
      </w:tblPr>
      <w:tr>
        <w:trPr>
          <w:trHeight w:val="137"/>
        </w:trPr>
        <w:tc>
          <w:tcPr>
            <w:tcW w:w="16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19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540" w:type="dxa"/>
            <w:vAlign w:val="bottom"/>
            <w:tcBorders>
              <w:bottom w:val="single" w:sz="8" w:color="auto"/>
            </w:tcBorders>
            <w:gridSpan w:val="7"/>
          </w:tcPr>
          <w:p>
            <w:pPr>
              <w:jc w:val="center"/>
              <w:ind w:left="26"/>
              <w:spacing w:after="0"/>
              <w:rPr>
                <w:sz w:val="20"/>
                <w:szCs w:val="20"/>
                <w:color w:val="auto"/>
              </w:rPr>
            </w:pPr>
            <w:r>
              <w:rPr>
                <w:rFonts w:ascii="Arial" w:cs="Arial" w:eastAsia="Arial" w:hAnsi="Arial"/>
                <w:sz w:val="11"/>
                <w:szCs w:val="11"/>
                <w:b w:val="1"/>
                <w:bCs w:val="1"/>
                <w:color w:val="050505"/>
                <w:w w:val="97"/>
              </w:rPr>
              <w:t>Fiscal Year Ended June 30,</w:t>
            </w:r>
          </w:p>
        </w:tc>
        <w:tc>
          <w:tcPr>
            <w:tcW w:w="1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160" w:type="dxa"/>
            <w:vAlign w:val="bottom"/>
          </w:tcPr>
          <w:p>
            <w:pPr>
              <w:spacing w:after="0"/>
              <w:rPr>
                <w:sz w:val="10"/>
                <w:szCs w:val="10"/>
                <w:color w:val="auto"/>
              </w:rPr>
            </w:pPr>
          </w:p>
        </w:tc>
        <w:tc>
          <w:tcPr>
            <w:tcW w:w="1760" w:type="dxa"/>
            <w:vAlign w:val="bottom"/>
          </w:tcPr>
          <w:p>
            <w:pPr>
              <w:spacing w:after="0"/>
              <w:rPr>
                <w:sz w:val="10"/>
                <w:szCs w:val="10"/>
                <w:color w:val="auto"/>
              </w:rPr>
            </w:pPr>
          </w:p>
        </w:tc>
        <w:tc>
          <w:tcPr>
            <w:tcW w:w="19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Borders>
              <w:bottom w:val="single" w:sz="8" w:color="auto"/>
            </w:tcBorders>
            <w:gridSpan w:val="3"/>
          </w:tcPr>
          <w:p>
            <w:pPr>
              <w:jc w:val="right"/>
              <w:ind w:right="66"/>
              <w:spacing w:after="0" w:line="115" w:lineRule="exact"/>
              <w:rPr>
                <w:sz w:val="20"/>
                <w:szCs w:val="20"/>
                <w:color w:val="auto"/>
              </w:rPr>
            </w:pPr>
            <w:r>
              <w:rPr>
                <w:rFonts w:ascii="Arial" w:cs="Arial" w:eastAsia="Arial" w:hAnsi="Arial"/>
                <w:sz w:val="11"/>
                <w:szCs w:val="11"/>
                <w:b w:val="1"/>
                <w:bCs w:val="1"/>
                <w:color w:val="050505"/>
              </w:rPr>
              <w:t>2017</w:t>
            </w:r>
          </w:p>
        </w:tc>
        <w:tc>
          <w:tcPr>
            <w:tcW w:w="12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jc w:val="center"/>
              <w:ind w:right="106"/>
              <w:spacing w:after="0" w:line="115" w:lineRule="exact"/>
              <w:rPr>
                <w:sz w:val="20"/>
                <w:szCs w:val="20"/>
                <w:color w:val="auto"/>
              </w:rPr>
            </w:pPr>
            <w:r>
              <w:rPr>
                <w:rFonts w:ascii="Arial" w:cs="Arial" w:eastAsia="Arial" w:hAnsi="Arial"/>
                <w:sz w:val="11"/>
                <w:szCs w:val="11"/>
                <w:b w:val="1"/>
                <w:bCs w:val="1"/>
                <w:color w:val="050505"/>
                <w:w w:val="97"/>
              </w:rPr>
              <w:t>2018</w:t>
            </w:r>
          </w:p>
        </w:tc>
        <w:tc>
          <w:tcPr>
            <w:tcW w:w="18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jc w:val="right"/>
              <w:ind w:right="186"/>
              <w:spacing w:after="0" w:line="115" w:lineRule="exact"/>
              <w:rPr>
                <w:sz w:val="20"/>
                <w:szCs w:val="20"/>
                <w:color w:val="auto"/>
              </w:rPr>
            </w:pPr>
            <w:r>
              <w:rPr>
                <w:rFonts w:ascii="Arial" w:cs="Arial" w:eastAsia="Arial" w:hAnsi="Arial"/>
                <w:sz w:val="11"/>
                <w:szCs w:val="11"/>
                <w:b w:val="1"/>
                <w:bCs w:val="1"/>
                <w:color w:val="050505"/>
              </w:rPr>
              <w:t>2019</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160" w:type="dxa"/>
            <w:vAlign w:val="bottom"/>
          </w:tcPr>
          <w:p>
            <w:pPr>
              <w:spacing w:after="0"/>
              <w:rPr>
                <w:sz w:val="10"/>
                <w:szCs w:val="10"/>
                <w:color w:val="auto"/>
              </w:rPr>
            </w:pPr>
          </w:p>
        </w:tc>
        <w:tc>
          <w:tcPr>
            <w:tcW w:w="1760" w:type="dxa"/>
            <w:vAlign w:val="bottom"/>
          </w:tcPr>
          <w:p>
            <w:pPr>
              <w:spacing w:after="0"/>
              <w:rPr>
                <w:sz w:val="10"/>
                <w:szCs w:val="10"/>
                <w:color w:val="auto"/>
              </w:rPr>
            </w:pPr>
          </w:p>
        </w:tc>
        <w:tc>
          <w:tcPr>
            <w:tcW w:w="19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700" w:type="dxa"/>
            <w:vAlign w:val="bottom"/>
            <w:gridSpan w:val="12"/>
          </w:tcPr>
          <w:p>
            <w:pPr>
              <w:jc w:val="center"/>
              <w:ind w:right="326"/>
              <w:spacing w:after="0" w:line="115" w:lineRule="exact"/>
              <w:rPr>
                <w:sz w:val="20"/>
                <w:szCs w:val="20"/>
                <w:color w:val="auto"/>
              </w:rPr>
            </w:pPr>
            <w:r>
              <w:rPr>
                <w:rFonts w:ascii="Arial" w:cs="Arial" w:eastAsia="Arial" w:hAnsi="Arial"/>
                <w:sz w:val="11"/>
                <w:szCs w:val="11"/>
                <w:b w:val="1"/>
                <w:bCs w:val="1"/>
                <w:color w:val="050505"/>
                <w:w w:val="98"/>
              </w:rPr>
              <w:t>(in millions, except share and per share data)</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3860" w:type="dxa"/>
            <w:vAlign w:val="bottom"/>
            <w:gridSpan w:val="3"/>
            <w:shd w:val="clear" w:color="auto" w:fill="CCEEFF"/>
          </w:tcPr>
          <w:p>
            <w:pPr>
              <w:spacing w:after="0"/>
              <w:rPr>
                <w:sz w:val="20"/>
                <w:szCs w:val="20"/>
                <w:color w:val="auto"/>
              </w:rPr>
            </w:pPr>
            <w:r>
              <w:rPr>
                <w:rFonts w:ascii="Arial" w:cs="Arial" w:eastAsia="Arial" w:hAnsi="Arial"/>
                <w:sz w:val="11"/>
                <w:szCs w:val="11"/>
                <w:color w:val="050505"/>
              </w:rPr>
              <w:t>Net loss attributable to common stockholders</w:t>
            </w:r>
          </w:p>
        </w:tc>
        <w:tc>
          <w:tcPr>
            <w:tcW w:w="580" w:type="dxa"/>
            <w:vAlign w:val="bottom"/>
            <w:gridSpan w:val="3"/>
            <w:shd w:val="clear" w:color="auto" w:fill="CCEEFF"/>
          </w:tcPr>
          <w:p>
            <w:pPr>
              <w:jc w:val="right"/>
              <w:ind w:right="106"/>
              <w:spacing w:after="0"/>
              <w:rPr>
                <w:sz w:val="20"/>
                <w:szCs w:val="20"/>
                <w:color w:val="auto"/>
              </w:rPr>
            </w:pPr>
            <w:r>
              <w:rPr>
                <w:rFonts w:ascii="Arial" w:cs="Arial" w:eastAsia="Arial" w:hAnsi="Arial"/>
                <w:sz w:val="11"/>
                <w:szCs w:val="11"/>
                <w:color w:val="050505"/>
              </w:rPr>
              <w:t>$</w:t>
            </w:r>
          </w:p>
        </w:tc>
        <w:tc>
          <w:tcPr>
            <w:tcW w:w="140" w:type="dxa"/>
            <w:vAlign w:val="bottom"/>
            <w:shd w:val="clear" w:color="auto" w:fill="CCEEFF"/>
          </w:tcPr>
          <w:p>
            <w:pPr>
              <w:spacing w:after="0"/>
              <w:rPr>
                <w:sz w:val="10"/>
                <w:szCs w:val="10"/>
                <w:color w:val="auto"/>
              </w:rPr>
            </w:pPr>
          </w:p>
        </w:tc>
        <w:tc>
          <w:tcPr>
            <w:tcW w:w="600" w:type="dxa"/>
            <w:vAlign w:val="bottom"/>
            <w:gridSpan w:val="3"/>
            <w:shd w:val="clear" w:color="auto" w:fill="CCEEFF"/>
          </w:tcPr>
          <w:p>
            <w:pPr>
              <w:jc w:val="right"/>
              <w:ind w:right="146"/>
              <w:spacing w:after="0"/>
              <w:rPr>
                <w:sz w:val="20"/>
                <w:szCs w:val="20"/>
                <w:color w:val="auto"/>
              </w:rPr>
            </w:pPr>
            <w:r>
              <w:rPr>
                <w:rFonts w:ascii="Arial" w:cs="Arial" w:eastAsia="Arial" w:hAnsi="Arial"/>
                <w:sz w:val="11"/>
                <w:szCs w:val="11"/>
                <w:color w:val="050505"/>
              </w:rPr>
              <w:t>(163.4)</w:t>
            </w:r>
          </w:p>
        </w:tc>
        <w:tc>
          <w:tcPr>
            <w:tcW w:w="340" w:type="dxa"/>
            <w:vAlign w:val="bottom"/>
            <w:gridSpan w:val="2"/>
            <w:shd w:val="clear" w:color="auto" w:fill="CCEEFF"/>
          </w:tcPr>
          <w:p>
            <w:pPr>
              <w:jc w:val="right"/>
              <w:ind w:right="46"/>
              <w:spacing w:after="0"/>
              <w:rPr>
                <w:sz w:val="20"/>
                <w:szCs w:val="20"/>
                <w:color w:val="auto"/>
              </w:rPr>
            </w:pPr>
            <w:r>
              <w:rPr>
                <w:rFonts w:ascii="Arial" w:cs="Arial" w:eastAsia="Arial" w:hAnsi="Arial"/>
                <w:sz w:val="11"/>
                <w:szCs w:val="11"/>
                <w:color w:val="050505"/>
              </w:rPr>
              <w:t>$</w:t>
            </w:r>
          </w:p>
        </w:tc>
        <w:tc>
          <w:tcPr>
            <w:tcW w:w="60" w:type="dxa"/>
            <w:vAlign w:val="bottom"/>
            <w:shd w:val="clear" w:color="auto" w:fill="CCEEFF"/>
          </w:tcPr>
          <w:p>
            <w:pPr>
              <w:spacing w:after="0"/>
              <w:rPr>
                <w:sz w:val="10"/>
                <w:szCs w:val="10"/>
                <w:color w:val="auto"/>
              </w:rPr>
            </w:pPr>
          </w:p>
        </w:tc>
        <w:tc>
          <w:tcPr>
            <w:tcW w:w="660" w:type="dxa"/>
            <w:vAlign w:val="bottom"/>
            <w:gridSpan w:val="2"/>
            <w:shd w:val="clear" w:color="auto" w:fill="CCEEFF"/>
          </w:tcPr>
          <w:p>
            <w:pPr>
              <w:jc w:val="right"/>
              <w:ind w:right="46"/>
              <w:spacing w:after="0"/>
              <w:rPr>
                <w:sz w:val="20"/>
                <w:szCs w:val="20"/>
                <w:color w:val="auto"/>
              </w:rPr>
            </w:pPr>
            <w:r>
              <w:rPr>
                <w:rFonts w:ascii="Arial" w:cs="Arial" w:eastAsia="Arial" w:hAnsi="Arial"/>
                <w:sz w:val="11"/>
                <w:szCs w:val="11"/>
                <w:color w:val="050505"/>
              </w:rPr>
              <w:t>(47.9)</w:t>
            </w:r>
          </w:p>
        </w:tc>
        <w:tc>
          <w:tcPr>
            <w:tcW w:w="240" w:type="dxa"/>
            <w:vAlign w:val="bottom"/>
            <w:shd w:val="clear" w:color="auto" w:fill="CCEEFF"/>
          </w:tcPr>
          <w:p>
            <w:pPr>
              <w:spacing w:after="0"/>
              <w:rPr>
                <w:sz w:val="10"/>
                <w:szCs w:val="10"/>
                <w:color w:val="auto"/>
              </w:rPr>
            </w:pPr>
          </w:p>
        </w:tc>
        <w:tc>
          <w:tcPr>
            <w:tcW w:w="1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1"/>
                <w:szCs w:val="11"/>
                <w:color w:val="050505"/>
              </w:rPr>
              <w:t>$</w:t>
            </w: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1"/>
                <w:szCs w:val="11"/>
                <w:color w:val="050505"/>
              </w:rPr>
              <w:t>(245.7)</w:t>
            </w:r>
          </w:p>
        </w:tc>
        <w:tc>
          <w:tcPr>
            <w:tcW w:w="80" w:type="dxa"/>
            <w:vAlign w:val="bottom"/>
            <w:tcBorders>
              <w:left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7"/>
        </w:trPr>
        <w:tc>
          <w:tcPr>
            <w:tcW w:w="3860" w:type="dxa"/>
            <w:vAlign w:val="bottom"/>
            <w:gridSpan w:val="3"/>
            <w:vMerge w:val="restart"/>
          </w:tcPr>
          <w:p>
            <w:pPr>
              <w:spacing w:after="0" w:line="162" w:lineRule="exact"/>
              <w:rPr>
                <w:sz w:val="20"/>
                <w:szCs w:val="20"/>
                <w:color w:val="auto"/>
              </w:rPr>
            </w:pPr>
            <w:r>
              <w:rPr>
                <w:rFonts w:ascii="Arial" w:cs="Arial" w:eastAsia="Arial" w:hAnsi="Arial"/>
                <w:sz w:val="11"/>
                <w:szCs w:val="11"/>
                <w:color w:val="050505"/>
              </w:rPr>
              <w:t>Net loss per share attributable to common stockholders, basic and diluted</w:t>
            </w:r>
            <w:r>
              <w:rPr>
                <w:rFonts w:ascii="Arial" w:cs="Arial" w:eastAsia="Arial" w:hAnsi="Arial"/>
                <w:sz w:val="18"/>
                <w:szCs w:val="18"/>
                <w:color w:val="050505"/>
                <w:vertAlign w:val="superscript"/>
              </w:rPr>
              <w:t>(4)</w:t>
            </w: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80" w:type="dxa"/>
            <w:vAlign w:val="bottom"/>
            <w:tcBorders>
              <w:left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2"/>
        </w:trPr>
        <w:tc>
          <w:tcPr>
            <w:tcW w:w="3860" w:type="dxa"/>
            <w:vAlign w:val="bottom"/>
            <w:gridSpan w:val="3"/>
            <w:vMerge w:val="continue"/>
          </w:tcPr>
          <w:p>
            <w:pPr>
              <w:spacing w:after="0"/>
              <w:rPr>
                <w:sz w:val="12"/>
                <w:szCs w:val="12"/>
                <w:color w:val="auto"/>
              </w:rPr>
            </w:pPr>
          </w:p>
        </w:tc>
        <w:tc>
          <w:tcPr>
            <w:tcW w:w="580" w:type="dxa"/>
            <w:vAlign w:val="bottom"/>
            <w:gridSpan w:val="3"/>
          </w:tcPr>
          <w:p>
            <w:pPr>
              <w:jc w:val="right"/>
              <w:ind w:right="106"/>
              <w:spacing w:after="0"/>
              <w:rPr>
                <w:sz w:val="20"/>
                <w:szCs w:val="20"/>
                <w:color w:val="auto"/>
              </w:rPr>
            </w:pPr>
            <w:r>
              <w:rPr>
                <w:rFonts w:ascii="Arial" w:cs="Arial" w:eastAsia="Arial" w:hAnsi="Arial"/>
                <w:sz w:val="11"/>
                <w:szCs w:val="11"/>
                <w:color w:val="050505"/>
              </w:rPr>
              <w:t>$</w:t>
            </w:r>
          </w:p>
        </w:tc>
        <w:tc>
          <w:tcPr>
            <w:tcW w:w="140" w:type="dxa"/>
            <w:vAlign w:val="bottom"/>
          </w:tcPr>
          <w:p>
            <w:pPr>
              <w:spacing w:after="0"/>
              <w:rPr>
                <w:sz w:val="12"/>
                <w:szCs w:val="12"/>
                <w:color w:val="auto"/>
              </w:rPr>
            </w:pPr>
          </w:p>
        </w:tc>
        <w:tc>
          <w:tcPr>
            <w:tcW w:w="600" w:type="dxa"/>
            <w:vAlign w:val="bottom"/>
            <w:gridSpan w:val="3"/>
          </w:tcPr>
          <w:p>
            <w:pPr>
              <w:jc w:val="right"/>
              <w:ind w:right="146"/>
              <w:spacing w:after="0"/>
              <w:rPr>
                <w:sz w:val="20"/>
                <w:szCs w:val="20"/>
                <w:color w:val="auto"/>
              </w:rPr>
            </w:pPr>
            <w:r>
              <w:rPr>
                <w:rFonts w:ascii="Arial" w:cs="Arial" w:eastAsia="Arial" w:hAnsi="Arial"/>
                <w:sz w:val="11"/>
                <w:szCs w:val="11"/>
                <w:color w:val="050505"/>
              </w:rPr>
              <w:t>(5.97)</w:t>
            </w:r>
          </w:p>
        </w:tc>
        <w:tc>
          <w:tcPr>
            <w:tcW w:w="340" w:type="dxa"/>
            <w:vAlign w:val="bottom"/>
            <w:gridSpan w:val="2"/>
          </w:tcPr>
          <w:p>
            <w:pPr>
              <w:jc w:val="right"/>
              <w:ind w:right="46"/>
              <w:spacing w:after="0"/>
              <w:rPr>
                <w:sz w:val="20"/>
                <w:szCs w:val="20"/>
                <w:color w:val="auto"/>
              </w:rPr>
            </w:pPr>
            <w:r>
              <w:rPr>
                <w:rFonts w:ascii="Arial" w:cs="Arial" w:eastAsia="Arial" w:hAnsi="Arial"/>
                <w:sz w:val="11"/>
                <w:szCs w:val="11"/>
                <w:color w:val="050505"/>
              </w:rPr>
              <w:t>$</w:t>
            </w:r>
          </w:p>
        </w:tc>
        <w:tc>
          <w:tcPr>
            <w:tcW w:w="60" w:type="dxa"/>
            <w:vAlign w:val="bottom"/>
          </w:tcPr>
          <w:p>
            <w:pPr>
              <w:spacing w:after="0"/>
              <w:rPr>
                <w:sz w:val="12"/>
                <w:szCs w:val="12"/>
                <w:color w:val="auto"/>
              </w:rPr>
            </w:pPr>
          </w:p>
        </w:tc>
        <w:tc>
          <w:tcPr>
            <w:tcW w:w="660" w:type="dxa"/>
            <w:vAlign w:val="bottom"/>
            <w:gridSpan w:val="2"/>
          </w:tcPr>
          <w:p>
            <w:pPr>
              <w:jc w:val="right"/>
              <w:ind w:right="46"/>
              <w:spacing w:after="0"/>
              <w:rPr>
                <w:sz w:val="20"/>
                <w:szCs w:val="20"/>
                <w:color w:val="auto"/>
              </w:rPr>
            </w:pPr>
            <w:r>
              <w:rPr>
                <w:rFonts w:ascii="Arial" w:cs="Arial" w:eastAsia="Arial" w:hAnsi="Arial"/>
                <w:sz w:val="11"/>
                <w:szCs w:val="11"/>
                <w:color w:val="050505"/>
              </w:rPr>
              <w:t>(2.18)</w:t>
            </w:r>
          </w:p>
        </w:tc>
        <w:tc>
          <w:tcPr>
            <w:tcW w:w="24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050505"/>
              </w:rPr>
              <w:t>$</w:t>
            </w: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050505"/>
              </w:rPr>
              <w:t>(10.72)</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860" w:type="dxa"/>
            <w:vAlign w:val="bottom"/>
            <w:gridSpan w:val="3"/>
            <w:shd w:val="clear" w:color="auto" w:fill="CCEEFF"/>
          </w:tcPr>
          <w:p>
            <w:pPr>
              <w:spacing w:after="0" w:line="135" w:lineRule="exact"/>
              <w:rPr>
                <w:sz w:val="20"/>
                <w:szCs w:val="20"/>
                <w:color w:val="auto"/>
              </w:rPr>
            </w:pPr>
            <w:r>
              <w:rPr>
                <w:rFonts w:ascii="Arial" w:cs="Arial" w:eastAsia="Arial" w:hAnsi="Arial"/>
                <w:sz w:val="9"/>
                <w:szCs w:val="9"/>
                <w:color w:val="050505"/>
              </w:rPr>
              <w:t>Weighted-average common shares outstanding, basic and diluted</w:t>
            </w:r>
            <w:r>
              <w:rPr>
                <w:rFonts w:ascii="Arial" w:cs="Arial" w:eastAsia="Arial" w:hAnsi="Arial"/>
                <w:sz w:val="15"/>
                <w:szCs w:val="15"/>
                <w:color w:val="050505"/>
                <w:vertAlign w:val="superscript"/>
              </w:rPr>
              <w:t>(4)</w:t>
            </w:r>
          </w:p>
        </w:tc>
        <w:tc>
          <w:tcPr>
            <w:tcW w:w="360" w:type="dxa"/>
            <w:vAlign w:val="bottom"/>
            <w:gridSpan w:val="2"/>
            <w:shd w:val="clear" w:color="auto" w:fill="CCEEFF"/>
          </w:tcPr>
          <w:p>
            <w:pPr>
              <w:spacing w:after="0"/>
              <w:rPr>
                <w:sz w:val="12"/>
                <w:szCs w:val="12"/>
                <w:color w:val="auto"/>
              </w:rPr>
            </w:pPr>
          </w:p>
        </w:tc>
        <w:tc>
          <w:tcPr>
            <w:tcW w:w="720" w:type="dxa"/>
            <w:vAlign w:val="bottom"/>
            <w:tcBorders>
              <w:top w:val="single" w:sz="8" w:color="auto"/>
              <w:bottom w:val="single" w:sz="8" w:color="auto"/>
            </w:tcBorders>
            <w:gridSpan w:val="4"/>
            <w:shd w:val="clear" w:color="auto" w:fill="CCEEFF"/>
          </w:tcPr>
          <w:p>
            <w:pPr>
              <w:jc w:val="right"/>
              <w:spacing w:after="0"/>
              <w:rPr>
                <w:sz w:val="20"/>
                <w:szCs w:val="20"/>
                <w:color w:val="auto"/>
              </w:rPr>
            </w:pPr>
            <w:r>
              <w:rPr>
                <w:rFonts w:ascii="Arial" w:cs="Arial" w:eastAsia="Arial" w:hAnsi="Arial"/>
                <w:sz w:val="11"/>
                <w:szCs w:val="11"/>
                <w:color w:val="050505"/>
              </w:rPr>
              <w:t>27,379,789</w:t>
            </w:r>
          </w:p>
        </w:tc>
        <w:tc>
          <w:tcPr>
            <w:tcW w:w="240" w:type="dxa"/>
            <w:vAlign w:val="bottom"/>
            <w:shd w:val="clear" w:color="auto" w:fill="CCEEFF"/>
          </w:tcPr>
          <w:p>
            <w:pPr>
              <w:spacing w:after="0"/>
              <w:rPr>
                <w:sz w:val="12"/>
                <w:szCs w:val="12"/>
                <w:color w:val="auto"/>
              </w:rPr>
            </w:pPr>
          </w:p>
        </w:tc>
        <w:tc>
          <w:tcPr>
            <w:tcW w:w="200" w:type="dxa"/>
            <w:vAlign w:val="bottom"/>
            <w:tcBorders>
              <w:right w:val="single" w:sz="8" w:color="CCEEFF"/>
            </w:tcBorders>
            <w:shd w:val="clear" w:color="auto" w:fill="CCEEFF"/>
          </w:tcPr>
          <w:p>
            <w:pPr>
              <w:spacing w:after="0"/>
              <w:rPr>
                <w:sz w:val="12"/>
                <w:szCs w:val="12"/>
                <w:color w:val="auto"/>
              </w:rPr>
            </w:pPr>
          </w:p>
        </w:tc>
        <w:tc>
          <w:tcPr>
            <w:tcW w:w="68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Arial" w:cs="Arial" w:eastAsia="Arial" w:hAnsi="Arial"/>
                <w:sz w:val="11"/>
                <w:szCs w:val="11"/>
                <w:color w:val="050505"/>
              </w:rPr>
              <w:t>21,934,228</w:t>
            </w:r>
          </w:p>
        </w:tc>
        <w:tc>
          <w:tcPr>
            <w:tcW w:w="180" w:type="dxa"/>
            <w:vAlign w:val="bottom"/>
            <w:tcBorders>
              <w:left w:val="single" w:sz="8" w:color="CCEEFF"/>
            </w:tcBorders>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 w:type="dxa"/>
            <w:vAlign w:val="bottom"/>
            <w:tcBorders>
              <w:right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spacing w:after="0"/>
              <w:rPr>
                <w:sz w:val="12"/>
                <w:szCs w:val="12"/>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050505"/>
              </w:rPr>
              <w:t>22,911,764</w:t>
            </w:r>
          </w:p>
        </w:tc>
        <w:tc>
          <w:tcPr>
            <w:tcW w:w="80" w:type="dxa"/>
            <w:vAlign w:val="bottom"/>
            <w:tcBorders>
              <w:left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3860" w:type="dxa"/>
            <w:vAlign w:val="bottom"/>
            <w:gridSpan w:val="3"/>
          </w:tcPr>
          <w:p>
            <w:pPr>
              <w:spacing w:after="0"/>
              <w:rPr>
                <w:sz w:val="20"/>
                <w:szCs w:val="20"/>
                <w:color w:val="auto"/>
              </w:rPr>
            </w:pPr>
            <w:r>
              <w:rPr>
                <w:rFonts w:ascii="Arial" w:cs="Arial" w:eastAsia="Arial" w:hAnsi="Arial"/>
                <w:sz w:val="11"/>
                <w:szCs w:val="11"/>
                <w:color w:val="050505"/>
              </w:rPr>
              <w:t>Pro forma net loss per share attributable to common stockholders, basic and</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3860" w:type="dxa"/>
            <w:vAlign w:val="bottom"/>
            <w:gridSpan w:val="3"/>
          </w:tcPr>
          <w:p>
            <w:pPr>
              <w:ind w:left="100"/>
              <w:spacing w:after="0" w:line="129" w:lineRule="exact"/>
              <w:rPr>
                <w:sz w:val="20"/>
                <w:szCs w:val="20"/>
                <w:color w:val="auto"/>
              </w:rPr>
            </w:pPr>
            <w:r>
              <w:rPr>
                <w:rFonts w:ascii="Arial" w:cs="Arial" w:eastAsia="Arial" w:hAnsi="Arial"/>
                <w:sz w:val="9"/>
                <w:szCs w:val="9"/>
                <w:color w:val="050505"/>
              </w:rPr>
              <w:t>diluted (unaudited)</w:t>
            </w:r>
            <w:r>
              <w:rPr>
                <w:rFonts w:ascii="Arial" w:cs="Arial" w:eastAsia="Arial" w:hAnsi="Arial"/>
                <w:sz w:val="14"/>
                <w:szCs w:val="14"/>
                <w:color w:val="050505"/>
                <w:vertAlign w:val="superscript"/>
              </w:rPr>
              <w:t>(4)</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050505"/>
              </w:rPr>
              <w:t>$</w:t>
            </w: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050505"/>
              </w:rPr>
              <w:t>(0.84)</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3860" w:type="dxa"/>
            <w:vAlign w:val="bottom"/>
            <w:gridSpan w:val="3"/>
            <w:shd w:val="clear" w:color="auto" w:fill="CCEEFF"/>
          </w:tcPr>
          <w:p>
            <w:pPr>
              <w:spacing w:after="0"/>
              <w:rPr>
                <w:sz w:val="20"/>
                <w:szCs w:val="20"/>
                <w:color w:val="auto"/>
              </w:rPr>
            </w:pPr>
            <w:r>
              <w:rPr>
                <w:rFonts w:ascii="Arial" w:cs="Arial" w:eastAsia="Arial" w:hAnsi="Arial"/>
                <w:sz w:val="11"/>
                <w:szCs w:val="11"/>
                <w:color w:val="050505"/>
              </w:rPr>
              <w:t>Pro forma weighted-average common shares outstanding, basic and diluted</w:t>
            </w:r>
          </w:p>
        </w:tc>
        <w:tc>
          <w:tcPr>
            <w:tcW w:w="2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00" w:type="dxa"/>
            <w:vAlign w:val="bottom"/>
            <w:tcBorders>
              <w:right w:val="single" w:sz="8" w:color="CCEEFF"/>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80" w:type="dxa"/>
            <w:vAlign w:val="bottom"/>
            <w:tcBorders>
              <w:left w:val="single" w:sz="8" w:color="CCEEFF"/>
            </w:tcBorders>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00" w:type="dxa"/>
            <w:vAlign w:val="bottom"/>
            <w:tcBorders>
              <w:right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spacing w:after="0"/>
              <w:rPr>
                <w:sz w:val="11"/>
                <w:szCs w:val="11"/>
                <w:color w:val="auto"/>
              </w:rPr>
            </w:pPr>
          </w:p>
        </w:tc>
        <w:tc>
          <w:tcPr>
            <w:tcW w:w="80" w:type="dxa"/>
            <w:vAlign w:val="bottom"/>
            <w:tcBorders>
              <w:left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860" w:type="dxa"/>
            <w:vAlign w:val="bottom"/>
            <w:gridSpan w:val="3"/>
            <w:shd w:val="clear" w:color="auto" w:fill="CCEEFF"/>
          </w:tcPr>
          <w:p>
            <w:pPr>
              <w:ind w:left="100"/>
              <w:spacing w:after="0" w:line="129" w:lineRule="exact"/>
              <w:rPr>
                <w:sz w:val="20"/>
                <w:szCs w:val="20"/>
                <w:color w:val="auto"/>
              </w:rPr>
            </w:pPr>
            <w:r>
              <w:rPr>
                <w:rFonts w:ascii="Arial" w:cs="Arial" w:eastAsia="Arial" w:hAnsi="Arial"/>
                <w:sz w:val="9"/>
                <w:szCs w:val="9"/>
                <w:color w:val="050505"/>
              </w:rPr>
              <w:t>(unaudited)</w:t>
            </w:r>
            <w:r>
              <w:rPr>
                <w:rFonts w:ascii="Arial" w:cs="Arial" w:eastAsia="Arial" w:hAnsi="Arial"/>
                <w:sz w:val="14"/>
                <w:szCs w:val="14"/>
                <w:color w:val="050505"/>
                <w:vertAlign w:val="superscript"/>
              </w:rPr>
              <w:t>(4)</w:t>
            </w:r>
          </w:p>
        </w:tc>
        <w:tc>
          <w:tcPr>
            <w:tcW w:w="2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00" w:type="dxa"/>
            <w:vAlign w:val="bottom"/>
            <w:tcBorders>
              <w:right w:val="single" w:sz="8" w:color="CCEEFF"/>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80" w:type="dxa"/>
            <w:vAlign w:val="bottom"/>
            <w:tcBorders>
              <w:left w:val="single" w:sz="8" w:color="CCEEFF"/>
            </w:tcBorders>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00" w:type="dxa"/>
            <w:vAlign w:val="bottom"/>
            <w:tcBorders>
              <w:right w:val="single" w:sz="8" w:color="CCEEFF"/>
            </w:tcBorders>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050505"/>
                <w:w w:val="98"/>
              </w:rPr>
              <w:t>233,552,393</w:t>
            </w:r>
          </w:p>
        </w:tc>
        <w:tc>
          <w:tcPr>
            <w:tcW w:w="80" w:type="dxa"/>
            <w:vAlign w:val="bottom"/>
            <w:tcBorders>
              <w:left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99"/>
        </w:trPr>
        <w:tc>
          <w:tcPr>
            <w:tcW w:w="160" w:type="dxa"/>
            <w:vAlign w:val="bottom"/>
            <w:tcBorders>
              <w:bottom w:val="single" w:sz="8" w:color="050505"/>
            </w:tcBorders>
          </w:tcPr>
          <w:p>
            <w:pPr>
              <w:spacing w:after="0"/>
              <w:rPr>
                <w:sz w:val="8"/>
                <w:szCs w:val="8"/>
                <w:color w:val="auto"/>
              </w:rPr>
            </w:pPr>
          </w:p>
        </w:tc>
        <w:tc>
          <w:tcPr>
            <w:tcW w:w="1760" w:type="dxa"/>
            <w:vAlign w:val="bottom"/>
            <w:tcBorders>
              <w:bottom w:val="single" w:sz="8" w:color="050505"/>
            </w:tcBorders>
          </w:tcPr>
          <w:p>
            <w:pPr>
              <w:spacing w:after="0"/>
              <w:rPr>
                <w:sz w:val="8"/>
                <w:szCs w:val="8"/>
                <w:color w:val="auto"/>
              </w:rPr>
            </w:pPr>
          </w:p>
        </w:tc>
        <w:tc>
          <w:tcPr>
            <w:tcW w:w="19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4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2"/>
        </w:trPr>
        <w:tc>
          <w:tcPr>
            <w:tcW w:w="3860" w:type="dxa"/>
            <w:vAlign w:val="bottom"/>
            <w:gridSpan w:val="3"/>
          </w:tcPr>
          <w:p>
            <w:pPr>
              <w:spacing w:after="0"/>
              <w:rPr>
                <w:sz w:val="20"/>
                <w:szCs w:val="20"/>
                <w:color w:val="auto"/>
              </w:rPr>
            </w:pPr>
            <w:r>
              <w:rPr>
                <w:rFonts w:ascii="Arial" w:cs="Arial" w:eastAsia="Arial" w:hAnsi="Arial"/>
                <w:sz w:val="8"/>
                <w:szCs w:val="8"/>
                <w:color w:val="050505"/>
              </w:rPr>
              <w:t>(1)  Includes stock-based compensation expense as follows:</w:t>
            </w: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5"/>
        </w:trPr>
        <w:tc>
          <w:tcPr>
            <w:tcW w:w="16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8"/>
          </w:tcPr>
          <w:p>
            <w:pPr>
              <w:jc w:val="center"/>
              <w:ind w:right="80"/>
              <w:spacing w:after="0"/>
              <w:rPr>
                <w:sz w:val="20"/>
                <w:szCs w:val="20"/>
                <w:color w:val="auto"/>
              </w:rPr>
            </w:pPr>
            <w:r>
              <w:rPr>
                <w:rFonts w:ascii="Arial" w:cs="Arial" w:eastAsia="Arial" w:hAnsi="Arial"/>
                <w:sz w:val="11"/>
                <w:szCs w:val="11"/>
                <w:b w:val="1"/>
                <w:bCs w:val="1"/>
                <w:color w:val="050505"/>
                <w:w w:val="98"/>
              </w:rPr>
              <w:t>Fiscal Year Ended June 30,</w:t>
            </w:r>
          </w:p>
        </w:tc>
        <w:tc>
          <w:tcPr>
            <w:tcW w:w="6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160" w:type="dxa"/>
            <w:vAlign w:val="bottom"/>
          </w:tcPr>
          <w:p>
            <w:pPr>
              <w:spacing w:after="0"/>
              <w:rPr>
                <w:sz w:val="10"/>
                <w:szCs w:val="10"/>
                <w:color w:val="auto"/>
              </w:rPr>
            </w:pPr>
          </w:p>
        </w:tc>
        <w:tc>
          <w:tcPr>
            <w:tcW w:w="1760" w:type="dxa"/>
            <w:vAlign w:val="bottom"/>
          </w:tcPr>
          <w:p>
            <w:pPr>
              <w:spacing w:after="0"/>
              <w:rPr>
                <w:sz w:val="10"/>
                <w:szCs w:val="10"/>
                <w:color w:val="auto"/>
              </w:rPr>
            </w:pPr>
          </w:p>
        </w:tc>
        <w:tc>
          <w:tcPr>
            <w:tcW w:w="19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gridSpan w:val="2"/>
          </w:tcPr>
          <w:p>
            <w:pPr>
              <w:jc w:val="right"/>
              <w:ind w:right="20"/>
              <w:spacing w:after="0" w:line="115" w:lineRule="exact"/>
              <w:rPr>
                <w:sz w:val="20"/>
                <w:szCs w:val="20"/>
                <w:color w:val="auto"/>
              </w:rPr>
            </w:pPr>
            <w:r>
              <w:rPr>
                <w:rFonts w:ascii="Arial" w:cs="Arial" w:eastAsia="Arial" w:hAnsi="Arial"/>
                <w:sz w:val="11"/>
                <w:szCs w:val="11"/>
                <w:b w:val="1"/>
                <w:bCs w:val="1"/>
                <w:color w:val="050505"/>
              </w:rPr>
              <w:t>2017</w:t>
            </w:r>
          </w:p>
        </w:tc>
        <w:tc>
          <w:tcPr>
            <w:tcW w:w="24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jc w:val="center"/>
              <w:ind w:left="66"/>
              <w:spacing w:after="0" w:line="115" w:lineRule="exact"/>
              <w:rPr>
                <w:sz w:val="20"/>
                <w:szCs w:val="20"/>
                <w:color w:val="auto"/>
              </w:rPr>
            </w:pPr>
            <w:r>
              <w:rPr>
                <w:rFonts w:ascii="Arial" w:cs="Arial" w:eastAsia="Arial" w:hAnsi="Arial"/>
                <w:sz w:val="11"/>
                <w:szCs w:val="11"/>
                <w:b w:val="1"/>
                <w:bCs w:val="1"/>
                <w:color w:val="050505"/>
                <w:w w:val="97"/>
              </w:rPr>
              <w:t>2018</w:t>
            </w:r>
          </w:p>
        </w:tc>
        <w:tc>
          <w:tcPr>
            <w:tcW w:w="18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jc w:val="right"/>
              <w:ind w:right="166"/>
              <w:spacing w:after="0" w:line="115" w:lineRule="exact"/>
              <w:rPr>
                <w:sz w:val="20"/>
                <w:szCs w:val="20"/>
                <w:color w:val="auto"/>
              </w:rPr>
            </w:pPr>
            <w:r>
              <w:rPr>
                <w:rFonts w:ascii="Arial" w:cs="Arial" w:eastAsia="Arial" w:hAnsi="Arial"/>
                <w:sz w:val="11"/>
                <w:szCs w:val="11"/>
                <w:b w:val="1"/>
                <w:bCs w:val="1"/>
                <w:color w:val="050505"/>
              </w:rPr>
              <w:t>2019</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160" w:type="dxa"/>
            <w:vAlign w:val="bottom"/>
          </w:tcPr>
          <w:p>
            <w:pPr>
              <w:spacing w:after="0"/>
              <w:rPr>
                <w:sz w:val="10"/>
                <w:szCs w:val="10"/>
                <w:color w:val="auto"/>
              </w:rPr>
            </w:pPr>
          </w:p>
        </w:tc>
        <w:tc>
          <w:tcPr>
            <w:tcW w:w="1760" w:type="dxa"/>
            <w:vAlign w:val="bottom"/>
          </w:tcPr>
          <w:p>
            <w:pPr>
              <w:spacing w:after="0"/>
              <w:rPr>
                <w:sz w:val="10"/>
                <w:szCs w:val="10"/>
                <w:color w:val="auto"/>
              </w:rPr>
            </w:pPr>
          </w:p>
        </w:tc>
        <w:tc>
          <w:tcPr>
            <w:tcW w:w="19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00" w:type="dxa"/>
            <w:vAlign w:val="bottom"/>
            <w:gridSpan w:val="3"/>
          </w:tcPr>
          <w:p>
            <w:pPr>
              <w:jc w:val="center"/>
              <w:ind w:right="300"/>
              <w:spacing w:after="0" w:line="115" w:lineRule="exact"/>
              <w:rPr>
                <w:sz w:val="20"/>
                <w:szCs w:val="20"/>
                <w:color w:val="auto"/>
              </w:rPr>
            </w:pPr>
            <w:r>
              <w:rPr>
                <w:rFonts w:ascii="Arial" w:cs="Arial" w:eastAsia="Arial" w:hAnsi="Arial"/>
                <w:sz w:val="11"/>
                <w:szCs w:val="11"/>
                <w:b w:val="1"/>
                <w:bCs w:val="1"/>
                <w:color w:val="050505"/>
                <w:w w:val="97"/>
              </w:rPr>
              <w:t>(in millions)</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160" w:type="dxa"/>
            <w:vAlign w:val="bottom"/>
          </w:tcPr>
          <w:p>
            <w:pPr>
              <w:spacing w:after="0"/>
              <w:rPr>
                <w:sz w:val="10"/>
                <w:szCs w:val="10"/>
                <w:color w:val="auto"/>
              </w:rPr>
            </w:pPr>
          </w:p>
        </w:tc>
        <w:tc>
          <w:tcPr>
            <w:tcW w:w="3700" w:type="dxa"/>
            <w:vAlign w:val="bottom"/>
            <w:gridSpan w:val="2"/>
            <w:shd w:val="clear" w:color="auto" w:fill="CCEEFF"/>
          </w:tcPr>
          <w:p>
            <w:pPr>
              <w:ind w:left="20"/>
              <w:spacing w:after="0"/>
              <w:rPr>
                <w:sz w:val="20"/>
                <w:szCs w:val="20"/>
                <w:color w:val="auto"/>
              </w:rPr>
            </w:pPr>
            <w:r>
              <w:rPr>
                <w:rFonts w:ascii="Arial" w:cs="Arial" w:eastAsia="Arial" w:hAnsi="Arial"/>
                <w:sz w:val="11"/>
                <w:szCs w:val="11"/>
                <w:color w:val="050505"/>
              </w:rPr>
              <w:t>Cost of revenue:</w:t>
            </w:r>
          </w:p>
        </w:tc>
        <w:tc>
          <w:tcPr>
            <w:tcW w:w="2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200" w:type="dxa"/>
            <w:vAlign w:val="bottom"/>
            <w:tcBorders>
              <w:right w:val="single" w:sz="8" w:color="CCEEFF"/>
            </w:tcBorders>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80" w:type="dxa"/>
            <w:vAlign w:val="bottom"/>
            <w:tcBorders>
              <w:left w:val="single" w:sz="8" w:color="CCEEFF"/>
            </w:tcBorders>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00" w:type="dxa"/>
            <w:vAlign w:val="bottom"/>
            <w:tcBorders>
              <w:right w:val="single" w:sz="8" w:color="CCEEFF"/>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tcBorders>
              <w:left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160" w:type="dxa"/>
            <w:vAlign w:val="bottom"/>
          </w:tcPr>
          <w:p>
            <w:pPr>
              <w:spacing w:after="0"/>
              <w:rPr>
                <w:sz w:val="10"/>
                <w:szCs w:val="10"/>
                <w:color w:val="auto"/>
              </w:rPr>
            </w:pPr>
          </w:p>
        </w:tc>
        <w:tc>
          <w:tcPr>
            <w:tcW w:w="3700" w:type="dxa"/>
            <w:vAlign w:val="bottom"/>
            <w:gridSpan w:val="2"/>
          </w:tcPr>
          <w:p>
            <w:pPr>
              <w:ind w:left="100"/>
              <w:spacing w:after="0"/>
              <w:rPr>
                <w:sz w:val="20"/>
                <w:szCs w:val="20"/>
                <w:color w:val="auto"/>
              </w:rPr>
            </w:pPr>
            <w:r>
              <w:rPr>
                <w:rFonts w:ascii="Arial" w:cs="Arial" w:eastAsia="Arial" w:hAnsi="Arial"/>
                <w:sz w:val="11"/>
                <w:szCs w:val="11"/>
                <w:color w:val="050505"/>
              </w:rPr>
              <w:t>Connected Fitness Products</w:t>
            </w:r>
          </w:p>
        </w:tc>
        <w:tc>
          <w:tcPr>
            <w:tcW w:w="720" w:type="dxa"/>
            <w:vAlign w:val="bottom"/>
            <w:gridSpan w:val="4"/>
          </w:tcPr>
          <w:p>
            <w:pPr>
              <w:jc w:val="right"/>
              <w:ind w:right="80"/>
              <w:spacing w:after="0"/>
              <w:rPr>
                <w:sz w:val="20"/>
                <w:szCs w:val="20"/>
                <w:color w:val="auto"/>
              </w:rPr>
            </w:pPr>
            <w:r>
              <w:rPr>
                <w:rFonts w:ascii="Arial" w:cs="Arial" w:eastAsia="Arial" w:hAnsi="Arial"/>
                <w:sz w:val="11"/>
                <w:szCs w:val="11"/>
                <w:color w:val="050505"/>
              </w:rPr>
              <w:t>$</w:t>
            </w: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Pr>
          <w:p>
            <w:pPr>
              <w:jc w:val="right"/>
              <w:spacing w:after="0"/>
              <w:rPr>
                <w:sz w:val="20"/>
                <w:szCs w:val="20"/>
                <w:color w:val="auto"/>
              </w:rPr>
            </w:pPr>
            <w:r>
              <w:rPr>
                <w:rFonts w:ascii="Arial" w:cs="Arial" w:eastAsia="Arial" w:hAnsi="Arial"/>
                <w:sz w:val="11"/>
                <w:szCs w:val="11"/>
                <w:color w:val="050505"/>
              </w:rPr>
              <w:t>—</w:t>
            </w:r>
          </w:p>
        </w:tc>
        <w:tc>
          <w:tcPr>
            <w:tcW w:w="400" w:type="dxa"/>
            <w:vAlign w:val="bottom"/>
            <w:gridSpan w:val="3"/>
          </w:tcPr>
          <w:p>
            <w:pPr>
              <w:jc w:val="right"/>
              <w:spacing w:after="0"/>
              <w:rPr>
                <w:sz w:val="20"/>
                <w:szCs w:val="20"/>
                <w:color w:val="auto"/>
              </w:rPr>
            </w:pPr>
            <w:r>
              <w:rPr>
                <w:rFonts w:ascii="Arial" w:cs="Arial" w:eastAsia="Arial" w:hAnsi="Arial"/>
                <w:sz w:val="11"/>
                <w:szCs w:val="11"/>
                <w:color w:val="050505"/>
              </w:rPr>
              <w:t>$</w:t>
            </w:r>
          </w:p>
        </w:tc>
        <w:tc>
          <w:tcPr>
            <w:tcW w:w="480" w:type="dxa"/>
            <w:vAlign w:val="bottom"/>
          </w:tcPr>
          <w:p>
            <w:pPr>
              <w:spacing w:after="0"/>
              <w:rPr>
                <w:sz w:val="10"/>
                <w:szCs w:val="10"/>
                <w:color w:val="auto"/>
              </w:rPr>
            </w:pPr>
          </w:p>
        </w:tc>
        <w:tc>
          <w:tcPr>
            <w:tcW w:w="420" w:type="dxa"/>
            <w:vAlign w:val="bottom"/>
            <w:gridSpan w:val="2"/>
          </w:tcPr>
          <w:p>
            <w:pPr>
              <w:jc w:val="right"/>
              <w:ind w:right="240"/>
              <w:spacing w:after="0"/>
              <w:rPr>
                <w:sz w:val="20"/>
                <w:szCs w:val="20"/>
                <w:color w:val="auto"/>
              </w:rPr>
            </w:pPr>
            <w:r>
              <w:rPr>
                <w:rFonts w:ascii="Arial" w:cs="Arial" w:eastAsia="Arial" w:hAnsi="Arial"/>
                <w:sz w:val="11"/>
                <w:szCs w:val="11"/>
                <w:color w:val="050505"/>
              </w:rPr>
              <w:t>—</w:t>
            </w:r>
          </w:p>
        </w:tc>
        <w:tc>
          <w:tcPr>
            <w:tcW w:w="180" w:type="dxa"/>
            <w:vAlign w:val="bottom"/>
            <w:gridSpan w:val="2"/>
          </w:tcPr>
          <w:p>
            <w:pPr>
              <w:jc w:val="right"/>
              <w:ind w:right="20"/>
              <w:spacing w:after="0"/>
              <w:rPr>
                <w:sz w:val="20"/>
                <w:szCs w:val="20"/>
                <w:color w:val="auto"/>
              </w:rPr>
            </w:pPr>
            <w:r>
              <w:rPr>
                <w:rFonts w:ascii="Arial" w:cs="Arial" w:eastAsia="Arial" w:hAnsi="Arial"/>
                <w:sz w:val="11"/>
                <w:szCs w:val="11"/>
                <w:color w:val="050505"/>
              </w:rPr>
              <w:t>$</w:t>
            </w:r>
          </w:p>
        </w:tc>
        <w:tc>
          <w:tcPr>
            <w:tcW w:w="620" w:type="dxa"/>
            <w:vAlign w:val="bottom"/>
          </w:tcPr>
          <w:p>
            <w:pPr>
              <w:jc w:val="right"/>
              <w:spacing w:after="0"/>
              <w:rPr>
                <w:sz w:val="20"/>
                <w:szCs w:val="20"/>
                <w:color w:val="auto"/>
              </w:rPr>
            </w:pPr>
            <w:r>
              <w:rPr>
                <w:rFonts w:ascii="Arial" w:cs="Arial" w:eastAsia="Arial" w:hAnsi="Arial"/>
                <w:sz w:val="11"/>
                <w:szCs w:val="11"/>
                <w:color w:val="050505"/>
              </w:rPr>
              <w:t>0.3</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160" w:type="dxa"/>
            <w:vAlign w:val="bottom"/>
          </w:tcPr>
          <w:p>
            <w:pPr>
              <w:spacing w:after="0"/>
              <w:rPr>
                <w:sz w:val="10"/>
                <w:szCs w:val="10"/>
                <w:color w:val="auto"/>
              </w:rPr>
            </w:pPr>
          </w:p>
        </w:tc>
        <w:tc>
          <w:tcPr>
            <w:tcW w:w="3700" w:type="dxa"/>
            <w:vAlign w:val="bottom"/>
            <w:gridSpan w:val="2"/>
            <w:shd w:val="clear" w:color="auto" w:fill="CCEEFF"/>
          </w:tcPr>
          <w:p>
            <w:pPr>
              <w:ind w:left="100"/>
              <w:spacing w:after="0"/>
              <w:rPr>
                <w:sz w:val="20"/>
                <w:szCs w:val="20"/>
                <w:color w:val="auto"/>
              </w:rPr>
            </w:pPr>
            <w:r>
              <w:rPr>
                <w:rFonts w:ascii="Arial" w:cs="Arial" w:eastAsia="Arial" w:hAnsi="Arial"/>
                <w:sz w:val="11"/>
                <w:szCs w:val="11"/>
                <w:color w:val="050505"/>
              </w:rPr>
              <w:t>Subscription</w:t>
            </w:r>
          </w:p>
        </w:tc>
        <w:tc>
          <w:tcPr>
            <w:tcW w:w="2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00" w:type="dxa"/>
            <w:vAlign w:val="bottom"/>
            <w:gridSpan w:val="3"/>
            <w:shd w:val="clear" w:color="auto" w:fill="CCEEFF"/>
          </w:tcPr>
          <w:p>
            <w:pPr>
              <w:jc w:val="right"/>
              <w:spacing w:after="0"/>
              <w:rPr>
                <w:sz w:val="20"/>
                <w:szCs w:val="20"/>
                <w:color w:val="auto"/>
              </w:rPr>
            </w:pPr>
            <w:r>
              <w:rPr>
                <w:rFonts w:ascii="Arial" w:cs="Arial" w:eastAsia="Arial" w:hAnsi="Arial"/>
                <w:sz w:val="11"/>
                <w:szCs w:val="11"/>
                <w:color w:val="050505"/>
              </w:rPr>
              <w:t>0.1</w:t>
            </w:r>
          </w:p>
        </w:tc>
        <w:tc>
          <w:tcPr>
            <w:tcW w:w="200" w:type="dxa"/>
            <w:vAlign w:val="bottom"/>
            <w:tcBorders>
              <w:right w:val="single" w:sz="8" w:color="CCEEFF"/>
            </w:tcBorders>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050505"/>
              </w:rPr>
              <w:t>0.5</w:t>
            </w:r>
          </w:p>
        </w:tc>
        <w:tc>
          <w:tcPr>
            <w:tcW w:w="240" w:type="dxa"/>
            <w:vAlign w:val="bottom"/>
            <w:shd w:val="clear" w:color="auto" w:fill="CCEEFF"/>
          </w:tcPr>
          <w:p>
            <w:pPr>
              <w:spacing w:after="0"/>
              <w:rPr>
                <w:sz w:val="10"/>
                <w:szCs w:val="10"/>
                <w:color w:val="auto"/>
              </w:rPr>
            </w:pPr>
          </w:p>
        </w:tc>
        <w:tc>
          <w:tcPr>
            <w:tcW w:w="100" w:type="dxa"/>
            <w:vAlign w:val="bottom"/>
            <w:tcBorders>
              <w:right w:val="single" w:sz="8" w:color="CCEEFF"/>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1"/>
                <w:szCs w:val="11"/>
                <w:color w:val="050505"/>
              </w:rPr>
              <w:t>3.2</w:t>
            </w:r>
          </w:p>
        </w:tc>
        <w:tc>
          <w:tcPr>
            <w:tcW w:w="80" w:type="dxa"/>
            <w:vAlign w:val="bottom"/>
            <w:tcBorders>
              <w:left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160" w:type="dxa"/>
            <w:vAlign w:val="bottom"/>
          </w:tcPr>
          <w:p>
            <w:pPr>
              <w:spacing w:after="0"/>
              <w:rPr>
                <w:sz w:val="10"/>
                <w:szCs w:val="10"/>
                <w:color w:val="auto"/>
              </w:rPr>
            </w:pPr>
          </w:p>
        </w:tc>
        <w:tc>
          <w:tcPr>
            <w:tcW w:w="3700" w:type="dxa"/>
            <w:vAlign w:val="bottom"/>
            <w:gridSpan w:val="2"/>
          </w:tcPr>
          <w:p>
            <w:pPr>
              <w:ind w:left="100"/>
              <w:spacing w:after="0"/>
              <w:rPr>
                <w:sz w:val="20"/>
                <w:szCs w:val="20"/>
                <w:color w:val="auto"/>
              </w:rPr>
            </w:pPr>
            <w:r>
              <w:rPr>
                <w:rFonts w:ascii="Arial" w:cs="Arial" w:eastAsia="Arial" w:hAnsi="Arial"/>
                <w:sz w:val="11"/>
                <w:szCs w:val="11"/>
                <w:color w:val="050505"/>
              </w:rPr>
              <w:t>Other</w:t>
            </w: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Pr>
          <w:p>
            <w:pPr>
              <w:jc w:val="right"/>
              <w:spacing w:after="0"/>
              <w:rPr>
                <w:sz w:val="20"/>
                <w:szCs w:val="20"/>
                <w:color w:val="auto"/>
              </w:rPr>
            </w:pPr>
            <w:r>
              <w:rPr>
                <w:rFonts w:ascii="Arial" w:cs="Arial" w:eastAsia="Arial" w:hAnsi="Arial"/>
                <w:sz w:val="11"/>
                <w:szCs w:val="11"/>
                <w:color w:val="050505"/>
              </w:rPr>
              <w:t>—</w:t>
            </w: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20" w:type="dxa"/>
            <w:vAlign w:val="bottom"/>
            <w:gridSpan w:val="2"/>
          </w:tcPr>
          <w:p>
            <w:pPr>
              <w:jc w:val="right"/>
              <w:ind w:right="240"/>
              <w:spacing w:after="0"/>
              <w:rPr>
                <w:sz w:val="20"/>
                <w:szCs w:val="20"/>
                <w:color w:val="auto"/>
              </w:rPr>
            </w:pPr>
            <w:r>
              <w:rPr>
                <w:rFonts w:ascii="Arial" w:cs="Arial" w:eastAsia="Arial" w:hAnsi="Arial"/>
                <w:sz w:val="11"/>
                <w:szCs w:val="11"/>
                <w:color w:val="050505"/>
              </w:rPr>
              <w:t>—</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1"/>
                <w:szCs w:val="11"/>
                <w:color w:val="050505"/>
              </w:rPr>
              <w:t>—</w:t>
            </w:r>
          </w:p>
        </w:tc>
        <w:tc>
          <w:tcPr>
            <w:tcW w:w="0" w:type="dxa"/>
            <w:vAlign w:val="bottom"/>
          </w:tcPr>
          <w:p>
            <w:pPr>
              <w:spacing w:after="0"/>
              <w:rPr>
                <w:sz w:val="1"/>
                <w:szCs w:val="1"/>
                <w:color w:val="auto"/>
              </w:rPr>
            </w:pPr>
          </w:p>
        </w:tc>
      </w:tr>
      <w:tr>
        <w:trPr>
          <w:trHeight w:val="124"/>
        </w:trPr>
        <w:tc>
          <w:tcPr>
            <w:tcW w:w="160" w:type="dxa"/>
            <w:vAlign w:val="bottom"/>
          </w:tcPr>
          <w:p>
            <w:pPr>
              <w:spacing w:after="0"/>
              <w:rPr>
                <w:sz w:val="10"/>
                <w:szCs w:val="10"/>
                <w:color w:val="auto"/>
              </w:rPr>
            </w:pPr>
          </w:p>
        </w:tc>
        <w:tc>
          <w:tcPr>
            <w:tcW w:w="3700" w:type="dxa"/>
            <w:vAlign w:val="bottom"/>
            <w:gridSpan w:val="2"/>
            <w:shd w:val="clear" w:color="auto" w:fill="CCEEFF"/>
          </w:tcPr>
          <w:p>
            <w:pPr>
              <w:ind w:left="200"/>
              <w:spacing w:after="0" w:line="124" w:lineRule="exact"/>
              <w:rPr>
                <w:sz w:val="20"/>
                <w:szCs w:val="20"/>
                <w:color w:val="auto"/>
              </w:rPr>
            </w:pPr>
            <w:r>
              <w:rPr>
                <w:rFonts w:ascii="Arial" w:cs="Arial" w:eastAsia="Arial" w:hAnsi="Arial"/>
                <w:sz w:val="11"/>
                <w:szCs w:val="11"/>
                <w:color w:val="050505"/>
              </w:rPr>
              <w:t>Total cost of revenue</w:t>
            </w:r>
          </w:p>
        </w:tc>
        <w:tc>
          <w:tcPr>
            <w:tcW w:w="2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40" w:type="dxa"/>
            <w:vAlign w:val="bottom"/>
            <w:tcBorders>
              <w:top w:val="single" w:sz="8" w:color="auto"/>
              <w:bottom w:val="single" w:sz="8" w:color="auto"/>
            </w:tcBorders>
            <w:shd w:val="clear" w:color="auto" w:fill="CCEEFF"/>
          </w:tcPr>
          <w:p>
            <w:pPr>
              <w:spacing w:after="0"/>
              <w:rPr>
                <w:sz w:val="10"/>
                <w:szCs w:val="10"/>
                <w:color w:val="auto"/>
              </w:rPr>
            </w:pPr>
          </w:p>
        </w:tc>
        <w:tc>
          <w:tcPr>
            <w:tcW w:w="600" w:type="dxa"/>
            <w:vAlign w:val="bottom"/>
            <w:tcBorders>
              <w:top w:val="single" w:sz="8" w:color="auto"/>
              <w:bottom w:val="single" w:sz="8" w:color="auto"/>
            </w:tcBorders>
            <w:gridSpan w:val="3"/>
            <w:shd w:val="clear" w:color="auto" w:fill="CCEEFF"/>
          </w:tcPr>
          <w:p>
            <w:pPr>
              <w:jc w:val="right"/>
              <w:spacing w:after="0" w:line="124" w:lineRule="exact"/>
              <w:rPr>
                <w:sz w:val="20"/>
                <w:szCs w:val="20"/>
                <w:color w:val="auto"/>
              </w:rPr>
            </w:pPr>
            <w:r>
              <w:rPr>
                <w:rFonts w:ascii="Arial" w:cs="Arial" w:eastAsia="Arial" w:hAnsi="Arial"/>
                <w:sz w:val="11"/>
                <w:szCs w:val="11"/>
                <w:color w:val="050505"/>
              </w:rPr>
              <w:t>0.1</w:t>
            </w:r>
          </w:p>
        </w:tc>
        <w:tc>
          <w:tcPr>
            <w:tcW w:w="200" w:type="dxa"/>
            <w:vAlign w:val="bottom"/>
            <w:tcBorders>
              <w:right w:val="single" w:sz="8" w:color="CCEEFF"/>
            </w:tcBorders>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0" w:type="dxa"/>
            <w:vAlign w:val="bottom"/>
            <w:tcBorders>
              <w:top w:val="single" w:sz="8" w:color="auto"/>
              <w:bottom w:val="single" w:sz="8" w:color="auto"/>
            </w:tcBorders>
            <w:shd w:val="clear" w:color="auto" w:fill="CCEEFF"/>
          </w:tcPr>
          <w:p>
            <w:pPr>
              <w:spacing w:after="0"/>
              <w:rPr>
                <w:sz w:val="10"/>
                <w:szCs w:val="10"/>
                <w:color w:val="auto"/>
              </w:rPr>
            </w:pPr>
          </w:p>
        </w:tc>
        <w:tc>
          <w:tcPr>
            <w:tcW w:w="660" w:type="dxa"/>
            <w:vAlign w:val="bottom"/>
            <w:tcBorders>
              <w:top w:val="single" w:sz="8" w:color="auto"/>
              <w:bottom w:val="single" w:sz="8" w:color="auto"/>
            </w:tcBorders>
            <w:gridSpan w:val="2"/>
            <w:shd w:val="clear" w:color="auto" w:fill="CCEEFF"/>
          </w:tcPr>
          <w:p>
            <w:pPr>
              <w:jc w:val="right"/>
              <w:spacing w:after="0" w:line="124" w:lineRule="exact"/>
              <w:rPr>
                <w:sz w:val="20"/>
                <w:szCs w:val="20"/>
                <w:color w:val="auto"/>
              </w:rPr>
            </w:pPr>
            <w:r>
              <w:rPr>
                <w:rFonts w:ascii="Arial" w:cs="Arial" w:eastAsia="Arial" w:hAnsi="Arial"/>
                <w:sz w:val="11"/>
                <w:szCs w:val="11"/>
                <w:color w:val="050505"/>
              </w:rPr>
              <w:t>0.5</w:t>
            </w:r>
          </w:p>
        </w:tc>
        <w:tc>
          <w:tcPr>
            <w:tcW w:w="240" w:type="dxa"/>
            <w:vAlign w:val="bottom"/>
            <w:shd w:val="clear" w:color="auto" w:fill="CCEEFF"/>
          </w:tcPr>
          <w:p>
            <w:pPr>
              <w:spacing w:after="0"/>
              <w:rPr>
                <w:sz w:val="10"/>
                <w:szCs w:val="10"/>
                <w:color w:val="auto"/>
              </w:rPr>
            </w:pPr>
          </w:p>
        </w:tc>
        <w:tc>
          <w:tcPr>
            <w:tcW w:w="100" w:type="dxa"/>
            <w:vAlign w:val="bottom"/>
            <w:tcBorders>
              <w:right w:val="single" w:sz="8" w:color="CCEEFF"/>
            </w:tcBorders>
            <w:shd w:val="clear" w:color="auto" w:fill="CCEEFF"/>
          </w:tcPr>
          <w:p>
            <w:pPr>
              <w:spacing w:after="0"/>
              <w:rPr>
                <w:sz w:val="10"/>
                <w:szCs w:val="10"/>
                <w:color w:val="auto"/>
              </w:rPr>
            </w:pPr>
          </w:p>
        </w:tc>
        <w:tc>
          <w:tcPr>
            <w:tcW w:w="80" w:type="dxa"/>
            <w:vAlign w:val="bottom"/>
            <w:tcBorders>
              <w:top w:val="single" w:sz="8" w:color="auto"/>
              <w:bottom w:val="single" w:sz="8" w:color="auto"/>
            </w:tcBorders>
            <w:shd w:val="clear" w:color="auto" w:fill="CCEEFF"/>
          </w:tcPr>
          <w:p>
            <w:pPr>
              <w:spacing w:after="0"/>
              <w:rPr>
                <w:sz w:val="10"/>
                <w:szCs w:val="10"/>
                <w:color w:val="auto"/>
              </w:rPr>
            </w:pPr>
          </w:p>
        </w:tc>
        <w:tc>
          <w:tcPr>
            <w:tcW w:w="620" w:type="dxa"/>
            <w:vAlign w:val="bottom"/>
            <w:tcBorders>
              <w:top w:val="single" w:sz="8" w:color="auto"/>
              <w:bottom w:val="single" w:sz="8" w:color="auto"/>
            </w:tcBorders>
            <w:shd w:val="clear" w:color="auto" w:fill="CCEEFF"/>
          </w:tcPr>
          <w:p>
            <w:pPr>
              <w:jc w:val="right"/>
              <w:spacing w:after="0" w:line="124" w:lineRule="exact"/>
              <w:rPr>
                <w:sz w:val="20"/>
                <w:szCs w:val="20"/>
                <w:color w:val="auto"/>
              </w:rPr>
            </w:pPr>
            <w:r>
              <w:rPr>
                <w:rFonts w:ascii="Arial" w:cs="Arial" w:eastAsia="Arial" w:hAnsi="Arial"/>
                <w:sz w:val="11"/>
                <w:szCs w:val="11"/>
                <w:color w:val="050505"/>
              </w:rPr>
              <w:t>3.5</w:t>
            </w:r>
          </w:p>
        </w:tc>
        <w:tc>
          <w:tcPr>
            <w:tcW w:w="80" w:type="dxa"/>
            <w:vAlign w:val="bottom"/>
            <w:tcBorders>
              <w:left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160" w:type="dxa"/>
            <w:vAlign w:val="bottom"/>
          </w:tcPr>
          <w:p>
            <w:pPr>
              <w:spacing w:after="0"/>
              <w:rPr>
                <w:sz w:val="10"/>
                <w:szCs w:val="10"/>
                <w:color w:val="auto"/>
              </w:rPr>
            </w:pPr>
          </w:p>
        </w:tc>
        <w:tc>
          <w:tcPr>
            <w:tcW w:w="3700" w:type="dxa"/>
            <w:vAlign w:val="bottom"/>
            <w:gridSpan w:val="2"/>
          </w:tcPr>
          <w:p>
            <w:pPr>
              <w:ind w:left="20"/>
              <w:spacing w:after="0" w:line="124" w:lineRule="exact"/>
              <w:rPr>
                <w:sz w:val="20"/>
                <w:szCs w:val="20"/>
                <w:color w:val="auto"/>
              </w:rPr>
            </w:pPr>
            <w:r>
              <w:rPr>
                <w:rFonts w:ascii="Arial" w:cs="Arial" w:eastAsia="Arial" w:hAnsi="Arial"/>
                <w:sz w:val="11"/>
                <w:szCs w:val="11"/>
                <w:color w:val="050505"/>
              </w:rPr>
              <w:t>Research and development</w:t>
            </w: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gridSpan w:val="3"/>
          </w:tcPr>
          <w:p>
            <w:pPr>
              <w:jc w:val="right"/>
              <w:spacing w:after="0" w:line="124" w:lineRule="exact"/>
              <w:rPr>
                <w:sz w:val="20"/>
                <w:szCs w:val="20"/>
                <w:color w:val="auto"/>
              </w:rPr>
            </w:pPr>
            <w:r>
              <w:rPr>
                <w:rFonts w:ascii="Arial" w:cs="Arial" w:eastAsia="Arial" w:hAnsi="Arial"/>
                <w:sz w:val="11"/>
                <w:szCs w:val="11"/>
                <w:color w:val="050505"/>
              </w:rPr>
              <w:t>0.4</w:t>
            </w: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gridSpan w:val="2"/>
          </w:tcPr>
          <w:p>
            <w:pPr>
              <w:jc w:val="right"/>
              <w:spacing w:after="0" w:line="124" w:lineRule="exact"/>
              <w:rPr>
                <w:sz w:val="20"/>
                <w:szCs w:val="20"/>
                <w:color w:val="auto"/>
              </w:rPr>
            </w:pPr>
            <w:r>
              <w:rPr>
                <w:rFonts w:ascii="Arial" w:cs="Arial" w:eastAsia="Arial" w:hAnsi="Arial"/>
                <w:sz w:val="11"/>
                <w:szCs w:val="11"/>
                <w:color w:val="050505"/>
              </w:rPr>
              <w:t>0.8</w:t>
            </w: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jc w:val="right"/>
              <w:spacing w:after="0" w:line="124" w:lineRule="exact"/>
              <w:rPr>
                <w:sz w:val="20"/>
                <w:szCs w:val="20"/>
                <w:color w:val="auto"/>
              </w:rPr>
            </w:pPr>
            <w:r>
              <w:rPr>
                <w:rFonts w:ascii="Arial" w:cs="Arial" w:eastAsia="Arial" w:hAnsi="Arial"/>
                <w:sz w:val="11"/>
                <w:szCs w:val="11"/>
                <w:color w:val="050505"/>
              </w:rPr>
              <w:t>7.1</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160" w:type="dxa"/>
            <w:vAlign w:val="bottom"/>
          </w:tcPr>
          <w:p>
            <w:pPr>
              <w:spacing w:after="0"/>
              <w:rPr>
                <w:sz w:val="10"/>
                <w:szCs w:val="10"/>
                <w:color w:val="auto"/>
              </w:rPr>
            </w:pPr>
          </w:p>
        </w:tc>
        <w:tc>
          <w:tcPr>
            <w:tcW w:w="3700" w:type="dxa"/>
            <w:vAlign w:val="bottom"/>
            <w:gridSpan w:val="2"/>
            <w:shd w:val="clear" w:color="auto" w:fill="CCEEFF"/>
          </w:tcPr>
          <w:p>
            <w:pPr>
              <w:ind w:left="20"/>
              <w:spacing w:after="0"/>
              <w:rPr>
                <w:sz w:val="20"/>
                <w:szCs w:val="20"/>
                <w:color w:val="auto"/>
              </w:rPr>
            </w:pPr>
            <w:r>
              <w:rPr>
                <w:rFonts w:ascii="Arial" w:cs="Arial" w:eastAsia="Arial" w:hAnsi="Arial"/>
                <w:sz w:val="11"/>
                <w:szCs w:val="11"/>
                <w:color w:val="050505"/>
              </w:rPr>
              <w:t>Sales and marketing</w:t>
            </w:r>
          </w:p>
        </w:tc>
        <w:tc>
          <w:tcPr>
            <w:tcW w:w="2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00" w:type="dxa"/>
            <w:vAlign w:val="bottom"/>
            <w:gridSpan w:val="3"/>
            <w:shd w:val="clear" w:color="auto" w:fill="CCEEFF"/>
          </w:tcPr>
          <w:p>
            <w:pPr>
              <w:jc w:val="right"/>
              <w:spacing w:after="0"/>
              <w:rPr>
                <w:sz w:val="20"/>
                <w:szCs w:val="20"/>
                <w:color w:val="auto"/>
              </w:rPr>
            </w:pPr>
            <w:r>
              <w:rPr>
                <w:rFonts w:ascii="Arial" w:cs="Arial" w:eastAsia="Arial" w:hAnsi="Arial"/>
                <w:sz w:val="11"/>
                <w:szCs w:val="11"/>
                <w:color w:val="050505"/>
              </w:rPr>
              <w:t>0.4</w:t>
            </w:r>
          </w:p>
        </w:tc>
        <w:tc>
          <w:tcPr>
            <w:tcW w:w="200" w:type="dxa"/>
            <w:vAlign w:val="bottom"/>
            <w:tcBorders>
              <w:right w:val="single" w:sz="8" w:color="CCEEFF"/>
            </w:tcBorders>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050505"/>
              </w:rPr>
              <w:t>0.7</w:t>
            </w:r>
          </w:p>
        </w:tc>
        <w:tc>
          <w:tcPr>
            <w:tcW w:w="240" w:type="dxa"/>
            <w:vAlign w:val="bottom"/>
            <w:shd w:val="clear" w:color="auto" w:fill="CCEEFF"/>
          </w:tcPr>
          <w:p>
            <w:pPr>
              <w:spacing w:after="0"/>
              <w:rPr>
                <w:sz w:val="10"/>
                <w:szCs w:val="10"/>
                <w:color w:val="auto"/>
              </w:rPr>
            </w:pPr>
          </w:p>
        </w:tc>
        <w:tc>
          <w:tcPr>
            <w:tcW w:w="100" w:type="dxa"/>
            <w:vAlign w:val="bottom"/>
            <w:tcBorders>
              <w:right w:val="single" w:sz="8" w:color="CCEEFF"/>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1"/>
                <w:szCs w:val="11"/>
                <w:color w:val="050505"/>
              </w:rPr>
              <w:t>8.4</w:t>
            </w:r>
          </w:p>
        </w:tc>
        <w:tc>
          <w:tcPr>
            <w:tcW w:w="80" w:type="dxa"/>
            <w:vAlign w:val="bottom"/>
            <w:tcBorders>
              <w:left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160" w:type="dxa"/>
            <w:vAlign w:val="bottom"/>
          </w:tcPr>
          <w:p>
            <w:pPr>
              <w:spacing w:after="0"/>
              <w:rPr>
                <w:sz w:val="10"/>
                <w:szCs w:val="10"/>
                <w:color w:val="auto"/>
              </w:rPr>
            </w:pPr>
          </w:p>
        </w:tc>
        <w:tc>
          <w:tcPr>
            <w:tcW w:w="3700" w:type="dxa"/>
            <w:vAlign w:val="bottom"/>
            <w:gridSpan w:val="2"/>
          </w:tcPr>
          <w:p>
            <w:pPr>
              <w:ind w:left="20"/>
              <w:spacing w:after="0"/>
              <w:rPr>
                <w:sz w:val="20"/>
                <w:szCs w:val="20"/>
                <w:color w:val="auto"/>
              </w:rPr>
            </w:pPr>
            <w:r>
              <w:rPr>
                <w:rFonts w:ascii="Arial" w:cs="Arial" w:eastAsia="Arial" w:hAnsi="Arial"/>
                <w:sz w:val="11"/>
                <w:szCs w:val="11"/>
                <w:color w:val="050505"/>
              </w:rPr>
              <w:t>General and administrative</w:t>
            </w: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gridSpan w:val="3"/>
          </w:tcPr>
          <w:p>
            <w:pPr>
              <w:jc w:val="right"/>
              <w:spacing w:after="0"/>
              <w:rPr>
                <w:sz w:val="20"/>
                <w:szCs w:val="20"/>
                <w:color w:val="auto"/>
              </w:rPr>
            </w:pPr>
            <w:r>
              <w:rPr>
                <w:rFonts w:ascii="Arial" w:cs="Arial" w:eastAsia="Arial" w:hAnsi="Arial"/>
                <w:sz w:val="11"/>
                <w:szCs w:val="11"/>
                <w:color w:val="050505"/>
              </w:rPr>
              <w:t>9.5</w:t>
            </w: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gridSpan w:val="2"/>
          </w:tcPr>
          <w:p>
            <w:pPr>
              <w:jc w:val="right"/>
              <w:spacing w:after="0"/>
              <w:rPr>
                <w:sz w:val="20"/>
                <w:szCs w:val="20"/>
                <w:color w:val="auto"/>
              </w:rPr>
            </w:pPr>
            <w:r>
              <w:rPr>
                <w:rFonts w:ascii="Arial" w:cs="Arial" w:eastAsia="Arial" w:hAnsi="Arial"/>
                <w:sz w:val="11"/>
                <w:szCs w:val="11"/>
                <w:color w:val="050505"/>
              </w:rPr>
              <w:t>6.5</w:t>
            </w: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050505"/>
              </w:rPr>
              <w:t>70.5</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160" w:type="dxa"/>
            <w:vAlign w:val="bottom"/>
          </w:tcPr>
          <w:p>
            <w:pPr>
              <w:spacing w:after="0"/>
              <w:rPr>
                <w:sz w:val="11"/>
                <w:szCs w:val="11"/>
                <w:color w:val="auto"/>
              </w:rPr>
            </w:pPr>
          </w:p>
        </w:tc>
        <w:tc>
          <w:tcPr>
            <w:tcW w:w="3700" w:type="dxa"/>
            <w:vAlign w:val="bottom"/>
            <w:gridSpan w:val="2"/>
            <w:shd w:val="clear" w:color="auto" w:fill="CCEEFF"/>
          </w:tcPr>
          <w:p>
            <w:pPr>
              <w:ind w:left="360"/>
              <w:spacing w:after="0" w:line="124" w:lineRule="exact"/>
              <w:rPr>
                <w:sz w:val="20"/>
                <w:szCs w:val="20"/>
                <w:color w:val="auto"/>
              </w:rPr>
            </w:pPr>
            <w:r>
              <w:rPr>
                <w:rFonts w:ascii="Arial" w:cs="Arial" w:eastAsia="Arial" w:hAnsi="Arial"/>
                <w:sz w:val="11"/>
                <w:szCs w:val="11"/>
                <w:color w:val="050505"/>
              </w:rPr>
              <w:t>Total stock-based compensation expense</w:t>
            </w:r>
          </w:p>
        </w:tc>
        <w:tc>
          <w:tcPr>
            <w:tcW w:w="720" w:type="dxa"/>
            <w:vAlign w:val="bottom"/>
            <w:gridSpan w:val="4"/>
            <w:shd w:val="clear" w:color="auto" w:fill="CCEEFF"/>
          </w:tcPr>
          <w:p>
            <w:pPr>
              <w:jc w:val="right"/>
              <w:ind w:right="80"/>
              <w:spacing w:after="0" w:line="124" w:lineRule="exact"/>
              <w:rPr>
                <w:sz w:val="20"/>
                <w:szCs w:val="20"/>
                <w:color w:val="auto"/>
              </w:rPr>
            </w:pPr>
            <w:r>
              <w:rPr>
                <w:rFonts w:ascii="Arial" w:cs="Arial" w:eastAsia="Arial" w:hAnsi="Arial"/>
                <w:sz w:val="11"/>
                <w:szCs w:val="11"/>
                <w:color w:val="050505"/>
              </w:rPr>
              <w:t>$</w:t>
            </w:r>
          </w:p>
        </w:tc>
        <w:tc>
          <w:tcPr>
            <w:tcW w:w="600" w:type="dxa"/>
            <w:vAlign w:val="bottom"/>
            <w:gridSpan w:val="3"/>
            <w:shd w:val="clear" w:color="auto" w:fill="CCEEFF"/>
          </w:tcPr>
          <w:p>
            <w:pPr>
              <w:jc w:val="right"/>
              <w:spacing w:after="0" w:line="124" w:lineRule="exact"/>
              <w:rPr>
                <w:sz w:val="20"/>
                <w:szCs w:val="20"/>
                <w:color w:val="auto"/>
              </w:rPr>
            </w:pPr>
            <w:r>
              <w:rPr>
                <w:rFonts w:ascii="Arial" w:cs="Arial" w:eastAsia="Arial" w:hAnsi="Arial"/>
                <w:sz w:val="11"/>
                <w:szCs w:val="11"/>
                <w:color w:val="050505"/>
              </w:rPr>
              <w:t>10.3</w:t>
            </w:r>
          </w:p>
        </w:tc>
        <w:tc>
          <w:tcPr>
            <w:tcW w:w="400" w:type="dxa"/>
            <w:vAlign w:val="bottom"/>
            <w:gridSpan w:val="3"/>
            <w:shd w:val="clear" w:color="auto" w:fill="CCEEFF"/>
          </w:tcPr>
          <w:p>
            <w:pPr>
              <w:jc w:val="right"/>
              <w:spacing w:after="0" w:line="124" w:lineRule="exact"/>
              <w:rPr>
                <w:sz w:val="20"/>
                <w:szCs w:val="20"/>
                <w:color w:val="auto"/>
              </w:rPr>
            </w:pPr>
            <w:r>
              <w:rPr>
                <w:rFonts w:ascii="Arial" w:cs="Arial" w:eastAsia="Arial" w:hAnsi="Arial"/>
                <w:sz w:val="11"/>
                <w:szCs w:val="11"/>
                <w:color w:val="050505"/>
              </w:rPr>
              <w:t>$</w:t>
            </w:r>
          </w:p>
        </w:tc>
        <w:tc>
          <w:tcPr>
            <w:tcW w:w="660" w:type="dxa"/>
            <w:vAlign w:val="bottom"/>
            <w:gridSpan w:val="2"/>
            <w:shd w:val="clear" w:color="auto" w:fill="CCEEFF"/>
          </w:tcPr>
          <w:p>
            <w:pPr>
              <w:jc w:val="right"/>
              <w:spacing w:after="0" w:line="124" w:lineRule="exact"/>
              <w:rPr>
                <w:sz w:val="20"/>
                <w:szCs w:val="20"/>
                <w:color w:val="auto"/>
              </w:rPr>
            </w:pPr>
            <w:r>
              <w:rPr>
                <w:rFonts w:ascii="Arial" w:cs="Arial" w:eastAsia="Arial" w:hAnsi="Arial"/>
                <w:sz w:val="11"/>
                <w:szCs w:val="11"/>
                <w:color w:val="050505"/>
              </w:rPr>
              <w:t>8.5</w:t>
            </w:r>
          </w:p>
        </w:tc>
        <w:tc>
          <w:tcPr>
            <w:tcW w:w="240" w:type="dxa"/>
            <w:vAlign w:val="bottom"/>
            <w:shd w:val="clear" w:color="auto" w:fill="CCEEFF"/>
          </w:tcPr>
          <w:p>
            <w:pPr>
              <w:spacing w:after="0"/>
              <w:rPr>
                <w:sz w:val="11"/>
                <w:szCs w:val="11"/>
                <w:color w:val="auto"/>
              </w:rPr>
            </w:pPr>
          </w:p>
        </w:tc>
        <w:tc>
          <w:tcPr>
            <w:tcW w:w="180" w:type="dxa"/>
            <w:vAlign w:val="bottom"/>
            <w:gridSpan w:val="2"/>
            <w:shd w:val="clear" w:color="auto" w:fill="CCEEFF"/>
          </w:tcPr>
          <w:p>
            <w:pPr>
              <w:jc w:val="right"/>
              <w:ind w:right="20"/>
              <w:spacing w:after="0" w:line="124" w:lineRule="exact"/>
              <w:rPr>
                <w:sz w:val="20"/>
                <w:szCs w:val="20"/>
                <w:color w:val="auto"/>
              </w:rPr>
            </w:pPr>
            <w:r>
              <w:rPr>
                <w:rFonts w:ascii="Arial" w:cs="Arial" w:eastAsia="Arial" w:hAnsi="Arial"/>
                <w:sz w:val="11"/>
                <w:szCs w:val="11"/>
                <w:color w:val="050505"/>
              </w:rPr>
              <w:t>$</w:t>
            </w:r>
          </w:p>
        </w:tc>
        <w:tc>
          <w:tcPr>
            <w:tcW w:w="620" w:type="dxa"/>
            <w:vAlign w:val="bottom"/>
            <w:shd w:val="clear" w:color="auto" w:fill="CCEEFF"/>
          </w:tcPr>
          <w:p>
            <w:pPr>
              <w:jc w:val="right"/>
              <w:spacing w:after="0" w:line="124" w:lineRule="exact"/>
              <w:rPr>
                <w:sz w:val="20"/>
                <w:szCs w:val="20"/>
                <w:color w:val="auto"/>
              </w:rPr>
            </w:pPr>
            <w:r>
              <w:rPr>
                <w:rFonts w:ascii="Arial" w:cs="Arial" w:eastAsia="Arial" w:hAnsi="Arial"/>
                <w:sz w:val="11"/>
                <w:szCs w:val="11"/>
                <w:color w:val="050505"/>
              </w:rPr>
              <w:t>89.5</w:t>
            </w:r>
          </w:p>
        </w:tc>
        <w:tc>
          <w:tcPr>
            <w:tcW w:w="80" w:type="dxa"/>
            <w:vAlign w:val="bottom"/>
            <w:tcBorders>
              <w:left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0"/>
        </w:trPr>
        <w:tc>
          <w:tcPr>
            <w:tcW w:w="3860" w:type="dxa"/>
            <w:vAlign w:val="bottom"/>
            <w:gridSpan w:val="3"/>
          </w:tcPr>
          <w:p>
            <w:pPr>
              <w:spacing w:after="0"/>
              <w:rPr>
                <w:sz w:val="20"/>
                <w:szCs w:val="20"/>
                <w:color w:val="auto"/>
              </w:rPr>
            </w:pPr>
            <w:r>
              <w:rPr>
                <w:rFonts w:ascii="Arial" w:cs="Arial" w:eastAsia="Arial" w:hAnsi="Arial"/>
                <w:sz w:val="8"/>
                <w:szCs w:val="8"/>
                <w:color w:val="050505"/>
              </w:rPr>
              <w:t>(2)  Includes depreciation and amortization expense as follows:</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48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16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7"/>
          </w:tcPr>
          <w:p>
            <w:pPr>
              <w:jc w:val="center"/>
              <w:ind w:right="20"/>
              <w:spacing w:after="0"/>
              <w:rPr>
                <w:sz w:val="20"/>
                <w:szCs w:val="20"/>
                <w:color w:val="auto"/>
              </w:rPr>
            </w:pPr>
            <w:r>
              <w:rPr>
                <w:rFonts w:ascii="Arial" w:cs="Arial" w:eastAsia="Arial" w:hAnsi="Arial"/>
                <w:sz w:val="11"/>
                <w:szCs w:val="11"/>
                <w:b w:val="1"/>
                <w:bCs w:val="1"/>
                <w:color w:val="050505"/>
                <w:w w:val="98"/>
              </w:rPr>
              <w:t>Fiscal Year Ended June 30,</w:t>
            </w:r>
          </w:p>
        </w:tc>
        <w:tc>
          <w:tcPr>
            <w:tcW w:w="1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160" w:type="dxa"/>
            <w:vAlign w:val="bottom"/>
          </w:tcPr>
          <w:p>
            <w:pPr>
              <w:spacing w:after="0"/>
              <w:rPr>
                <w:sz w:val="10"/>
                <w:szCs w:val="10"/>
                <w:color w:val="auto"/>
              </w:rPr>
            </w:pPr>
          </w:p>
        </w:tc>
        <w:tc>
          <w:tcPr>
            <w:tcW w:w="1760" w:type="dxa"/>
            <w:vAlign w:val="bottom"/>
          </w:tcPr>
          <w:p>
            <w:pPr>
              <w:spacing w:after="0"/>
              <w:rPr>
                <w:sz w:val="10"/>
                <w:szCs w:val="10"/>
                <w:color w:val="auto"/>
              </w:rPr>
            </w:pPr>
          </w:p>
        </w:tc>
        <w:tc>
          <w:tcPr>
            <w:tcW w:w="19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00" w:type="dxa"/>
            <w:vAlign w:val="bottom"/>
            <w:tcBorders>
              <w:bottom w:val="single" w:sz="8" w:color="auto"/>
            </w:tcBorders>
            <w:gridSpan w:val="3"/>
          </w:tcPr>
          <w:p>
            <w:pPr>
              <w:jc w:val="right"/>
              <w:ind w:right="20"/>
              <w:spacing w:after="0" w:line="115" w:lineRule="exact"/>
              <w:rPr>
                <w:sz w:val="20"/>
                <w:szCs w:val="20"/>
                <w:color w:val="auto"/>
              </w:rPr>
            </w:pPr>
            <w:r>
              <w:rPr>
                <w:rFonts w:ascii="Arial" w:cs="Arial" w:eastAsia="Arial" w:hAnsi="Arial"/>
                <w:sz w:val="11"/>
                <w:szCs w:val="11"/>
                <w:b w:val="1"/>
                <w:bCs w:val="1"/>
                <w:color w:val="050505"/>
              </w:rPr>
              <w:t>2017</w:t>
            </w:r>
          </w:p>
        </w:tc>
        <w:tc>
          <w:tcPr>
            <w:tcW w:w="24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jc w:val="center"/>
              <w:ind w:right="186"/>
              <w:spacing w:after="0" w:line="115" w:lineRule="exact"/>
              <w:rPr>
                <w:sz w:val="20"/>
                <w:szCs w:val="20"/>
                <w:color w:val="auto"/>
              </w:rPr>
            </w:pPr>
            <w:r>
              <w:rPr>
                <w:rFonts w:ascii="Arial" w:cs="Arial" w:eastAsia="Arial" w:hAnsi="Arial"/>
                <w:sz w:val="11"/>
                <w:szCs w:val="11"/>
                <w:b w:val="1"/>
                <w:bCs w:val="1"/>
                <w:color w:val="050505"/>
                <w:w w:val="97"/>
              </w:rPr>
              <w:t>2018</w:t>
            </w:r>
          </w:p>
        </w:tc>
        <w:tc>
          <w:tcPr>
            <w:tcW w:w="18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jc w:val="right"/>
              <w:ind w:right="166"/>
              <w:spacing w:after="0" w:line="115" w:lineRule="exact"/>
              <w:rPr>
                <w:sz w:val="20"/>
                <w:szCs w:val="20"/>
                <w:color w:val="auto"/>
              </w:rPr>
            </w:pPr>
            <w:r>
              <w:rPr>
                <w:rFonts w:ascii="Arial" w:cs="Arial" w:eastAsia="Arial" w:hAnsi="Arial"/>
                <w:sz w:val="11"/>
                <w:szCs w:val="11"/>
                <w:b w:val="1"/>
                <w:bCs w:val="1"/>
                <w:color w:val="050505"/>
              </w:rPr>
              <w:t>2019</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160" w:type="dxa"/>
            <w:vAlign w:val="bottom"/>
          </w:tcPr>
          <w:p>
            <w:pPr>
              <w:spacing w:after="0"/>
              <w:rPr>
                <w:sz w:val="10"/>
                <w:szCs w:val="10"/>
                <w:color w:val="auto"/>
              </w:rPr>
            </w:pPr>
          </w:p>
        </w:tc>
        <w:tc>
          <w:tcPr>
            <w:tcW w:w="1760" w:type="dxa"/>
            <w:vAlign w:val="bottom"/>
          </w:tcPr>
          <w:p>
            <w:pPr>
              <w:spacing w:after="0"/>
              <w:rPr>
                <w:sz w:val="10"/>
                <w:szCs w:val="10"/>
                <w:color w:val="auto"/>
              </w:rPr>
            </w:pPr>
          </w:p>
        </w:tc>
        <w:tc>
          <w:tcPr>
            <w:tcW w:w="19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00" w:type="dxa"/>
            <w:vAlign w:val="bottom"/>
            <w:gridSpan w:val="5"/>
          </w:tcPr>
          <w:p>
            <w:pPr>
              <w:jc w:val="center"/>
              <w:ind w:right="460"/>
              <w:spacing w:after="0" w:line="115" w:lineRule="exact"/>
              <w:rPr>
                <w:sz w:val="20"/>
                <w:szCs w:val="20"/>
                <w:color w:val="auto"/>
              </w:rPr>
            </w:pPr>
            <w:r>
              <w:rPr>
                <w:rFonts w:ascii="Arial" w:cs="Arial" w:eastAsia="Arial" w:hAnsi="Arial"/>
                <w:sz w:val="11"/>
                <w:szCs w:val="11"/>
                <w:b w:val="1"/>
                <w:bCs w:val="1"/>
                <w:color w:val="050505"/>
                <w:w w:val="97"/>
              </w:rPr>
              <w:t>(in millions)</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3860" w:type="dxa"/>
            <w:vAlign w:val="bottom"/>
            <w:gridSpan w:val="3"/>
            <w:shd w:val="clear" w:color="auto" w:fill="CCEEFF"/>
          </w:tcPr>
          <w:p>
            <w:pPr>
              <w:ind w:left="20"/>
              <w:spacing w:after="0"/>
              <w:rPr>
                <w:sz w:val="20"/>
                <w:szCs w:val="20"/>
                <w:color w:val="auto"/>
              </w:rPr>
            </w:pPr>
            <w:r>
              <w:rPr>
                <w:rFonts w:ascii="Arial" w:cs="Arial" w:eastAsia="Arial" w:hAnsi="Arial"/>
                <w:sz w:val="11"/>
                <w:szCs w:val="11"/>
                <w:color w:val="050505"/>
              </w:rPr>
              <w:t>Cost of revenue:</w:t>
            </w:r>
          </w:p>
        </w:tc>
        <w:tc>
          <w:tcPr>
            <w:tcW w:w="2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200" w:type="dxa"/>
            <w:vAlign w:val="bottom"/>
            <w:tcBorders>
              <w:right w:val="single" w:sz="8" w:color="CCEEFF"/>
            </w:tcBorders>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80" w:type="dxa"/>
            <w:vAlign w:val="bottom"/>
            <w:tcBorders>
              <w:left w:val="single" w:sz="8" w:color="CCEEFF"/>
            </w:tcBorders>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00" w:type="dxa"/>
            <w:vAlign w:val="bottom"/>
            <w:tcBorders>
              <w:right w:val="single" w:sz="8" w:color="CCEEFF"/>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tcBorders>
              <w:left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3860" w:type="dxa"/>
            <w:vAlign w:val="bottom"/>
            <w:gridSpan w:val="3"/>
          </w:tcPr>
          <w:p>
            <w:pPr>
              <w:ind w:left="100"/>
              <w:spacing w:after="0"/>
              <w:rPr>
                <w:sz w:val="20"/>
                <w:szCs w:val="20"/>
                <w:color w:val="auto"/>
              </w:rPr>
            </w:pPr>
            <w:r>
              <w:rPr>
                <w:rFonts w:ascii="Arial" w:cs="Arial" w:eastAsia="Arial" w:hAnsi="Arial"/>
                <w:sz w:val="11"/>
                <w:szCs w:val="11"/>
                <w:color w:val="050505"/>
              </w:rPr>
              <w:t>Connected Fitness Products</w:t>
            </w:r>
          </w:p>
        </w:tc>
        <w:tc>
          <w:tcPr>
            <w:tcW w:w="360" w:type="dxa"/>
            <w:vAlign w:val="bottom"/>
            <w:gridSpan w:val="2"/>
          </w:tcPr>
          <w:p>
            <w:pPr>
              <w:jc w:val="right"/>
              <w:ind w:right="26"/>
              <w:spacing w:after="0"/>
              <w:rPr>
                <w:sz w:val="20"/>
                <w:szCs w:val="20"/>
                <w:color w:val="auto"/>
              </w:rPr>
            </w:pPr>
            <w:r>
              <w:rPr>
                <w:rFonts w:ascii="Arial" w:cs="Arial" w:eastAsia="Arial" w:hAnsi="Arial"/>
                <w:sz w:val="11"/>
                <w:szCs w:val="11"/>
                <w:color w:val="050505"/>
              </w:rPr>
              <w:t>$</w:t>
            </w: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40" w:type="dxa"/>
            <w:vAlign w:val="bottom"/>
          </w:tcPr>
          <w:p>
            <w:pPr>
              <w:jc w:val="right"/>
              <w:spacing w:after="0"/>
              <w:rPr>
                <w:sz w:val="20"/>
                <w:szCs w:val="20"/>
                <w:color w:val="auto"/>
              </w:rPr>
            </w:pPr>
            <w:r>
              <w:rPr>
                <w:rFonts w:ascii="Arial" w:cs="Arial" w:eastAsia="Arial" w:hAnsi="Arial"/>
                <w:sz w:val="11"/>
                <w:szCs w:val="11"/>
                <w:color w:val="050505"/>
              </w:rPr>
              <w:t>0.4</w:t>
            </w:r>
          </w:p>
        </w:tc>
        <w:tc>
          <w:tcPr>
            <w:tcW w:w="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40" w:type="dxa"/>
            <w:vAlign w:val="bottom"/>
            <w:gridSpan w:val="2"/>
          </w:tcPr>
          <w:p>
            <w:pPr>
              <w:jc w:val="right"/>
              <w:ind w:right="66"/>
              <w:spacing w:after="0"/>
              <w:rPr>
                <w:sz w:val="20"/>
                <w:szCs w:val="20"/>
                <w:color w:val="auto"/>
              </w:rPr>
            </w:pPr>
            <w:r>
              <w:rPr>
                <w:rFonts w:ascii="Arial" w:cs="Arial" w:eastAsia="Arial" w:hAnsi="Arial"/>
                <w:sz w:val="11"/>
                <w:szCs w:val="11"/>
                <w:color w:val="050505"/>
              </w:rPr>
              <w:t>$</w:t>
            </w:r>
          </w:p>
        </w:tc>
        <w:tc>
          <w:tcPr>
            <w:tcW w:w="60" w:type="dxa"/>
            <w:vAlign w:val="bottom"/>
          </w:tcPr>
          <w:p>
            <w:pPr>
              <w:spacing w:after="0"/>
              <w:rPr>
                <w:sz w:val="10"/>
                <w:szCs w:val="10"/>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050505"/>
              </w:rPr>
              <w:t>0.3</w:t>
            </w:r>
          </w:p>
        </w:tc>
        <w:tc>
          <w:tcPr>
            <w:tcW w:w="1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80" w:type="dxa"/>
            <w:vAlign w:val="bottom"/>
            <w:gridSpan w:val="2"/>
          </w:tcPr>
          <w:p>
            <w:pPr>
              <w:jc w:val="right"/>
              <w:ind w:right="20"/>
              <w:spacing w:after="0"/>
              <w:rPr>
                <w:sz w:val="20"/>
                <w:szCs w:val="20"/>
                <w:color w:val="auto"/>
              </w:rPr>
            </w:pPr>
            <w:r>
              <w:rPr>
                <w:rFonts w:ascii="Arial" w:cs="Arial" w:eastAsia="Arial" w:hAnsi="Arial"/>
                <w:sz w:val="11"/>
                <w:szCs w:val="11"/>
                <w:color w:val="050505"/>
              </w:rPr>
              <w:t>$</w:t>
            </w:r>
          </w:p>
        </w:tc>
        <w:tc>
          <w:tcPr>
            <w:tcW w:w="620" w:type="dxa"/>
            <w:vAlign w:val="bottom"/>
          </w:tcPr>
          <w:p>
            <w:pPr>
              <w:jc w:val="right"/>
              <w:spacing w:after="0"/>
              <w:rPr>
                <w:sz w:val="20"/>
                <w:szCs w:val="20"/>
                <w:color w:val="auto"/>
              </w:rPr>
            </w:pPr>
            <w:r>
              <w:rPr>
                <w:rFonts w:ascii="Arial" w:cs="Arial" w:eastAsia="Arial" w:hAnsi="Arial"/>
                <w:sz w:val="11"/>
                <w:szCs w:val="11"/>
                <w:color w:val="050505"/>
              </w:rPr>
              <w:t>1.2</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3860" w:type="dxa"/>
            <w:vAlign w:val="bottom"/>
            <w:gridSpan w:val="3"/>
            <w:shd w:val="clear" w:color="auto" w:fill="CCEEFF"/>
          </w:tcPr>
          <w:p>
            <w:pPr>
              <w:ind w:left="100"/>
              <w:spacing w:after="0"/>
              <w:rPr>
                <w:sz w:val="20"/>
                <w:szCs w:val="20"/>
                <w:color w:val="auto"/>
              </w:rPr>
            </w:pPr>
            <w:r>
              <w:rPr>
                <w:rFonts w:ascii="Arial" w:cs="Arial" w:eastAsia="Arial" w:hAnsi="Arial"/>
                <w:sz w:val="11"/>
                <w:szCs w:val="11"/>
                <w:color w:val="050505"/>
              </w:rPr>
              <w:t>Subscription</w:t>
            </w:r>
          </w:p>
        </w:tc>
        <w:tc>
          <w:tcPr>
            <w:tcW w:w="2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1"/>
                <w:szCs w:val="11"/>
                <w:color w:val="050505"/>
              </w:rPr>
              <w:t>1.2</w:t>
            </w:r>
          </w:p>
        </w:tc>
        <w:tc>
          <w:tcPr>
            <w:tcW w:w="1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200" w:type="dxa"/>
            <w:vAlign w:val="bottom"/>
            <w:tcBorders>
              <w:right w:val="single" w:sz="8" w:color="CCEEFF"/>
            </w:tcBorders>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1"/>
                <w:szCs w:val="11"/>
                <w:color w:val="050505"/>
              </w:rPr>
              <w:t>2.8</w:t>
            </w:r>
          </w:p>
        </w:tc>
        <w:tc>
          <w:tcPr>
            <w:tcW w:w="180" w:type="dxa"/>
            <w:vAlign w:val="bottom"/>
            <w:tcBorders>
              <w:left w:val="single" w:sz="8" w:color="CCEEFF"/>
            </w:tcBorders>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00" w:type="dxa"/>
            <w:vAlign w:val="bottom"/>
            <w:tcBorders>
              <w:right w:val="single" w:sz="8" w:color="CCEEFF"/>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1"/>
                <w:szCs w:val="11"/>
                <w:color w:val="050505"/>
              </w:rPr>
              <w:t>11.3</w:t>
            </w:r>
          </w:p>
        </w:tc>
        <w:tc>
          <w:tcPr>
            <w:tcW w:w="80" w:type="dxa"/>
            <w:vAlign w:val="bottom"/>
            <w:tcBorders>
              <w:left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3860" w:type="dxa"/>
            <w:vAlign w:val="bottom"/>
            <w:gridSpan w:val="3"/>
          </w:tcPr>
          <w:p>
            <w:pPr>
              <w:ind w:left="100"/>
              <w:spacing w:after="0"/>
              <w:rPr>
                <w:sz w:val="20"/>
                <w:szCs w:val="20"/>
                <w:color w:val="auto"/>
              </w:rPr>
            </w:pPr>
            <w:r>
              <w:rPr>
                <w:rFonts w:ascii="Arial" w:cs="Arial" w:eastAsia="Arial" w:hAnsi="Arial"/>
                <w:sz w:val="11"/>
                <w:szCs w:val="11"/>
                <w:color w:val="050505"/>
              </w:rPr>
              <w:t>Other</w:t>
            </w: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gridSpan w:val="3"/>
          </w:tcPr>
          <w:p>
            <w:pPr>
              <w:jc w:val="right"/>
              <w:ind w:right="326"/>
              <w:spacing w:after="0"/>
              <w:rPr>
                <w:sz w:val="20"/>
                <w:szCs w:val="20"/>
                <w:color w:val="auto"/>
              </w:rPr>
            </w:pPr>
            <w:r>
              <w:rPr>
                <w:rFonts w:ascii="Arial" w:cs="Arial" w:eastAsia="Arial" w:hAnsi="Arial"/>
                <w:sz w:val="11"/>
                <w:szCs w:val="11"/>
                <w:color w:val="050505"/>
              </w:rPr>
              <w:t>—</w:t>
            </w: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00" w:type="dxa"/>
            <w:vAlign w:val="bottom"/>
            <w:gridSpan w:val="3"/>
          </w:tcPr>
          <w:p>
            <w:pPr>
              <w:jc w:val="right"/>
              <w:ind w:right="420"/>
              <w:spacing w:after="0"/>
              <w:rPr>
                <w:sz w:val="20"/>
                <w:szCs w:val="20"/>
                <w:color w:val="auto"/>
              </w:rPr>
            </w:pPr>
            <w:r>
              <w:rPr>
                <w:rFonts w:ascii="Arial" w:cs="Arial" w:eastAsia="Arial" w:hAnsi="Arial"/>
                <w:sz w:val="11"/>
                <w:szCs w:val="11"/>
                <w:color w:val="050505"/>
              </w:rPr>
              <w:t>—</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1"/>
                <w:szCs w:val="11"/>
                <w:color w:val="050505"/>
              </w:rPr>
              <w:t>—</w:t>
            </w:r>
          </w:p>
        </w:tc>
        <w:tc>
          <w:tcPr>
            <w:tcW w:w="0" w:type="dxa"/>
            <w:vAlign w:val="bottom"/>
          </w:tcPr>
          <w:p>
            <w:pPr>
              <w:spacing w:after="0"/>
              <w:rPr>
                <w:sz w:val="1"/>
                <w:szCs w:val="1"/>
                <w:color w:val="auto"/>
              </w:rPr>
            </w:pPr>
          </w:p>
        </w:tc>
      </w:tr>
      <w:tr>
        <w:trPr>
          <w:trHeight w:val="124"/>
        </w:trPr>
        <w:tc>
          <w:tcPr>
            <w:tcW w:w="160" w:type="dxa"/>
            <w:vAlign w:val="bottom"/>
            <w:shd w:val="clear" w:color="auto" w:fill="CCEEFF"/>
          </w:tcPr>
          <w:p>
            <w:pPr>
              <w:spacing w:after="0"/>
              <w:rPr>
                <w:sz w:val="10"/>
                <w:szCs w:val="10"/>
                <w:color w:val="auto"/>
              </w:rPr>
            </w:pPr>
          </w:p>
        </w:tc>
        <w:tc>
          <w:tcPr>
            <w:tcW w:w="3700" w:type="dxa"/>
            <w:vAlign w:val="bottom"/>
            <w:gridSpan w:val="2"/>
            <w:shd w:val="clear" w:color="auto" w:fill="CCEEFF"/>
          </w:tcPr>
          <w:p>
            <w:pPr>
              <w:ind w:left="40"/>
              <w:spacing w:after="0" w:line="124" w:lineRule="exact"/>
              <w:rPr>
                <w:sz w:val="20"/>
                <w:szCs w:val="20"/>
                <w:color w:val="auto"/>
              </w:rPr>
            </w:pPr>
            <w:r>
              <w:rPr>
                <w:rFonts w:ascii="Arial" w:cs="Arial" w:eastAsia="Arial" w:hAnsi="Arial"/>
                <w:sz w:val="11"/>
                <w:szCs w:val="11"/>
                <w:color w:val="050505"/>
              </w:rPr>
              <w:t>Total cost of revenue</w:t>
            </w:r>
          </w:p>
        </w:tc>
        <w:tc>
          <w:tcPr>
            <w:tcW w:w="220" w:type="dxa"/>
            <w:vAlign w:val="bottom"/>
            <w:shd w:val="clear" w:color="auto" w:fill="CCEEFF"/>
          </w:tcPr>
          <w:p>
            <w:pPr>
              <w:spacing w:after="0"/>
              <w:rPr>
                <w:sz w:val="10"/>
                <w:szCs w:val="10"/>
                <w:color w:val="auto"/>
              </w:rPr>
            </w:pPr>
          </w:p>
        </w:tc>
        <w:tc>
          <w:tcPr>
            <w:tcW w:w="140" w:type="dxa"/>
            <w:vAlign w:val="bottom"/>
            <w:tcBorders>
              <w:top w:val="single" w:sz="8" w:color="auto"/>
              <w:bottom w:val="single" w:sz="8" w:color="auto"/>
            </w:tcBorders>
            <w:shd w:val="clear" w:color="auto" w:fill="CCEEFF"/>
          </w:tcPr>
          <w:p>
            <w:pPr>
              <w:spacing w:after="0"/>
              <w:rPr>
                <w:sz w:val="10"/>
                <w:szCs w:val="10"/>
                <w:color w:val="auto"/>
              </w:rPr>
            </w:pPr>
          </w:p>
        </w:tc>
        <w:tc>
          <w:tcPr>
            <w:tcW w:w="220" w:type="dxa"/>
            <w:vAlign w:val="bottom"/>
            <w:tcBorders>
              <w:top w:val="single" w:sz="8" w:color="auto"/>
              <w:bottom w:val="single" w:sz="8" w:color="auto"/>
            </w:tcBorders>
            <w:shd w:val="clear" w:color="auto" w:fill="CCEEFF"/>
          </w:tcPr>
          <w:p>
            <w:pPr>
              <w:spacing w:after="0"/>
              <w:rPr>
                <w:sz w:val="10"/>
                <w:szCs w:val="10"/>
                <w:color w:val="auto"/>
              </w:rPr>
            </w:pPr>
          </w:p>
        </w:tc>
        <w:tc>
          <w:tcPr>
            <w:tcW w:w="140" w:type="dxa"/>
            <w:vAlign w:val="bottom"/>
            <w:tcBorders>
              <w:top w:val="single" w:sz="8" w:color="auto"/>
              <w:bottom w:val="single" w:sz="8" w:color="auto"/>
            </w:tcBorders>
            <w:shd w:val="clear" w:color="auto" w:fill="CCEEFF"/>
          </w:tcPr>
          <w:p>
            <w:pPr>
              <w:spacing w:after="0"/>
              <w:rPr>
                <w:sz w:val="10"/>
                <w:szCs w:val="10"/>
                <w:color w:val="auto"/>
              </w:rPr>
            </w:pPr>
          </w:p>
        </w:tc>
        <w:tc>
          <w:tcPr>
            <w:tcW w:w="240" w:type="dxa"/>
            <w:vAlign w:val="bottom"/>
            <w:tcBorders>
              <w:top w:val="single" w:sz="8" w:color="auto"/>
              <w:bottom w:val="single" w:sz="8" w:color="auto"/>
            </w:tcBorders>
            <w:shd w:val="clear" w:color="auto" w:fill="CCEEFF"/>
          </w:tcPr>
          <w:p>
            <w:pPr>
              <w:jc w:val="right"/>
              <w:spacing w:after="0" w:line="124" w:lineRule="exact"/>
              <w:rPr>
                <w:sz w:val="20"/>
                <w:szCs w:val="20"/>
                <w:color w:val="auto"/>
              </w:rPr>
            </w:pPr>
            <w:r>
              <w:rPr>
                <w:rFonts w:ascii="Arial" w:cs="Arial" w:eastAsia="Arial" w:hAnsi="Arial"/>
                <w:sz w:val="11"/>
                <w:szCs w:val="11"/>
                <w:color w:val="050505"/>
              </w:rPr>
              <w:t>1.6</w:t>
            </w:r>
          </w:p>
        </w:tc>
        <w:tc>
          <w:tcPr>
            <w:tcW w:w="1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200" w:type="dxa"/>
            <w:vAlign w:val="bottom"/>
            <w:tcBorders>
              <w:right w:val="single" w:sz="8" w:color="CCEEFF"/>
            </w:tcBorders>
            <w:shd w:val="clear" w:color="auto" w:fill="CCEEFF"/>
          </w:tcPr>
          <w:p>
            <w:pPr>
              <w:spacing w:after="0"/>
              <w:rPr>
                <w:sz w:val="10"/>
                <w:szCs w:val="10"/>
                <w:color w:val="auto"/>
              </w:rPr>
            </w:pPr>
          </w:p>
        </w:tc>
        <w:tc>
          <w:tcPr>
            <w:tcW w:w="140" w:type="dxa"/>
            <w:vAlign w:val="bottom"/>
            <w:tcBorders>
              <w:top w:val="single" w:sz="8" w:color="auto"/>
              <w:bottom w:val="single" w:sz="8" w:color="auto"/>
            </w:tcBorders>
            <w:shd w:val="clear" w:color="auto" w:fill="CCEEFF"/>
          </w:tcPr>
          <w:p>
            <w:pPr>
              <w:spacing w:after="0"/>
              <w:rPr>
                <w:sz w:val="10"/>
                <w:szCs w:val="10"/>
                <w:color w:val="auto"/>
              </w:rPr>
            </w:pPr>
          </w:p>
        </w:tc>
        <w:tc>
          <w:tcPr>
            <w:tcW w:w="60" w:type="dxa"/>
            <w:vAlign w:val="bottom"/>
            <w:tcBorders>
              <w:top w:val="single" w:sz="8" w:color="auto"/>
              <w:bottom w:val="single" w:sz="8" w:color="auto"/>
            </w:tcBorders>
            <w:shd w:val="clear" w:color="auto" w:fill="CCEEFF"/>
          </w:tcPr>
          <w:p>
            <w:pPr>
              <w:spacing w:after="0"/>
              <w:rPr>
                <w:sz w:val="10"/>
                <w:szCs w:val="10"/>
                <w:color w:val="auto"/>
              </w:rPr>
            </w:pPr>
          </w:p>
        </w:tc>
        <w:tc>
          <w:tcPr>
            <w:tcW w:w="480" w:type="dxa"/>
            <w:vAlign w:val="bottom"/>
            <w:tcBorders>
              <w:top w:val="single" w:sz="8" w:color="auto"/>
              <w:bottom w:val="single" w:sz="8" w:color="auto"/>
            </w:tcBorders>
            <w:shd w:val="clear" w:color="auto" w:fill="CCEEFF"/>
          </w:tcPr>
          <w:p>
            <w:pPr>
              <w:jc w:val="right"/>
              <w:spacing w:after="0" w:line="124" w:lineRule="exact"/>
              <w:rPr>
                <w:sz w:val="20"/>
                <w:szCs w:val="20"/>
                <w:color w:val="auto"/>
              </w:rPr>
            </w:pPr>
            <w:r>
              <w:rPr>
                <w:rFonts w:ascii="Arial" w:cs="Arial" w:eastAsia="Arial" w:hAnsi="Arial"/>
                <w:sz w:val="11"/>
                <w:szCs w:val="11"/>
                <w:color w:val="050505"/>
              </w:rPr>
              <w:t>3.1</w:t>
            </w:r>
          </w:p>
        </w:tc>
        <w:tc>
          <w:tcPr>
            <w:tcW w:w="180" w:type="dxa"/>
            <w:vAlign w:val="bottom"/>
            <w:tcBorders>
              <w:left w:val="single" w:sz="8" w:color="CCEEFF"/>
            </w:tcBorders>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00" w:type="dxa"/>
            <w:vAlign w:val="bottom"/>
            <w:tcBorders>
              <w:right w:val="single" w:sz="8" w:color="CCEEFF"/>
            </w:tcBorders>
            <w:shd w:val="clear" w:color="auto" w:fill="CCEEFF"/>
          </w:tcPr>
          <w:p>
            <w:pPr>
              <w:spacing w:after="0"/>
              <w:rPr>
                <w:sz w:val="10"/>
                <w:szCs w:val="10"/>
                <w:color w:val="auto"/>
              </w:rPr>
            </w:pPr>
          </w:p>
        </w:tc>
        <w:tc>
          <w:tcPr>
            <w:tcW w:w="80" w:type="dxa"/>
            <w:vAlign w:val="bottom"/>
            <w:tcBorders>
              <w:top w:val="single" w:sz="8" w:color="auto"/>
              <w:bottom w:val="single" w:sz="8" w:color="auto"/>
            </w:tcBorders>
            <w:shd w:val="clear" w:color="auto" w:fill="CCEEFF"/>
          </w:tcPr>
          <w:p>
            <w:pPr>
              <w:spacing w:after="0"/>
              <w:rPr>
                <w:sz w:val="10"/>
                <w:szCs w:val="10"/>
                <w:color w:val="auto"/>
              </w:rPr>
            </w:pPr>
          </w:p>
        </w:tc>
        <w:tc>
          <w:tcPr>
            <w:tcW w:w="620" w:type="dxa"/>
            <w:vAlign w:val="bottom"/>
            <w:tcBorders>
              <w:top w:val="single" w:sz="8" w:color="auto"/>
              <w:bottom w:val="single" w:sz="8" w:color="auto"/>
            </w:tcBorders>
            <w:shd w:val="clear" w:color="auto" w:fill="CCEEFF"/>
          </w:tcPr>
          <w:p>
            <w:pPr>
              <w:jc w:val="right"/>
              <w:spacing w:after="0" w:line="124" w:lineRule="exact"/>
              <w:rPr>
                <w:sz w:val="20"/>
                <w:szCs w:val="20"/>
                <w:color w:val="auto"/>
              </w:rPr>
            </w:pPr>
            <w:r>
              <w:rPr>
                <w:rFonts w:ascii="Arial" w:cs="Arial" w:eastAsia="Arial" w:hAnsi="Arial"/>
                <w:sz w:val="11"/>
                <w:szCs w:val="11"/>
                <w:color w:val="050505"/>
              </w:rPr>
              <w:t>12.6</w:t>
            </w:r>
          </w:p>
        </w:tc>
        <w:tc>
          <w:tcPr>
            <w:tcW w:w="80" w:type="dxa"/>
            <w:vAlign w:val="bottom"/>
            <w:tcBorders>
              <w:left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3860" w:type="dxa"/>
            <w:vAlign w:val="bottom"/>
            <w:gridSpan w:val="3"/>
          </w:tcPr>
          <w:p>
            <w:pPr>
              <w:ind w:left="20"/>
              <w:spacing w:after="0" w:line="124" w:lineRule="exact"/>
              <w:rPr>
                <w:sz w:val="20"/>
                <w:szCs w:val="20"/>
                <w:color w:val="auto"/>
              </w:rPr>
            </w:pPr>
            <w:r>
              <w:rPr>
                <w:rFonts w:ascii="Arial" w:cs="Arial" w:eastAsia="Arial" w:hAnsi="Arial"/>
                <w:sz w:val="11"/>
                <w:szCs w:val="11"/>
                <w:color w:val="050505"/>
              </w:rPr>
              <w:t>Research and development</w:t>
            </w: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gridSpan w:val="3"/>
          </w:tcPr>
          <w:p>
            <w:pPr>
              <w:jc w:val="right"/>
              <w:ind w:right="326"/>
              <w:spacing w:after="0" w:line="124" w:lineRule="exact"/>
              <w:rPr>
                <w:sz w:val="20"/>
                <w:szCs w:val="20"/>
                <w:color w:val="auto"/>
              </w:rPr>
            </w:pPr>
            <w:r>
              <w:rPr>
                <w:rFonts w:ascii="Arial" w:cs="Arial" w:eastAsia="Arial" w:hAnsi="Arial"/>
                <w:sz w:val="11"/>
                <w:szCs w:val="11"/>
                <w:color w:val="050505"/>
              </w:rPr>
              <w:t>—</w:t>
            </w: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00" w:type="dxa"/>
            <w:vAlign w:val="bottom"/>
            <w:gridSpan w:val="3"/>
          </w:tcPr>
          <w:p>
            <w:pPr>
              <w:jc w:val="right"/>
              <w:ind w:right="420"/>
              <w:spacing w:after="0" w:line="124" w:lineRule="exact"/>
              <w:rPr>
                <w:sz w:val="20"/>
                <w:szCs w:val="20"/>
                <w:color w:val="auto"/>
              </w:rPr>
            </w:pPr>
            <w:r>
              <w:rPr>
                <w:rFonts w:ascii="Arial" w:cs="Arial" w:eastAsia="Arial" w:hAnsi="Arial"/>
                <w:sz w:val="11"/>
                <w:szCs w:val="11"/>
                <w:color w:val="050505"/>
              </w:rPr>
              <w:t>—</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gridSpan w:val="2"/>
          </w:tcPr>
          <w:p>
            <w:pPr>
              <w:jc w:val="right"/>
              <w:ind w:right="40"/>
              <w:spacing w:after="0" w:line="124" w:lineRule="exact"/>
              <w:rPr>
                <w:sz w:val="20"/>
                <w:szCs w:val="20"/>
                <w:color w:val="auto"/>
              </w:rPr>
            </w:pPr>
            <w:r>
              <w:rPr>
                <w:rFonts w:ascii="Arial" w:cs="Arial" w:eastAsia="Arial" w:hAnsi="Arial"/>
                <w:sz w:val="11"/>
                <w:szCs w:val="11"/>
                <w:color w:val="050505"/>
              </w:rPr>
              <w:t>—</w:t>
            </w:r>
          </w:p>
        </w:tc>
        <w:tc>
          <w:tcPr>
            <w:tcW w:w="0" w:type="dxa"/>
            <w:vAlign w:val="bottom"/>
          </w:tcPr>
          <w:p>
            <w:pPr>
              <w:spacing w:after="0"/>
              <w:rPr>
                <w:sz w:val="1"/>
                <w:szCs w:val="1"/>
                <w:color w:val="auto"/>
              </w:rPr>
            </w:pPr>
          </w:p>
        </w:tc>
      </w:tr>
      <w:tr>
        <w:trPr>
          <w:trHeight w:val="126"/>
        </w:trPr>
        <w:tc>
          <w:tcPr>
            <w:tcW w:w="3860" w:type="dxa"/>
            <w:vAlign w:val="bottom"/>
            <w:gridSpan w:val="3"/>
            <w:shd w:val="clear" w:color="auto" w:fill="CCEEFF"/>
          </w:tcPr>
          <w:p>
            <w:pPr>
              <w:ind w:left="20"/>
              <w:spacing w:after="0"/>
              <w:rPr>
                <w:sz w:val="20"/>
                <w:szCs w:val="20"/>
                <w:color w:val="auto"/>
              </w:rPr>
            </w:pPr>
            <w:r>
              <w:rPr>
                <w:rFonts w:ascii="Arial" w:cs="Arial" w:eastAsia="Arial" w:hAnsi="Arial"/>
                <w:sz w:val="11"/>
                <w:szCs w:val="11"/>
                <w:color w:val="050505"/>
              </w:rPr>
              <w:t>Sales and marketing</w:t>
            </w:r>
          </w:p>
        </w:tc>
        <w:tc>
          <w:tcPr>
            <w:tcW w:w="2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1"/>
                <w:szCs w:val="11"/>
                <w:color w:val="050505"/>
              </w:rPr>
              <w:t>1.0</w:t>
            </w:r>
          </w:p>
        </w:tc>
        <w:tc>
          <w:tcPr>
            <w:tcW w:w="1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200" w:type="dxa"/>
            <w:vAlign w:val="bottom"/>
            <w:tcBorders>
              <w:right w:val="single" w:sz="8" w:color="CCEEFF"/>
            </w:tcBorders>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1"/>
                <w:szCs w:val="11"/>
                <w:color w:val="050505"/>
              </w:rPr>
              <w:t>1.7</w:t>
            </w:r>
          </w:p>
        </w:tc>
        <w:tc>
          <w:tcPr>
            <w:tcW w:w="180" w:type="dxa"/>
            <w:vAlign w:val="bottom"/>
            <w:tcBorders>
              <w:left w:val="single" w:sz="8" w:color="CCEEFF"/>
            </w:tcBorders>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00" w:type="dxa"/>
            <w:vAlign w:val="bottom"/>
            <w:tcBorders>
              <w:right w:val="single" w:sz="8" w:color="CCEEFF"/>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1"/>
                <w:szCs w:val="11"/>
                <w:color w:val="050505"/>
              </w:rPr>
              <w:t>4.0</w:t>
            </w:r>
          </w:p>
        </w:tc>
        <w:tc>
          <w:tcPr>
            <w:tcW w:w="80" w:type="dxa"/>
            <w:vAlign w:val="bottom"/>
            <w:tcBorders>
              <w:left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3860" w:type="dxa"/>
            <w:vAlign w:val="bottom"/>
            <w:gridSpan w:val="3"/>
          </w:tcPr>
          <w:p>
            <w:pPr>
              <w:ind w:left="20"/>
              <w:spacing w:after="0"/>
              <w:rPr>
                <w:sz w:val="20"/>
                <w:szCs w:val="20"/>
                <w:color w:val="auto"/>
              </w:rPr>
            </w:pPr>
            <w:r>
              <w:rPr>
                <w:rFonts w:ascii="Arial" w:cs="Arial" w:eastAsia="Arial" w:hAnsi="Arial"/>
                <w:sz w:val="11"/>
                <w:szCs w:val="11"/>
                <w:color w:val="050505"/>
              </w:rPr>
              <w:t>General and administrative</w:t>
            </w:r>
          </w:p>
        </w:tc>
        <w:tc>
          <w:tcPr>
            <w:tcW w:w="22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050505"/>
              </w:rPr>
              <w:t>1.1</w:t>
            </w:r>
          </w:p>
        </w:tc>
        <w:tc>
          <w:tcPr>
            <w:tcW w:w="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050505"/>
              </w:rPr>
              <w:t>1.8</w:t>
            </w:r>
          </w:p>
        </w:tc>
        <w:tc>
          <w:tcPr>
            <w:tcW w:w="1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050505"/>
              </w:rPr>
              <w:t>5.2</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160" w:type="dxa"/>
            <w:vAlign w:val="bottom"/>
            <w:shd w:val="clear" w:color="auto" w:fill="CCEEFF"/>
          </w:tcPr>
          <w:p>
            <w:pPr>
              <w:spacing w:after="0"/>
              <w:rPr>
                <w:sz w:val="10"/>
                <w:szCs w:val="10"/>
                <w:color w:val="auto"/>
              </w:rPr>
            </w:pPr>
          </w:p>
        </w:tc>
        <w:tc>
          <w:tcPr>
            <w:tcW w:w="3700" w:type="dxa"/>
            <w:vAlign w:val="bottom"/>
            <w:gridSpan w:val="2"/>
            <w:shd w:val="clear" w:color="auto" w:fill="CCEEFF"/>
          </w:tcPr>
          <w:p>
            <w:pPr>
              <w:ind w:left="200"/>
              <w:spacing w:after="0" w:line="124" w:lineRule="exact"/>
              <w:rPr>
                <w:sz w:val="20"/>
                <w:szCs w:val="20"/>
                <w:color w:val="auto"/>
              </w:rPr>
            </w:pPr>
            <w:r>
              <w:rPr>
                <w:rFonts w:ascii="Arial" w:cs="Arial" w:eastAsia="Arial" w:hAnsi="Arial"/>
                <w:sz w:val="11"/>
                <w:szCs w:val="11"/>
                <w:color w:val="050505"/>
              </w:rPr>
              <w:t>Total depreciation and amortization expense</w:t>
            </w:r>
          </w:p>
        </w:tc>
        <w:tc>
          <w:tcPr>
            <w:tcW w:w="360" w:type="dxa"/>
            <w:vAlign w:val="bottom"/>
            <w:gridSpan w:val="2"/>
            <w:shd w:val="clear" w:color="auto" w:fill="CCEEFF"/>
          </w:tcPr>
          <w:p>
            <w:pPr>
              <w:jc w:val="right"/>
              <w:ind w:right="26"/>
              <w:spacing w:after="0" w:line="124" w:lineRule="exact"/>
              <w:rPr>
                <w:sz w:val="20"/>
                <w:szCs w:val="20"/>
                <w:color w:val="auto"/>
              </w:rPr>
            </w:pPr>
            <w:r>
              <w:rPr>
                <w:rFonts w:ascii="Arial" w:cs="Arial" w:eastAsia="Arial" w:hAnsi="Arial"/>
                <w:sz w:val="11"/>
                <w:szCs w:val="11"/>
                <w:color w:val="050505"/>
              </w:rPr>
              <w:t>$</w:t>
            </w:r>
          </w:p>
        </w:tc>
        <w:tc>
          <w:tcPr>
            <w:tcW w:w="2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40" w:type="dxa"/>
            <w:vAlign w:val="bottom"/>
            <w:shd w:val="clear" w:color="auto" w:fill="CCEEFF"/>
          </w:tcPr>
          <w:p>
            <w:pPr>
              <w:jc w:val="right"/>
              <w:spacing w:after="0" w:line="124" w:lineRule="exact"/>
              <w:rPr>
                <w:sz w:val="20"/>
                <w:szCs w:val="20"/>
                <w:color w:val="auto"/>
              </w:rPr>
            </w:pPr>
            <w:r>
              <w:rPr>
                <w:rFonts w:ascii="Arial" w:cs="Arial" w:eastAsia="Arial" w:hAnsi="Arial"/>
                <w:sz w:val="11"/>
                <w:szCs w:val="11"/>
                <w:color w:val="050505"/>
              </w:rPr>
              <w:t>3.7</w:t>
            </w:r>
          </w:p>
        </w:tc>
        <w:tc>
          <w:tcPr>
            <w:tcW w:w="1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340" w:type="dxa"/>
            <w:vAlign w:val="bottom"/>
            <w:gridSpan w:val="2"/>
            <w:shd w:val="clear" w:color="auto" w:fill="CCEEFF"/>
          </w:tcPr>
          <w:p>
            <w:pPr>
              <w:jc w:val="right"/>
              <w:ind w:right="66"/>
              <w:spacing w:after="0" w:line="124" w:lineRule="exact"/>
              <w:rPr>
                <w:sz w:val="20"/>
                <w:szCs w:val="20"/>
                <w:color w:val="auto"/>
              </w:rPr>
            </w:pPr>
            <w:r>
              <w:rPr>
                <w:rFonts w:ascii="Arial" w:cs="Arial" w:eastAsia="Arial" w:hAnsi="Arial"/>
                <w:sz w:val="11"/>
                <w:szCs w:val="11"/>
                <w:color w:val="050505"/>
              </w:rPr>
              <w:t>$</w:t>
            </w:r>
          </w:p>
        </w:tc>
        <w:tc>
          <w:tcPr>
            <w:tcW w:w="60" w:type="dxa"/>
            <w:vAlign w:val="bottom"/>
            <w:shd w:val="clear" w:color="auto" w:fill="CCEEFF"/>
          </w:tcPr>
          <w:p>
            <w:pPr>
              <w:spacing w:after="0"/>
              <w:rPr>
                <w:sz w:val="10"/>
                <w:szCs w:val="10"/>
                <w:color w:val="auto"/>
              </w:rPr>
            </w:pPr>
          </w:p>
        </w:tc>
        <w:tc>
          <w:tcPr>
            <w:tcW w:w="480" w:type="dxa"/>
            <w:vAlign w:val="bottom"/>
            <w:shd w:val="clear" w:color="auto" w:fill="CCEEFF"/>
          </w:tcPr>
          <w:p>
            <w:pPr>
              <w:jc w:val="right"/>
              <w:spacing w:after="0" w:line="124" w:lineRule="exact"/>
              <w:rPr>
                <w:sz w:val="20"/>
                <w:szCs w:val="20"/>
                <w:color w:val="auto"/>
              </w:rPr>
            </w:pPr>
            <w:r>
              <w:rPr>
                <w:rFonts w:ascii="Arial" w:cs="Arial" w:eastAsia="Arial" w:hAnsi="Arial"/>
                <w:sz w:val="11"/>
                <w:szCs w:val="11"/>
                <w:color w:val="050505"/>
              </w:rPr>
              <w:t>6.6</w:t>
            </w:r>
          </w:p>
        </w:tc>
        <w:tc>
          <w:tcPr>
            <w:tcW w:w="180" w:type="dxa"/>
            <w:vAlign w:val="bottom"/>
            <w:tcBorders>
              <w:left w:val="single" w:sz="8" w:color="CCEEFF"/>
            </w:tcBorders>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80" w:type="dxa"/>
            <w:vAlign w:val="bottom"/>
            <w:gridSpan w:val="2"/>
            <w:shd w:val="clear" w:color="auto" w:fill="CCEEFF"/>
          </w:tcPr>
          <w:p>
            <w:pPr>
              <w:jc w:val="right"/>
              <w:ind w:right="20"/>
              <w:spacing w:after="0" w:line="124" w:lineRule="exact"/>
              <w:rPr>
                <w:sz w:val="20"/>
                <w:szCs w:val="20"/>
                <w:color w:val="auto"/>
              </w:rPr>
            </w:pPr>
            <w:r>
              <w:rPr>
                <w:rFonts w:ascii="Arial" w:cs="Arial" w:eastAsia="Arial" w:hAnsi="Arial"/>
                <w:sz w:val="11"/>
                <w:szCs w:val="11"/>
                <w:color w:val="050505"/>
              </w:rPr>
              <w:t>$</w:t>
            </w:r>
          </w:p>
        </w:tc>
        <w:tc>
          <w:tcPr>
            <w:tcW w:w="620" w:type="dxa"/>
            <w:vAlign w:val="bottom"/>
            <w:shd w:val="clear" w:color="auto" w:fill="CCEEFF"/>
          </w:tcPr>
          <w:p>
            <w:pPr>
              <w:jc w:val="right"/>
              <w:spacing w:after="0" w:line="124" w:lineRule="exact"/>
              <w:rPr>
                <w:sz w:val="20"/>
                <w:szCs w:val="20"/>
                <w:color w:val="auto"/>
              </w:rPr>
            </w:pPr>
            <w:r>
              <w:rPr>
                <w:rFonts w:ascii="Arial" w:cs="Arial" w:eastAsia="Arial" w:hAnsi="Arial"/>
                <w:sz w:val="11"/>
                <w:szCs w:val="11"/>
                <w:color w:val="050505"/>
              </w:rPr>
              <w:t>21.7</w:t>
            </w:r>
          </w:p>
        </w:tc>
        <w:tc>
          <w:tcPr>
            <w:tcW w:w="80" w:type="dxa"/>
            <w:vAlign w:val="bottom"/>
            <w:tcBorders>
              <w:left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7"/>
        </w:trPr>
        <w:tc>
          <w:tcPr>
            <w:tcW w:w="16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Borders>
              <w:right w:val="single" w:sz="8" w:color="auto"/>
            </w:tcBorders>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80" w:type="dxa"/>
            <w:vAlign w:val="bottom"/>
            <w:tcBorders>
              <w:lef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50" w:lineRule="exact"/>
        <w:rPr>
          <w:sz w:val="20"/>
          <w:szCs w:val="20"/>
          <w:color w:val="auto"/>
        </w:rPr>
      </w:pPr>
    </w:p>
    <w:p>
      <w:pPr>
        <w:ind w:left="2280" w:hanging="221"/>
        <w:spacing w:after="0"/>
        <w:tabs>
          <w:tab w:leader="none" w:pos="2280" w:val="left"/>
        </w:tabs>
        <w:numPr>
          <w:ilvl w:val="0"/>
          <w:numId w:val="32"/>
        </w:numPr>
        <w:rPr>
          <w:rFonts w:ascii="Arial" w:cs="Arial" w:eastAsia="Arial" w:hAnsi="Arial"/>
          <w:sz w:val="8"/>
          <w:szCs w:val="8"/>
          <w:color w:val="050505"/>
        </w:rPr>
      </w:pPr>
      <w:r>
        <w:rPr>
          <w:rFonts w:ascii="Arial" w:cs="Arial" w:eastAsia="Arial" w:hAnsi="Arial"/>
          <w:sz w:val="8"/>
          <w:szCs w:val="8"/>
          <w:color w:val="050505"/>
        </w:rPr>
        <w:t>Included in subscription cost of revenue are content costs for past use as follows:</w:t>
      </w:r>
    </w:p>
    <w:p>
      <w:pPr>
        <w:spacing w:after="0" w:line="36" w:lineRule="exact"/>
        <w:rPr>
          <w:sz w:val="20"/>
          <w:szCs w:val="20"/>
          <w:color w:val="auto"/>
        </w:rPr>
      </w:pPr>
    </w:p>
    <w:tbl>
      <w:tblPr>
        <w:tblLayout w:type="fixed"/>
        <w:tblInd w:w="2060" w:type="dxa"/>
        <w:tblCellMar>
          <w:top w:w="0" w:type="dxa"/>
          <w:left w:w="0" w:type="dxa"/>
          <w:bottom w:w="0" w:type="dxa"/>
          <w:right w:w="0" w:type="dxa"/>
        </w:tblCellMar>
      </w:tblPr>
      <w:tr>
        <w:trPr>
          <w:trHeight w:val="137"/>
        </w:trPr>
        <w:tc>
          <w:tcPr>
            <w:tcW w:w="252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1620" w:type="dxa"/>
            <w:vAlign w:val="bottom"/>
            <w:tcBorders>
              <w:bottom w:val="single" w:sz="8" w:color="auto"/>
            </w:tcBorders>
            <w:gridSpan w:val="2"/>
          </w:tcPr>
          <w:p>
            <w:pPr>
              <w:jc w:val="center"/>
              <w:spacing w:after="0"/>
              <w:rPr>
                <w:sz w:val="20"/>
                <w:szCs w:val="20"/>
                <w:color w:val="auto"/>
              </w:rPr>
            </w:pPr>
            <w:r>
              <w:rPr>
                <w:rFonts w:ascii="Arial" w:cs="Arial" w:eastAsia="Arial" w:hAnsi="Arial"/>
                <w:sz w:val="11"/>
                <w:szCs w:val="11"/>
                <w:b w:val="1"/>
                <w:bCs w:val="1"/>
                <w:color w:val="050505"/>
                <w:w w:val="97"/>
              </w:rPr>
              <w:t>Fiscal Year Ended June 30,</w:t>
            </w:r>
          </w:p>
        </w:tc>
        <w:tc>
          <w:tcPr>
            <w:tcW w:w="26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40" w:type="dxa"/>
            <w:vAlign w:val="bottom"/>
          </w:tcPr>
          <w:p>
            <w:pPr>
              <w:spacing w:after="0"/>
              <w:rPr>
                <w:sz w:val="11"/>
                <w:szCs w:val="11"/>
                <w:color w:val="auto"/>
              </w:rPr>
            </w:pPr>
          </w:p>
        </w:tc>
      </w:tr>
      <w:tr>
        <w:trPr>
          <w:trHeight w:val="115"/>
        </w:trPr>
        <w:tc>
          <w:tcPr>
            <w:tcW w:w="252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jc w:val="right"/>
              <w:ind w:right="286"/>
              <w:spacing w:after="0" w:line="115" w:lineRule="exact"/>
              <w:rPr>
                <w:sz w:val="20"/>
                <w:szCs w:val="20"/>
                <w:color w:val="auto"/>
              </w:rPr>
            </w:pPr>
            <w:r>
              <w:rPr>
                <w:rFonts w:ascii="Arial" w:cs="Arial" w:eastAsia="Arial" w:hAnsi="Arial"/>
                <w:sz w:val="11"/>
                <w:szCs w:val="11"/>
                <w:b w:val="1"/>
                <w:bCs w:val="1"/>
                <w:color w:val="050505"/>
              </w:rPr>
              <w:t>2017</w:t>
            </w:r>
          </w:p>
        </w:tc>
        <w:tc>
          <w:tcPr>
            <w:tcW w:w="500" w:type="dxa"/>
            <w:vAlign w:val="bottom"/>
            <w:tcBorders>
              <w:bottom w:val="single" w:sz="8" w:color="auto"/>
            </w:tcBorders>
          </w:tcPr>
          <w:p>
            <w:pPr>
              <w:spacing w:after="0"/>
              <w:rPr>
                <w:sz w:val="10"/>
                <w:szCs w:val="10"/>
                <w:color w:val="auto"/>
              </w:rPr>
            </w:pPr>
          </w:p>
        </w:tc>
        <w:tc>
          <w:tcPr>
            <w:tcW w:w="1120" w:type="dxa"/>
            <w:vAlign w:val="bottom"/>
            <w:tcBorders>
              <w:bottom w:val="single" w:sz="8" w:color="auto"/>
            </w:tcBorders>
          </w:tcPr>
          <w:p>
            <w:pPr>
              <w:jc w:val="center"/>
              <w:ind w:right="466"/>
              <w:spacing w:after="0" w:line="115" w:lineRule="exact"/>
              <w:rPr>
                <w:sz w:val="20"/>
                <w:szCs w:val="20"/>
                <w:color w:val="auto"/>
              </w:rPr>
            </w:pPr>
            <w:r>
              <w:rPr>
                <w:rFonts w:ascii="Arial" w:cs="Arial" w:eastAsia="Arial" w:hAnsi="Arial"/>
                <w:sz w:val="11"/>
                <w:szCs w:val="11"/>
                <w:b w:val="1"/>
                <w:bCs w:val="1"/>
                <w:color w:val="050505"/>
                <w:w w:val="97"/>
              </w:rPr>
              <w:t>2018</w:t>
            </w:r>
          </w:p>
        </w:tc>
        <w:tc>
          <w:tcPr>
            <w:tcW w:w="26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jc w:val="right"/>
              <w:ind w:right="206"/>
              <w:spacing w:after="0" w:line="115" w:lineRule="exact"/>
              <w:rPr>
                <w:sz w:val="20"/>
                <w:szCs w:val="20"/>
                <w:color w:val="auto"/>
              </w:rPr>
            </w:pPr>
            <w:r>
              <w:rPr>
                <w:rFonts w:ascii="Arial" w:cs="Arial" w:eastAsia="Arial" w:hAnsi="Arial"/>
                <w:sz w:val="11"/>
                <w:szCs w:val="11"/>
                <w:b w:val="1"/>
                <w:bCs w:val="1"/>
                <w:color w:val="050505"/>
              </w:rPr>
              <w:t>2019</w:t>
            </w:r>
          </w:p>
        </w:tc>
        <w:tc>
          <w:tcPr>
            <w:tcW w:w="40" w:type="dxa"/>
            <w:vAlign w:val="bottom"/>
          </w:tcPr>
          <w:p>
            <w:pPr>
              <w:spacing w:after="0"/>
              <w:rPr>
                <w:sz w:val="10"/>
                <w:szCs w:val="10"/>
                <w:color w:val="auto"/>
              </w:rPr>
            </w:pPr>
          </w:p>
        </w:tc>
      </w:tr>
      <w:tr>
        <w:trPr>
          <w:trHeight w:val="115"/>
        </w:trPr>
        <w:tc>
          <w:tcPr>
            <w:tcW w:w="252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120" w:type="dxa"/>
            <w:vAlign w:val="bottom"/>
          </w:tcPr>
          <w:p>
            <w:pPr>
              <w:jc w:val="center"/>
              <w:ind w:right="446"/>
              <w:spacing w:after="0" w:line="115" w:lineRule="exact"/>
              <w:rPr>
                <w:sz w:val="20"/>
                <w:szCs w:val="20"/>
                <w:color w:val="auto"/>
              </w:rPr>
            </w:pPr>
            <w:r>
              <w:rPr>
                <w:rFonts w:ascii="Arial" w:cs="Arial" w:eastAsia="Arial" w:hAnsi="Arial"/>
                <w:sz w:val="11"/>
                <w:szCs w:val="11"/>
                <w:b w:val="1"/>
                <w:bCs w:val="1"/>
                <w:color w:val="050505"/>
              </w:rPr>
              <w:t>(in millions)</w:t>
            </w:r>
          </w:p>
        </w:tc>
        <w:tc>
          <w:tcPr>
            <w:tcW w:w="2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0" w:type="dxa"/>
            <w:vAlign w:val="bottom"/>
          </w:tcPr>
          <w:p>
            <w:pPr>
              <w:spacing w:after="0"/>
              <w:rPr>
                <w:sz w:val="10"/>
                <w:szCs w:val="10"/>
                <w:color w:val="auto"/>
              </w:rPr>
            </w:pPr>
          </w:p>
        </w:tc>
      </w:tr>
      <w:tr>
        <w:trPr>
          <w:trHeight w:val="126"/>
        </w:trPr>
        <w:tc>
          <w:tcPr>
            <w:tcW w:w="2520" w:type="dxa"/>
            <w:vAlign w:val="bottom"/>
            <w:shd w:val="clear" w:color="auto" w:fill="CCEEFF"/>
          </w:tcPr>
          <w:p>
            <w:pPr>
              <w:ind w:left="40"/>
              <w:spacing w:after="0" w:line="126" w:lineRule="exact"/>
              <w:rPr>
                <w:sz w:val="20"/>
                <w:szCs w:val="20"/>
                <w:color w:val="auto"/>
              </w:rPr>
            </w:pPr>
            <w:r>
              <w:rPr>
                <w:rFonts w:ascii="Arial" w:cs="Arial" w:eastAsia="Arial" w:hAnsi="Arial"/>
                <w:sz w:val="9"/>
                <w:szCs w:val="9"/>
                <w:color w:val="050505"/>
              </w:rPr>
              <w:t>Content costs for past use</w:t>
            </w:r>
            <w:r>
              <w:rPr>
                <w:rFonts w:ascii="Arial" w:cs="Arial" w:eastAsia="Arial" w:hAnsi="Arial"/>
                <w:sz w:val="14"/>
                <w:szCs w:val="14"/>
                <w:color w:val="050505"/>
                <w:vertAlign w:val="superscript"/>
              </w:rPr>
              <w:t>(1)</w:t>
            </w:r>
          </w:p>
        </w:tc>
        <w:tc>
          <w:tcPr>
            <w:tcW w:w="166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050505"/>
              </w:rPr>
              <w:t>$</w:t>
            </w:r>
          </w:p>
        </w:tc>
        <w:tc>
          <w:tcPr>
            <w:tcW w:w="680" w:type="dxa"/>
            <w:vAlign w:val="bottom"/>
            <w:shd w:val="clear" w:color="auto" w:fill="CCEEFF"/>
          </w:tcPr>
          <w:p>
            <w:pPr>
              <w:jc w:val="right"/>
              <w:ind w:right="46"/>
              <w:spacing w:after="0"/>
              <w:rPr>
                <w:sz w:val="20"/>
                <w:szCs w:val="20"/>
                <w:color w:val="auto"/>
              </w:rPr>
            </w:pPr>
            <w:r>
              <w:rPr>
                <w:rFonts w:ascii="Arial" w:cs="Arial" w:eastAsia="Arial" w:hAnsi="Arial"/>
                <w:sz w:val="11"/>
                <w:szCs w:val="11"/>
                <w:color w:val="050505"/>
              </w:rPr>
              <w:t>15.5</w:t>
            </w:r>
          </w:p>
        </w:tc>
        <w:tc>
          <w:tcPr>
            <w:tcW w:w="500" w:type="dxa"/>
            <w:vAlign w:val="bottom"/>
            <w:shd w:val="clear" w:color="auto" w:fill="CCEEFF"/>
          </w:tcPr>
          <w:p>
            <w:pPr>
              <w:jc w:val="right"/>
              <w:spacing w:after="0"/>
              <w:rPr>
                <w:sz w:val="20"/>
                <w:szCs w:val="20"/>
                <w:color w:val="auto"/>
              </w:rPr>
            </w:pPr>
            <w:r>
              <w:rPr>
                <w:rFonts w:ascii="Arial" w:cs="Arial" w:eastAsia="Arial" w:hAnsi="Arial"/>
                <w:sz w:val="11"/>
                <w:szCs w:val="11"/>
                <w:color w:val="050505"/>
              </w:rPr>
              <w:t>$</w:t>
            </w:r>
          </w:p>
        </w:tc>
        <w:tc>
          <w:tcPr>
            <w:tcW w:w="1120" w:type="dxa"/>
            <w:vAlign w:val="bottom"/>
            <w:shd w:val="clear" w:color="auto" w:fill="CCEEFF"/>
          </w:tcPr>
          <w:p>
            <w:pPr>
              <w:jc w:val="right"/>
              <w:ind w:right="386"/>
              <w:spacing w:after="0"/>
              <w:rPr>
                <w:sz w:val="20"/>
                <w:szCs w:val="20"/>
                <w:color w:val="auto"/>
              </w:rPr>
            </w:pPr>
            <w:r>
              <w:rPr>
                <w:rFonts w:ascii="Arial" w:cs="Arial" w:eastAsia="Arial" w:hAnsi="Arial"/>
                <w:sz w:val="11"/>
                <w:szCs w:val="11"/>
                <w:color w:val="050505"/>
              </w:rPr>
              <w:t>14.5</w:t>
            </w:r>
          </w:p>
        </w:tc>
        <w:tc>
          <w:tcPr>
            <w:tcW w:w="260" w:type="dxa"/>
            <w:vAlign w:val="bottom"/>
            <w:shd w:val="clear" w:color="auto" w:fill="CCEEFF"/>
          </w:tcPr>
          <w:p>
            <w:pPr>
              <w:jc w:val="right"/>
              <w:ind w:right="46"/>
              <w:spacing w:after="0"/>
              <w:rPr>
                <w:sz w:val="20"/>
                <w:szCs w:val="20"/>
                <w:color w:val="auto"/>
              </w:rPr>
            </w:pPr>
            <w:r>
              <w:rPr>
                <w:rFonts w:ascii="Arial" w:cs="Arial" w:eastAsia="Arial" w:hAnsi="Arial"/>
                <w:sz w:val="11"/>
                <w:szCs w:val="11"/>
                <w:color w:val="050505"/>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1"/>
                <w:szCs w:val="11"/>
                <w:color w:val="050505"/>
              </w:rPr>
              <w:t>16.4</w:t>
            </w:r>
          </w:p>
        </w:tc>
        <w:tc>
          <w:tcPr>
            <w:tcW w:w="40" w:type="dxa"/>
            <w:vAlign w:val="bottom"/>
            <w:shd w:val="clear" w:color="auto" w:fill="CCEEFF"/>
          </w:tcPr>
          <w:p>
            <w:pPr>
              <w:spacing w:after="0"/>
              <w:rPr>
                <w:sz w:val="10"/>
                <w:szCs w:val="10"/>
                <w:color w:val="auto"/>
              </w:rPr>
            </w:pPr>
          </w:p>
        </w:tc>
      </w:tr>
      <w:tr>
        <w:trPr>
          <w:trHeight w:val="275"/>
        </w:trPr>
        <w:tc>
          <w:tcPr>
            <w:tcW w:w="2520" w:type="dxa"/>
            <w:vAlign w:val="bottom"/>
          </w:tcPr>
          <w:p>
            <w:pPr>
              <w:spacing w:after="0"/>
              <w:rPr>
                <w:sz w:val="23"/>
                <w:szCs w:val="23"/>
                <w:color w:val="auto"/>
              </w:rPr>
            </w:pPr>
          </w:p>
        </w:tc>
        <w:tc>
          <w:tcPr>
            <w:tcW w:w="1500" w:type="dxa"/>
            <w:vAlign w:val="bottom"/>
          </w:tcPr>
          <w:p>
            <w:pPr>
              <w:jc w:val="right"/>
              <w:ind w:right="226"/>
              <w:spacing w:after="0"/>
              <w:rPr>
                <w:sz w:val="20"/>
                <w:szCs w:val="20"/>
                <w:color w:val="auto"/>
              </w:rPr>
            </w:pPr>
            <w:r>
              <w:rPr>
                <w:rFonts w:ascii="Arial" w:cs="Arial" w:eastAsia="Arial" w:hAnsi="Arial"/>
                <w:sz w:val="11"/>
                <w:szCs w:val="11"/>
                <w:color w:val="050505"/>
              </w:rPr>
              <w:t>56</w:t>
            </w:r>
          </w:p>
        </w:tc>
        <w:tc>
          <w:tcPr>
            <w:tcW w:w="1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40" w:type="dxa"/>
            <w:vAlign w:val="bottom"/>
          </w:tcPr>
          <w:p>
            <w:pPr>
              <w:spacing w:after="0"/>
              <w:rPr>
                <w:sz w:val="23"/>
                <w:szCs w:val="23"/>
                <w:color w:val="auto"/>
              </w:rPr>
            </w:pPr>
          </w:p>
        </w:tc>
      </w:tr>
    </w:tbl>
    <w:p>
      <w:pPr>
        <w:sectPr>
          <w:pgSz w:w="11900" w:h="16838" w:orient="portrait"/>
          <w:cols w:equalWidth="0" w:num="1">
            <w:col w:w="10239"/>
          </w:cols>
          <w:pgMar w:left="220" w:top="354" w:right="1440" w:bottom="1440" w:gutter="0" w:footer="0" w:header="0"/>
        </w:sectPr>
      </w:pPr>
    </w:p>
    <w:bookmarkStart w:id="61" w:name="page62"/>
    <w:bookmarkEnd w:id="61"/>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hyperlink w:anchor="page5">
        <w:r>
          <w:rPr>
            <w:rFonts w:ascii="Arial" w:cs="Arial" w:eastAsia="Arial" w:hAnsi="Arial"/>
            <w:sz w:val="12"/>
            <w:szCs w:val="12"/>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1310640</wp:posOffset>
            </wp:positionH>
            <wp:positionV relativeFrom="paragraph">
              <wp:posOffset>193675</wp:posOffset>
            </wp:positionV>
            <wp:extent cx="1212215" cy="571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212215" cy="5715"/>
                    </a:xfrm>
                    <a:prstGeom prst="rect">
                      <a:avLst/>
                    </a:prstGeom>
                    <a:noFill/>
                  </pic:spPr>
                </pic:pic>
              </a:graphicData>
            </a:graphic>
          </wp:anchor>
        </w:drawing>
      </w:r>
    </w:p>
    <w:p>
      <w:pPr>
        <w:spacing w:after="0" w:line="317" w:lineRule="exact"/>
        <w:rPr>
          <w:sz w:val="20"/>
          <w:szCs w:val="20"/>
          <w:color w:val="auto"/>
        </w:rPr>
      </w:pPr>
    </w:p>
    <w:p>
      <w:pPr>
        <w:jc w:val="both"/>
        <w:ind w:left="2280" w:right="839" w:hanging="221"/>
        <w:spacing w:after="0" w:line="245" w:lineRule="auto"/>
        <w:tabs>
          <w:tab w:leader="none" w:pos="2280" w:val="left"/>
        </w:tabs>
        <w:numPr>
          <w:ilvl w:val="0"/>
          <w:numId w:val="33"/>
        </w:numPr>
        <w:rPr>
          <w:rFonts w:ascii="Arial" w:cs="Arial" w:eastAsia="Arial" w:hAnsi="Arial"/>
          <w:sz w:val="8"/>
          <w:szCs w:val="8"/>
          <w:color w:val="050505"/>
        </w:rPr>
      </w:pPr>
      <w:r>
        <w:rPr>
          <w:rFonts w:ascii="Arial" w:cs="Arial" w:eastAsia="Arial" w:hAnsi="Arial"/>
          <w:sz w:val="8"/>
          <w:szCs w:val="8"/>
          <w:color w:val="050505"/>
        </w:rPr>
        <w:t>From time-to-time, we execute music royalty agreements with various music rights holders. As part of these go-forward license agreements, we may also enter into agreements whereby we are released from all potential licensor claims regarding our alleged past use of copyrighted material in our content in exchange for a mutually-agreed payment. We refer to these payments as content costs for past use.</w:t>
      </w:r>
    </w:p>
    <w:p>
      <w:pPr>
        <w:spacing w:after="0" w:line="196" w:lineRule="exact"/>
        <w:rPr>
          <w:sz w:val="20"/>
          <w:szCs w:val="20"/>
          <w:color w:val="auto"/>
        </w:rPr>
      </w:pPr>
    </w:p>
    <w:p>
      <w:pPr>
        <w:ind w:left="2280" w:right="839" w:hanging="221"/>
        <w:spacing w:after="0" w:line="256" w:lineRule="auto"/>
        <w:tabs>
          <w:tab w:leader="none" w:pos="2280" w:val="left"/>
        </w:tabs>
        <w:numPr>
          <w:ilvl w:val="0"/>
          <w:numId w:val="34"/>
        </w:numPr>
        <w:rPr>
          <w:rFonts w:ascii="Arial" w:cs="Arial" w:eastAsia="Arial" w:hAnsi="Arial"/>
          <w:sz w:val="8"/>
          <w:szCs w:val="8"/>
          <w:color w:val="050505"/>
        </w:rPr>
      </w:pPr>
      <w:r>
        <w:rPr>
          <w:rFonts w:ascii="Arial" w:cs="Arial" w:eastAsia="Arial" w:hAnsi="Arial"/>
          <w:sz w:val="8"/>
          <w:szCs w:val="8"/>
          <w:color w:val="050505"/>
        </w:rPr>
        <w:t>See Note 16 of the notes to our audited consolidated financial statements included elsewhere in this prospectus for an explanation of the calculations of our net loss per share attributable to common stockholders, basic and diluted, and pro forma net loss per share attributable to common stockholders, basic and diluted.</w:t>
      </w:r>
    </w:p>
    <w:p>
      <w:pPr>
        <w:spacing w:after="0" w:line="184" w:lineRule="exact"/>
        <w:rPr>
          <w:sz w:val="20"/>
          <w:szCs w:val="20"/>
          <w:color w:val="auto"/>
        </w:rPr>
      </w:pPr>
    </w:p>
    <w:tbl>
      <w:tblPr>
        <w:tblLayout w:type="fixed"/>
        <w:tblInd w:w="2280" w:type="dxa"/>
        <w:tblCellMar>
          <w:top w:w="0" w:type="dxa"/>
          <w:left w:w="0" w:type="dxa"/>
          <w:bottom w:w="0" w:type="dxa"/>
          <w:right w:w="0" w:type="dxa"/>
        </w:tblCellMar>
      </w:tblPr>
      <w:tr>
        <w:trPr>
          <w:trHeight w:val="137"/>
        </w:trPr>
        <w:tc>
          <w:tcPr>
            <w:tcW w:w="270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gridSpan w:val="2"/>
          </w:tcPr>
          <w:p>
            <w:pPr>
              <w:jc w:val="right"/>
              <w:ind w:right="26"/>
              <w:spacing w:after="0"/>
              <w:rPr>
                <w:sz w:val="20"/>
                <w:szCs w:val="20"/>
                <w:color w:val="auto"/>
              </w:rPr>
            </w:pPr>
            <w:r>
              <w:rPr>
                <w:rFonts w:ascii="Arial" w:cs="Arial" w:eastAsia="Arial" w:hAnsi="Arial"/>
                <w:sz w:val="11"/>
                <w:szCs w:val="11"/>
                <w:b w:val="1"/>
                <w:bCs w:val="1"/>
                <w:color w:val="050505"/>
              </w:rPr>
              <w:t>As of June 30,</w:t>
            </w:r>
          </w:p>
        </w:tc>
        <w:tc>
          <w:tcPr>
            <w:tcW w:w="26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2700" w:type="dxa"/>
            <w:vAlign w:val="bottom"/>
            <w:vMerge w:val="restart"/>
          </w:tcPr>
          <w:p>
            <w:pPr>
              <w:ind w:left="40"/>
              <w:spacing w:after="0"/>
              <w:rPr>
                <w:sz w:val="20"/>
                <w:szCs w:val="20"/>
                <w:color w:val="auto"/>
              </w:rPr>
            </w:pPr>
            <w:r>
              <w:rPr>
                <w:rFonts w:ascii="Arial" w:cs="Arial" w:eastAsia="Arial" w:hAnsi="Arial"/>
                <w:sz w:val="11"/>
                <w:szCs w:val="11"/>
                <w:b w:val="1"/>
                <w:bCs w:val="1"/>
                <w:color w:val="050505"/>
              </w:rPr>
              <w:t>Consolidated Balance Sheet Data:</w:t>
            </w:r>
          </w:p>
        </w:tc>
        <w:tc>
          <w:tcPr>
            <w:tcW w:w="170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jc w:val="right"/>
              <w:ind w:right="306"/>
              <w:spacing w:after="0" w:line="115" w:lineRule="exact"/>
              <w:rPr>
                <w:sz w:val="20"/>
                <w:szCs w:val="20"/>
                <w:color w:val="auto"/>
              </w:rPr>
            </w:pPr>
            <w:r>
              <w:rPr>
                <w:rFonts w:ascii="Arial" w:cs="Arial" w:eastAsia="Arial" w:hAnsi="Arial"/>
                <w:sz w:val="11"/>
                <w:szCs w:val="11"/>
                <w:b w:val="1"/>
                <w:bCs w:val="1"/>
                <w:color w:val="050505"/>
              </w:rPr>
              <w:t>2017</w:t>
            </w:r>
          </w:p>
        </w:tc>
        <w:tc>
          <w:tcPr>
            <w:tcW w:w="16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jc w:val="right"/>
              <w:ind w:right="306"/>
              <w:spacing w:after="0" w:line="115" w:lineRule="exact"/>
              <w:rPr>
                <w:sz w:val="20"/>
                <w:szCs w:val="20"/>
                <w:color w:val="auto"/>
              </w:rPr>
            </w:pPr>
            <w:r>
              <w:rPr>
                <w:rFonts w:ascii="Arial" w:cs="Arial" w:eastAsia="Arial" w:hAnsi="Arial"/>
                <w:sz w:val="11"/>
                <w:szCs w:val="11"/>
                <w:b w:val="1"/>
                <w:bCs w:val="1"/>
                <w:color w:val="050505"/>
              </w:rPr>
              <w:t>2018</w:t>
            </w:r>
          </w:p>
        </w:tc>
        <w:tc>
          <w:tcPr>
            <w:tcW w:w="26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jc w:val="right"/>
              <w:ind w:right="226"/>
              <w:spacing w:after="0" w:line="115" w:lineRule="exact"/>
              <w:rPr>
                <w:sz w:val="20"/>
                <w:szCs w:val="20"/>
                <w:color w:val="auto"/>
              </w:rPr>
            </w:pPr>
            <w:r>
              <w:rPr>
                <w:rFonts w:ascii="Arial" w:cs="Arial" w:eastAsia="Arial" w:hAnsi="Arial"/>
                <w:sz w:val="11"/>
                <w:szCs w:val="11"/>
                <w:b w:val="1"/>
                <w:bCs w:val="1"/>
                <w:color w:val="050505"/>
              </w:rPr>
              <w:t>2019</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2700" w:type="dxa"/>
            <w:vAlign w:val="bottom"/>
            <w:vMerge w:val="continue"/>
          </w:tcPr>
          <w:p>
            <w:pPr>
              <w:spacing w:after="0"/>
              <w:rPr>
                <w:sz w:val="10"/>
                <w:szCs w:val="10"/>
                <w:color w:val="auto"/>
              </w:rPr>
            </w:pPr>
          </w:p>
        </w:tc>
        <w:tc>
          <w:tcPr>
            <w:tcW w:w="1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80" w:type="dxa"/>
            <w:vAlign w:val="bottom"/>
          </w:tcPr>
          <w:p>
            <w:pPr>
              <w:jc w:val="right"/>
              <w:ind w:right="106"/>
              <w:spacing w:after="0" w:line="115" w:lineRule="exact"/>
              <w:rPr>
                <w:sz w:val="20"/>
                <w:szCs w:val="20"/>
                <w:color w:val="auto"/>
              </w:rPr>
            </w:pPr>
            <w:r>
              <w:rPr>
                <w:rFonts w:ascii="Arial" w:cs="Arial" w:eastAsia="Arial" w:hAnsi="Arial"/>
                <w:sz w:val="11"/>
                <w:szCs w:val="11"/>
                <w:b w:val="1"/>
                <w:bCs w:val="1"/>
                <w:color w:val="050505"/>
                <w:w w:val="97"/>
              </w:rPr>
              <w:t>(in millions)</w:t>
            </w:r>
          </w:p>
        </w:tc>
        <w:tc>
          <w:tcPr>
            <w:tcW w:w="2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700" w:type="dxa"/>
            <w:vAlign w:val="bottom"/>
            <w:shd w:val="clear" w:color="auto" w:fill="CCEEFF"/>
          </w:tcPr>
          <w:p>
            <w:pPr>
              <w:ind w:left="40"/>
              <w:spacing w:after="0"/>
              <w:rPr>
                <w:sz w:val="20"/>
                <w:szCs w:val="20"/>
                <w:color w:val="auto"/>
              </w:rPr>
            </w:pPr>
            <w:r>
              <w:rPr>
                <w:rFonts w:ascii="Arial" w:cs="Arial" w:eastAsia="Arial" w:hAnsi="Arial"/>
                <w:sz w:val="11"/>
                <w:szCs w:val="11"/>
                <w:color w:val="050505"/>
              </w:rPr>
              <w:t>Cash and cash equivalents</w:t>
            </w:r>
          </w:p>
        </w:tc>
        <w:tc>
          <w:tcPr>
            <w:tcW w:w="184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050505"/>
              </w:rPr>
              <w:t>$</w:t>
            </w:r>
          </w:p>
        </w:tc>
        <w:tc>
          <w:tcPr>
            <w:tcW w:w="70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050505"/>
              </w:rPr>
              <w:t>155.0</w:t>
            </w:r>
          </w:p>
        </w:tc>
        <w:tc>
          <w:tcPr>
            <w:tcW w:w="160" w:type="dxa"/>
            <w:vAlign w:val="bottom"/>
            <w:shd w:val="clear" w:color="auto" w:fill="CCEEFF"/>
          </w:tcPr>
          <w:p>
            <w:pPr>
              <w:jc w:val="right"/>
              <w:spacing w:after="0"/>
              <w:rPr>
                <w:sz w:val="20"/>
                <w:szCs w:val="20"/>
                <w:color w:val="auto"/>
              </w:rPr>
            </w:pPr>
            <w:r>
              <w:rPr>
                <w:rFonts w:ascii="Arial" w:cs="Arial" w:eastAsia="Arial" w:hAnsi="Arial"/>
                <w:sz w:val="11"/>
                <w:szCs w:val="11"/>
                <w:color w:val="050505"/>
              </w:rPr>
              <w:t>$</w:t>
            </w:r>
          </w:p>
        </w:tc>
        <w:tc>
          <w:tcPr>
            <w:tcW w:w="78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050505"/>
              </w:rPr>
              <w:t>150.6</w:t>
            </w:r>
          </w:p>
        </w:tc>
        <w:tc>
          <w:tcPr>
            <w:tcW w:w="26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050505"/>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1"/>
                <w:szCs w:val="11"/>
                <w:color w:val="050505"/>
              </w:rPr>
              <w:t>162.1</w:t>
            </w: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700" w:type="dxa"/>
            <w:vAlign w:val="bottom"/>
          </w:tcPr>
          <w:p>
            <w:pPr>
              <w:ind w:left="40"/>
              <w:spacing w:after="0"/>
              <w:rPr>
                <w:sz w:val="20"/>
                <w:szCs w:val="20"/>
                <w:color w:val="auto"/>
              </w:rPr>
            </w:pPr>
            <w:r>
              <w:rPr>
                <w:rFonts w:ascii="Arial" w:cs="Arial" w:eastAsia="Arial" w:hAnsi="Arial"/>
                <w:sz w:val="11"/>
                <w:szCs w:val="11"/>
                <w:color w:val="050505"/>
              </w:rPr>
              <w:t>Working capital</w:t>
            </w:r>
          </w:p>
        </w:tc>
        <w:tc>
          <w:tcPr>
            <w:tcW w:w="1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Pr>
          <w:p>
            <w:pPr>
              <w:jc w:val="right"/>
              <w:ind w:right="66"/>
              <w:spacing w:after="0"/>
              <w:rPr>
                <w:sz w:val="20"/>
                <w:szCs w:val="20"/>
                <w:color w:val="auto"/>
              </w:rPr>
            </w:pPr>
            <w:r>
              <w:rPr>
                <w:rFonts w:ascii="Arial" w:cs="Arial" w:eastAsia="Arial" w:hAnsi="Arial"/>
                <w:sz w:val="11"/>
                <w:szCs w:val="11"/>
                <w:color w:val="050505"/>
              </w:rPr>
              <w:t>117.6</w:t>
            </w:r>
          </w:p>
        </w:tc>
        <w:tc>
          <w:tcPr>
            <w:tcW w:w="160" w:type="dxa"/>
            <w:vAlign w:val="bottom"/>
          </w:tcPr>
          <w:p>
            <w:pPr>
              <w:spacing w:after="0"/>
              <w:rPr>
                <w:sz w:val="10"/>
                <w:szCs w:val="10"/>
                <w:color w:val="auto"/>
              </w:rPr>
            </w:pPr>
          </w:p>
        </w:tc>
        <w:tc>
          <w:tcPr>
            <w:tcW w:w="780" w:type="dxa"/>
            <w:vAlign w:val="bottom"/>
          </w:tcPr>
          <w:p>
            <w:pPr>
              <w:jc w:val="right"/>
              <w:ind w:right="66"/>
              <w:spacing w:after="0"/>
              <w:rPr>
                <w:sz w:val="20"/>
                <w:szCs w:val="20"/>
                <w:color w:val="auto"/>
              </w:rPr>
            </w:pPr>
            <w:r>
              <w:rPr>
                <w:rFonts w:ascii="Arial" w:cs="Arial" w:eastAsia="Arial" w:hAnsi="Arial"/>
                <w:sz w:val="11"/>
                <w:szCs w:val="11"/>
                <w:color w:val="050505"/>
              </w:rPr>
              <w:t>33.6</w:t>
            </w:r>
          </w:p>
        </w:tc>
        <w:tc>
          <w:tcPr>
            <w:tcW w:w="260" w:type="dxa"/>
            <w:vAlign w:val="bottom"/>
          </w:tcPr>
          <w:p>
            <w:pPr>
              <w:spacing w:after="0"/>
              <w:rPr>
                <w:sz w:val="10"/>
                <w:szCs w:val="10"/>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050505"/>
              </w:rPr>
              <w:t>290.9</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700" w:type="dxa"/>
            <w:vAlign w:val="bottom"/>
            <w:shd w:val="clear" w:color="auto" w:fill="CCEEFF"/>
          </w:tcPr>
          <w:p>
            <w:pPr>
              <w:ind w:left="40"/>
              <w:spacing w:after="0"/>
              <w:rPr>
                <w:sz w:val="20"/>
                <w:szCs w:val="20"/>
                <w:color w:val="auto"/>
              </w:rPr>
            </w:pPr>
            <w:r>
              <w:rPr>
                <w:rFonts w:ascii="Arial" w:cs="Arial" w:eastAsia="Arial" w:hAnsi="Arial"/>
                <w:sz w:val="11"/>
                <w:szCs w:val="11"/>
                <w:color w:val="050505"/>
              </w:rPr>
              <w:t>Total assets</w:t>
            </w:r>
          </w:p>
        </w:tc>
        <w:tc>
          <w:tcPr>
            <w:tcW w:w="17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0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050505"/>
              </w:rPr>
              <w:t>198.7</w:t>
            </w:r>
          </w:p>
        </w:tc>
        <w:tc>
          <w:tcPr>
            <w:tcW w:w="160" w:type="dxa"/>
            <w:vAlign w:val="bottom"/>
            <w:shd w:val="clear" w:color="auto" w:fill="CCEEFF"/>
          </w:tcPr>
          <w:p>
            <w:pPr>
              <w:spacing w:after="0"/>
              <w:rPr>
                <w:sz w:val="10"/>
                <w:szCs w:val="10"/>
                <w:color w:val="auto"/>
              </w:rPr>
            </w:pPr>
          </w:p>
        </w:tc>
        <w:tc>
          <w:tcPr>
            <w:tcW w:w="78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050505"/>
              </w:rPr>
              <w:t>271.2</w:t>
            </w:r>
          </w:p>
        </w:tc>
        <w:tc>
          <w:tcPr>
            <w:tcW w:w="260" w:type="dxa"/>
            <w:vAlign w:val="bottom"/>
            <w:shd w:val="clear" w:color="auto" w:fill="CCEEFF"/>
          </w:tcPr>
          <w:p>
            <w:pPr>
              <w:spacing w:after="0"/>
              <w:rPr>
                <w:sz w:val="10"/>
                <w:szCs w:val="10"/>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1"/>
                <w:szCs w:val="11"/>
                <w:color w:val="050505"/>
              </w:rPr>
              <w:t>864.5</w:t>
            </w: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700" w:type="dxa"/>
            <w:vAlign w:val="bottom"/>
          </w:tcPr>
          <w:p>
            <w:pPr>
              <w:ind w:left="40"/>
              <w:spacing w:after="0"/>
              <w:rPr>
                <w:sz w:val="20"/>
                <w:szCs w:val="20"/>
                <w:color w:val="auto"/>
              </w:rPr>
            </w:pPr>
            <w:r>
              <w:rPr>
                <w:rFonts w:ascii="Arial" w:cs="Arial" w:eastAsia="Arial" w:hAnsi="Arial"/>
                <w:sz w:val="11"/>
                <w:szCs w:val="11"/>
                <w:color w:val="050505"/>
              </w:rPr>
              <w:t>Customer deposits and deferred revenue</w:t>
            </w:r>
          </w:p>
        </w:tc>
        <w:tc>
          <w:tcPr>
            <w:tcW w:w="1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Pr>
          <w:p>
            <w:pPr>
              <w:jc w:val="right"/>
              <w:ind w:right="66"/>
              <w:spacing w:after="0"/>
              <w:rPr>
                <w:sz w:val="20"/>
                <w:szCs w:val="20"/>
                <w:color w:val="auto"/>
              </w:rPr>
            </w:pPr>
            <w:r>
              <w:rPr>
                <w:rFonts w:ascii="Arial" w:cs="Arial" w:eastAsia="Arial" w:hAnsi="Arial"/>
                <w:sz w:val="11"/>
                <w:szCs w:val="11"/>
                <w:color w:val="050505"/>
              </w:rPr>
              <w:t>25.6</w:t>
            </w:r>
          </w:p>
        </w:tc>
        <w:tc>
          <w:tcPr>
            <w:tcW w:w="160" w:type="dxa"/>
            <w:vAlign w:val="bottom"/>
          </w:tcPr>
          <w:p>
            <w:pPr>
              <w:spacing w:after="0"/>
              <w:rPr>
                <w:sz w:val="10"/>
                <w:szCs w:val="10"/>
                <w:color w:val="auto"/>
              </w:rPr>
            </w:pPr>
          </w:p>
        </w:tc>
        <w:tc>
          <w:tcPr>
            <w:tcW w:w="780" w:type="dxa"/>
            <w:vAlign w:val="bottom"/>
          </w:tcPr>
          <w:p>
            <w:pPr>
              <w:jc w:val="right"/>
              <w:ind w:right="66"/>
              <w:spacing w:after="0"/>
              <w:rPr>
                <w:sz w:val="20"/>
                <w:szCs w:val="20"/>
                <w:color w:val="auto"/>
              </w:rPr>
            </w:pPr>
            <w:r>
              <w:rPr>
                <w:rFonts w:ascii="Arial" w:cs="Arial" w:eastAsia="Arial" w:hAnsi="Arial"/>
                <w:sz w:val="11"/>
                <w:szCs w:val="11"/>
                <w:color w:val="050505"/>
              </w:rPr>
              <w:t>88.5</w:t>
            </w:r>
          </w:p>
        </w:tc>
        <w:tc>
          <w:tcPr>
            <w:tcW w:w="260" w:type="dxa"/>
            <w:vAlign w:val="bottom"/>
          </w:tcPr>
          <w:p>
            <w:pPr>
              <w:spacing w:after="0"/>
              <w:rPr>
                <w:sz w:val="10"/>
                <w:szCs w:val="10"/>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050505"/>
              </w:rPr>
              <w:t>90.8</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700" w:type="dxa"/>
            <w:vAlign w:val="bottom"/>
            <w:shd w:val="clear" w:color="auto" w:fill="CCEEFF"/>
          </w:tcPr>
          <w:p>
            <w:pPr>
              <w:ind w:left="40"/>
              <w:spacing w:after="0"/>
              <w:rPr>
                <w:sz w:val="20"/>
                <w:szCs w:val="20"/>
                <w:color w:val="auto"/>
              </w:rPr>
            </w:pPr>
            <w:r>
              <w:rPr>
                <w:rFonts w:ascii="Arial" w:cs="Arial" w:eastAsia="Arial" w:hAnsi="Arial"/>
                <w:sz w:val="11"/>
                <w:szCs w:val="11"/>
                <w:color w:val="050505"/>
              </w:rPr>
              <w:t>Redeemable convertible preferred stock</w:t>
            </w:r>
          </w:p>
        </w:tc>
        <w:tc>
          <w:tcPr>
            <w:tcW w:w="17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0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050505"/>
              </w:rPr>
              <w:t>406.3</w:t>
            </w:r>
          </w:p>
        </w:tc>
        <w:tc>
          <w:tcPr>
            <w:tcW w:w="160" w:type="dxa"/>
            <w:vAlign w:val="bottom"/>
            <w:shd w:val="clear" w:color="auto" w:fill="CCEEFF"/>
          </w:tcPr>
          <w:p>
            <w:pPr>
              <w:spacing w:after="0"/>
              <w:rPr>
                <w:sz w:val="10"/>
                <w:szCs w:val="10"/>
                <w:color w:val="auto"/>
              </w:rPr>
            </w:pPr>
          </w:p>
        </w:tc>
        <w:tc>
          <w:tcPr>
            <w:tcW w:w="78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050505"/>
              </w:rPr>
              <w:t>406.3</w:t>
            </w:r>
          </w:p>
        </w:tc>
        <w:tc>
          <w:tcPr>
            <w:tcW w:w="260" w:type="dxa"/>
            <w:vAlign w:val="bottom"/>
            <w:shd w:val="clear" w:color="auto" w:fill="CCEEFF"/>
          </w:tcPr>
          <w:p>
            <w:pPr>
              <w:spacing w:after="0"/>
              <w:rPr>
                <w:sz w:val="10"/>
                <w:szCs w:val="10"/>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1"/>
                <w:szCs w:val="11"/>
                <w:color w:val="050505"/>
              </w:rPr>
              <w:t>941.1</w:t>
            </w: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2700" w:type="dxa"/>
            <w:vAlign w:val="bottom"/>
          </w:tcPr>
          <w:p>
            <w:pPr>
              <w:ind w:left="40"/>
              <w:spacing w:after="0"/>
              <w:rPr>
                <w:sz w:val="20"/>
                <w:szCs w:val="20"/>
                <w:color w:val="auto"/>
              </w:rPr>
            </w:pPr>
            <w:r>
              <w:rPr>
                <w:rFonts w:ascii="Arial" w:cs="Arial" w:eastAsia="Arial" w:hAnsi="Arial"/>
                <w:sz w:val="11"/>
                <w:szCs w:val="11"/>
                <w:color w:val="050505"/>
              </w:rPr>
              <w:t>Total stockholders’ deficit</w:t>
            </w:r>
          </w:p>
        </w:tc>
        <w:tc>
          <w:tcPr>
            <w:tcW w:w="1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jc w:val="right"/>
              <w:ind w:right="26"/>
              <w:spacing w:after="0"/>
              <w:rPr>
                <w:sz w:val="20"/>
                <w:szCs w:val="20"/>
                <w:color w:val="auto"/>
              </w:rPr>
            </w:pPr>
            <w:r>
              <w:rPr>
                <w:rFonts w:ascii="Arial" w:cs="Arial" w:eastAsia="Arial" w:hAnsi="Arial"/>
                <w:sz w:val="11"/>
                <w:szCs w:val="11"/>
                <w:color w:val="050505"/>
              </w:rPr>
              <w:t>(281.6)</w:t>
            </w:r>
          </w:p>
        </w:tc>
        <w:tc>
          <w:tcPr>
            <w:tcW w:w="160" w:type="dxa"/>
            <w:vAlign w:val="bottom"/>
          </w:tcPr>
          <w:p>
            <w:pPr>
              <w:spacing w:after="0"/>
              <w:rPr>
                <w:sz w:val="11"/>
                <w:szCs w:val="11"/>
                <w:color w:val="auto"/>
              </w:rPr>
            </w:pPr>
          </w:p>
        </w:tc>
        <w:tc>
          <w:tcPr>
            <w:tcW w:w="780" w:type="dxa"/>
            <w:vAlign w:val="bottom"/>
          </w:tcPr>
          <w:p>
            <w:pPr>
              <w:jc w:val="right"/>
              <w:ind w:right="26"/>
              <w:spacing w:after="0"/>
              <w:rPr>
                <w:sz w:val="20"/>
                <w:szCs w:val="20"/>
                <w:color w:val="auto"/>
              </w:rPr>
            </w:pPr>
            <w:r>
              <w:rPr>
                <w:rFonts w:ascii="Arial" w:cs="Arial" w:eastAsia="Arial" w:hAnsi="Arial"/>
                <w:sz w:val="11"/>
                <w:szCs w:val="11"/>
                <w:color w:val="050505"/>
              </w:rPr>
              <w:t>(315.6)</w:t>
            </w:r>
          </w:p>
        </w:tc>
        <w:tc>
          <w:tcPr>
            <w:tcW w:w="260" w:type="dxa"/>
            <w:vAlign w:val="bottom"/>
          </w:tcPr>
          <w:p>
            <w:pPr>
              <w:spacing w:after="0"/>
              <w:rPr>
                <w:sz w:val="11"/>
                <w:szCs w:val="11"/>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1"/>
                <w:szCs w:val="11"/>
                <w:color w:val="050505"/>
              </w:rPr>
              <w:t>(538.6)</w:t>
            </w:r>
          </w:p>
        </w:tc>
        <w:tc>
          <w:tcPr>
            <w:tcW w:w="0" w:type="dxa"/>
            <w:vAlign w:val="bottom"/>
          </w:tcPr>
          <w:p>
            <w:pPr>
              <w:spacing w:after="0"/>
              <w:rPr>
                <w:sz w:val="1"/>
                <w:szCs w:val="1"/>
                <w:color w:val="auto"/>
              </w:rPr>
            </w:pPr>
          </w:p>
        </w:tc>
      </w:tr>
      <w:tr>
        <w:trPr>
          <w:trHeight w:val="225"/>
        </w:trPr>
        <w:tc>
          <w:tcPr>
            <w:tcW w:w="2700" w:type="dxa"/>
            <w:vAlign w:val="bottom"/>
          </w:tcPr>
          <w:p>
            <w:pPr>
              <w:spacing w:after="0"/>
              <w:rPr>
                <w:sz w:val="19"/>
                <w:szCs w:val="19"/>
                <w:color w:val="auto"/>
              </w:rPr>
            </w:pPr>
          </w:p>
        </w:tc>
        <w:tc>
          <w:tcPr>
            <w:tcW w:w="1700" w:type="dxa"/>
            <w:vAlign w:val="bottom"/>
          </w:tcPr>
          <w:p>
            <w:pPr>
              <w:jc w:val="right"/>
              <w:ind w:right="826"/>
              <w:spacing w:after="0"/>
              <w:rPr>
                <w:sz w:val="20"/>
                <w:szCs w:val="20"/>
                <w:color w:val="auto"/>
              </w:rPr>
            </w:pPr>
            <w:r>
              <w:rPr>
                <w:rFonts w:ascii="Arial" w:cs="Arial" w:eastAsia="Arial" w:hAnsi="Arial"/>
                <w:sz w:val="11"/>
                <w:szCs w:val="11"/>
                <w:color w:val="050505"/>
              </w:rPr>
              <w:t>57</w:t>
            </w:r>
          </w:p>
        </w:tc>
        <w:tc>
          <w:tcPr>
            <w:tcW w:w="1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ectPr>
          <w:pgSz w:w="11900" w:h="16838" w:orient="portrait"/>
          <w:cols w:equalWidth="0" w:num="1">
            <w:col w:w="10239"/>
          </w:cols>
          <w:pgMar w:left="220" w:top="354" w:right="1440" w:bottom="1440" w:gutter="0" w:footer="0" w:header="0"/>
        </w:sectPr>
      </w:pPr>
    </w:p>
    <w:bookmarkStart w:id="62" w:name="page63"/>
    <w:bookmarkEnd w:id="62"/>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hyperlink w:anchor="page5">
        <w:r>
          <w:rPr>
            <w:rFonts w:ascii="Arial" w:cs="Arial" w:eastAsia="Arial" w:hAnsi="Arial"/>
            <w:sz w:val="12"/>
            <w:szCs w:val="12"/>
            <w:b w:val="1"/>
            <w:bCs w:val="1"/>
            <w:u w:val="single" w:color="auto"/>
            <w:color w:val="0000EE"/>
          </w:rPr>
          <w:t>Table of Contents</w:t>
        </w:r>
      </w:hyperlink>
    </w:p>
    <w:p>
      <w:pPr>
        <w:spacing w:after="0" w:line="204" w:lineRule="exact"/>
        <w:rPr>
          <w:sz w:val="20"/>
          <w:szCs w:val="20"/>
          <w:color w:val="auto"/>
        </w:rPr>
      </w:pPr>
    </w:p>
    <w:p>
      <w:pPr>
        <w:ind w:left="2060"/>
        <w:spacing w:after="0"/>
        <w:rPr>
          <w:sz w:val="20"/>
          <w:szCs w:val="20"/>
          <w:color w:val="auto"/>
        </w:rPr>
      </w:pPr>
      <w:r>
        <w:rPr>
          <w:rFonts w:ascii="Arial" w:cs="Arial" w:eastAsia="Arial" w:hAnsi="Arial"/>
          <w:sz w:val="11"/>
          <w:szCs w:val="11"/>
          <w:b w:val="1"/>
          <w:bCs w:val="1"/>
          <w:u w:val="single" w:color="auto"/>
          <w:color w:val="auto"/>
        </w:rPr>
        <w:t>Non-GAAP Financial Measures</w:t>
      </w:r>
    </w:p>
    <w:p>
      <w:pPr>
        <w:spacing w:after="0" w:line="12" w:lineRule="exact"/>
        <w:rPr>
          <w:sz w:val="20"/>
          <w:szCs w:val="20"/>
          <w:color w:val="auto"/>
        </w:rPr>
      </w:pPr>
    </w:p>
    <w:p>
      <w:pPr>
        <w:jc w:val="both"/>
        <w:ind w:left="2060" w:right="839"/>
        <w:spacing w:after="0" w:line="245" w:lineRule="auto"/>
        <w:rPr>
          <w:sz w:val="20"/>
          <w:szCs w:val="20"/>
          <w:color w:val="auto"/>
        </w:rPr>
      </w:pPr>
      <w:r>
        <w:rPr>
          <w:rFonts w:ascii="Arial" w:cs="Arial" w:eastAsia="Arial" w:hAnsi="Arial"/>
          <w:sz w:val="11"/>
          <w:szCs w:val="11"/>
          <w:color w:val="050505"/>
        </w:rPr>
        <w:t>In addition to our results determined in accordance with GAAP, we believe the following non-GAAP financial measures are useful in evaluating our operating performance.</w:t>
      </w:r>
    </w:p>
    <w:p>
      <w:pPr>
        <w:spacing w:after="0" w:line="126" w:lineRule="exact"/>
        <w:rPr>
          <w:sz w:val="20"/>
          <w:szCs w:val="20"/>
          <w:color w:val="auto"/>
        </w:rPr>
      </w:pPr>
    </w:p>
    <w:p>
      <w:pPr>
        <w:ind w:left="2060"/>
        <w:spacing w:after="0"/>
        <w:rPr>
          <w:sz w:val="20"/>
          <w:szCs w:val="20"/>
          <w:color w:val="auto"/>
        </w:rPr>
      </w:pPr>
      <w:r>
        <w:rPr>
          <w:rFonts w:ascii="Arial" w:cs="Arial" w:eastAsia="Arial" w:hAnsi="Arial"/>
          <w:sz w:val="11"/>
          <w:szCs w:val="11"/>
          <w:b w:val="1"/>
          <w:bCs w:val="1"/>
          <w:i w:val="1"/>
          <w:iCs w:val="1"/>
          <w:color w:val="auto"/>
        </w:rPr>
        <w:t>Adjusted EBITDA and Adjusted EBITDA Margin</w:t>
      </w:r>
    </w:p>
    <w:p>
      <w:pPr>
        <w:spacing w:after="0" w:line="12" w:lineRule="exact"/>
        <w:rPr>
          <w:sz w:val="20"/>
          <w:szCs w:val="20"/>
          <w:color w:val="auto"/>
        </w:rPr>
      </w:pPr>
    </w:p>
    <w:p>
      <w:pPr>
        <w:jc w:val="both"/>
        <w:ind w:left="2060" w:right="839"/>
        <w:spacing w:after="0" w:line="241" w:lineRule="auto"/>
        <w:rPr>
          <w:sz w:val="20"/>
          <w:szCs w:val="20"/>
          <w:color w:val="auto"/>
        </w:rPr>
      </w:pPr>
      <w:r>
        <w:rPr>
          <w:rFonts w:ascii="Arial" w:cs="Arial" w:eastAsia="Arial" w:hAnsi="Arial"/>
          <w:sz w:val="11"/>
          <w:szCs w:val="11"/>
          <w:color w:val="050505"/>
        </w:rPr>
        <w:t>We calculate Adjusted EBITDA as net loss adjusted to exclude: interest income, net; other income, net; provision for income taxes; depreciation and amortization expense; stock-based compensation expense; costs related to acquisitions; certain litigation expenses, consisting of legal settlements and related fees for specific proceedings that arise outside of the ordinary course of our business; and the ground lease expense related to build-to-suit lease obligations. Adjusted EBITDA Margin is calculated by dividing Adjusted EBITDA by total revenue.</w:t>
      </w:r>
    </w:p>
    <w:p>
      <w:pPr>
        <w:spacing w:after="0" w:line="140" w:lineRule="exact"/>
        <w:rPr>
          <w:sz w:val="20"/>
          <w:szCs w:val="20"/>
          <w:color w:val="auto"/>
        </w:rPr>
      </w:pPr>
    </w:p>
    <w:p>
      <w:pPr>
        <w:jc w:val="both"/>
        <w:ind w:left="2060" w:right="839"/>
        <w:spacing w:after="0" w:line="242" w:lineRule="auto"/>
        <w:rPr>
          <w:sz w:val="20"/>
          <w:szCs w:val="20"/>
          <w:color w:val="auto"/>
        </w:rPr>
      </w:pPr>
      <w:r>
        <w:rPr>
          <w:rFonts w:ascii="Arial" w:cs="Arial" w:eastAsia="Arial" w:hAnsi="Arial"/>
          <w:sz w:val="11"/>
          <w:szCs w:val="11"/>
          <w:color w:val="050505"/>
        </w:rPr>
        <w:t>We use Adjusted EBITDA and Adjusted EBITDA Margin as measures of operating performance and the operating leverage in our business. We believe that these non-GAAP financial measures are useful to investors for period-to-period comparisons of our business and in understanding and evaluating our operating results for the following reasons:</w:t>
      </w:r>
    </w:p>
    <w:p>
      <w:pPr>
        <w:spacing w:after="0" w:line="158" w:lineRule="exact"/>
        <w:rPr>
          <w:sz w:val="20"/>
          <w:szCs w:val="20"/>
          <w:color w:val="auto"/>
        </w:rPr>
      </w:pPr>
    </w:p>
    <w:p>
      <w:pPr>
        <w:jc w:val="both"/>
        <w:ind w:left="2420" w:right="839" w:hanging="217"/>
        <w:spacing w:after="0" w:line="241" w:lineRule="auto"/>
        <w:tabs>
          <w:tab w:leader="none" w:pos="2420" w:val="left"/>
        </w:tabs>
        <w:numPr>
          <w:ilvl w:val="0"/>
          <w:numId w:val="35"/>
        </w:numPr>
        <w:rPr>
          <w:rFonts w:ascii="Arial" w:cs="Arial" w:eastAsia="Arial" w:hAnsi="Arial"/>
          <w:sz w:val="11"/>
          <w:szCs w:val="11"/>
          <w:color w:val="F7323F"/>
        </w:rPr>
      </w:pPr>
      <w:r>
        <w:rPr>
          <w:rFonts w:ascii="Arial" w:cs="Arial" w:eastAsia="Arial" w:hAnsi="Arial"/>
          <w:sz w:val="11"/>
          <w:szCs w:val="11"/>
          <w:color w:val="050505"/>
        </w:rPr>
        <w:t>Adjusted EBITDA and Adjusted EBITDA Margin are widely used by investors and securities analysts to measure a company’s operating performance without regard to items such as stock-based compensation expense, depreciation and amortization expense, interest expense, other (income) expense, net, and provision for income taxes that can vary substantially from company to company depending upon their financing, capital structures, and the method by which assets were acquired;</w:t>
      </w:r>
    </w:p>
    <w:p>
      <w:pPr>
        <w:spacing w:after="0" w:line="41" w:lineRule="exact"/>
        <w:rPr>
          <w:rFonts w:ascii="Arial" w:cs="Arial" w:eastAsia="Arial" w:hAnsi="Arial"/>
          <w:sz w:val="11"/>
          <w:szCs w:val="11"/>
          <w:color w:val="F7323F"/>
        </w:rPr>
      </w:pPr>
    </w:p>
    <w:p>
      <w:pPr>
        <w:jc w:val="both"/>
        <w:ind w:left="2420" w:right="839" w:hanging="217"/>
        <w:spacing w:after="0" w:line="242" w:lineRule="auto"/>
        <w:tabs>
          <w:tab w:leader="none" w:pos="2420" w:val="left"/>
        </w:tabs>
        <w:numPr>
          <w:ilvl w:val="0"/>
          <w:numId w:val="35"/>
        </w:numPr>
        <w:rPr>
          <w:rFonts w:ascii="Arial" w:cs="Arial" w:eastAsia="Arial" w:hAnsi="Arial"/>
          <w:sz w:val="11"/>
          <w:szCs w:val="11"/>
          <w:color w:val="F7323F"/>
        </w:rPr>
      </w:pPr>
      <w:r>
        <w:rPr>
          <w:rFonts w:ascii="Arial" w:cs="Arial" w:eastAsia="Arial" w:hAnsi="Arial"/>
          <w:sz w:val="11"/>
          <w:szCs w:val="11"/>
          <w:color w:val="050505"/>
        </w:rPr>
        <w:t>our management uses Adjusted EBITDA and Adjusted EBITDA Margin in conjunction with financial measures prepared in accordance with GAAP for planning purposes, including the preparation of our annual operating budget, as a measure of our core operating results and the effectiveness of our business strategy, and in evaluating our financial performance; and</w:t>
      </w:r>
    </w:p>
    <w:p>
      <w:pPr>
        <w:spacing w:after="0" w:line="40" w:lineRule="exact"/>
        <w:rPr>
          <w:rFonts w:ascii="Arial" w:cs="Arial" w:eastAsia="Arial" w:hAnsi="Arial"/>
          <w:sz w:val="11"/>
          <w:szCs w:val="11"/>
          <w:color w:val="F7323F"/>
        </w:rPr>
      </w:pPr>
    </w:p>
    <w:p>
      <w:pPr>
        <w:jc w:val="both"/>
        <w:ind w:left="2420" w:right="839" w:hanging="217"/>
        <w:spacing w:after="0" w:line="242" w:lineRule="auto"/>
        <w:tabs>
          <w:tab w:leader="none" w:pos="2420" w:val="left"/>
        </w:tabs>
        <w:numPr>
          <w:ilvl w:val="0"/>
          <w:numId w:val="35"/>
        </w:numPr>
        <w:rPr>
          <w:rFonts w:ascii="Arial" w:cs="Arial" w:eastAsia="Arial" w:hAnsi="Arial"/>
          <w:sz w:val="11"/>
          <w:szCs w:val="11"/>
          <w:color w:val="F7323F"/>
        </w:rPr>
      </w:pPr>
      <w:r>
        <w:rPr>
          <w:rFonts w:ascii="Arial" w:cs="Arial" w:eastAsia="Arial" w:hAnsi="Arial"/>
          <w:sz w:val="11"/>
          <w:szCs w:val="11"/>
          <w:color w:val="050505"/>
        </w:rPr>
        <w:t>Adjusted EBITDA and Adjusted EBITDA Margin provide consistency and comparability with our past financial performance, facilitate period-to-period comparisons of our core operating results, and also facilitate comparisons with other peer companies, many of which use similar non-GAAP financial measures to supplement their GAAP results.</w:t>
      </w:r>
    </w:p>
    <w:p>
      <w:pPr>
        <w:spacing w:after="0" w:line="140" w:lineRule="exact"/>
        <w:rPr>
          <w:sz w:val="20"/>
          <w:szCs w:val="20"/>
          <w:color w:val="auto"/>
        </w:rPr>
      </w:pPr>
    </w:p>
    <w:p>
      <w:pPr>
        <w:ind w:left="2060" w:right="839"/>
        <w:spacing w:after="0" w:line="294" w:lineRule="auto"/>
        <w:rPr>
          <w:sz w:val="20"/>
          <w:szCs w:val="20"/>
          <w:color w:val="auto"/>
        </w:rPr>
      </w:pPr>
      <w:r>
        <w:rPr>
          <w:rFonts w:ascii="Arial" w:cs="Arial" w:eastAsia="Arial" w:hAnsi="Arial"/>
          <w:sz w:val="10"/>
          <w:szCs w:val="10"/>
          <w:color w:val="050505"/>
        </w:rPr>
        <w:t>Our use of Adjusted EBITDA and Adjusted EBITDA Margin have limitations as analytical tools, and you should not consider these measures in isolation or as substitutes for analysis of our financial results as reported under GAAP. Some of these limitations are, or may in the future be, as follows:</w:t>
      </w:r>
    </w:p>
    <w:p>
      <w:pPr>
        <w:spacing w:after="0" w:line="133" w:lineRule="exact"/>
        <w:rPr>
          <w:sz w:val="20"/>
          <w:szCs w:val="20"/>
          <w:color w:val="auto"/>
        </w:rPr>
      </w:pPr>
    </w:p>
    <w:p>
      <w:pPr>
        <w:jc w:val="both"/>
        <w:ind w:left="2420" w:right="839" w:hanging="217"/>
        <w:spacing w:after="0" w:line="242" w:lineRule="auto"/>
        <w:tabs>
          <w:tab w:leader="none" w:pos="2420" w:val="left"/>
        </w:tabs>
        <w:numPr>
          <w:ilvl w:val="0"/>
          <w:numId w:val="36"/>
        </w:numPr>
        <w:rPr>
          <w:rFonts w:ascii="Arial" w:cs="Arial" w:eastAsia="Arial" w:hAnsi="Arial"/>
          <w:sz w:val="11"/>
          <w:szCs w:val="11"/>
          <w:color w:val="F7323F"/>
        </w:rPr>
      </w:pPr>
      <w:r>
        <w:rPr>
          <w:rFonts w:ascii="Arial" w:cs="Arial" w:eastAsia="Arial" w:hAnsi="Arial"/>
          <w:sz w:val="11"/>
          <w:szCs w:val="11"/>
          <w:color w:val="050505"/>
        </w:rPr>
        <w:t>although depreciation and amortization expense are non-cash charges, the assets being depreciated and amortized may have to be replaced in the future, and Adjusted EBITDA and Adjusted EBITDA Margin do not reflect cash capital expenditure requirements for such replacements or for new capital expenditure requirements;</w:t>
      </w:r>
    </w:p>
    <w:p>
      <w:pPr>
        <w:spacing w:after="0" w:line="40" w:lineRule="exact"/>
        <w:rPr>
          <w:rFonts w:ascii="Arial" w:cs="Arial" w:eastAsia="Arial" w:hAnsi="Arial"/>
          <w:sz w:val="11"/>
          <w:szCs w:val="11"/>
          <w:color w:val="F7323F"/>
        </w:rPr>
      </w:pPr>
    </w:p>
    <w:p>
      <w:pPr>
        <w:ind w:left="2420" w:right="839" w:hanging="217"/>
        <w:spacing w:after="0" w:line="245" w:lineRule="auto"/>
        <w:tabs>
          <w:tab w:leader="none" w:pos="2420" w:val="left"/>
        </w:tabs>
        <w:numPr>
          <w:ilvl w:val="0"/>
          <w:numId w:val="36"/>
        </w:numPr>
        <w:rPr>
          <w:rFonts w:ascii="Arial" w:cs="Arial" w:eastAsia="Arial" w:hAnsi="Arial"/>
          <w:sz w:val="11"/>
          <w:szCs w:val="11"/>
          <w:color w:val="F7323F"/>
        </w:rPr>
      </w:pPr>
      <w:r>
        <w:rPr>
          <w:rFonts w:ascii="Arial" w:cs="Arial" w:eastAsia="Arial" w:hAnsi="Arial"/>
          <w:sz w:val="11"/>
          <w:szCs w:val="11"/>
          <w:color w:val="050505"/>
        </w:rPr>
        <w:t>Adjusted EBITDA and Adjusted EBITDA Margin exclude stock-based compensation expense, which has recently been, and will continue to be for the foreseeable future, a significant recurring expense for our business and an important part of our compensation strategy;</w:t>
      </w:r>
    </w:p>
    <w:p>
      <w:pPr>
        <w:spacing w:after="0" w:line="38" w:lineRule="exact"/>
        <w:rPr>
          <w:rFonts w:ascii="Arial" w:cs="Arial" w:eastAsia="Arial" w:hAnsi="Arial"/>
          <w:sz w:val="11"/>
          <w:szCs w:val="11"/>
          <w:color w:val="F7323F"/>
        </w:rPr>
      </w:pPr>
    </w:p>
    <w:p>
      <w:pPr>
        <w:jc w:val="both"/>
        <w:ind w:left="2420" w:right="839" w:hanging="217"/>
        <w:spacing w:after="0" w:line="242" w:lineRule="auto"/>
        <w:tabs>
          <w:tab w:leader="none" w:pos="2420" w:val="left"/>
        </w:tabs>
        <w:numPr>
          <w:ilvl w:val="0"/>
          <w:numId w:val="36"/>
        </w:numPr>
        <w:rPr>
          <w:rFonts w:ascii="Arial" w:cs="Arial" w:eastAsia="Arial" w:hAnsi="Arial"/>
          <w:sz w:val="11"/>
          <w:szCs w:val="11"/>
          <w:color w:val="F7323F"/>
        </w:rPr>
      </w:pPr>
      <w:r>
        <w:rPr>
          <w:rFonts w:ascii="Arial" w:cs="Arial" w:eastAsia="Arial" w:hAnsi="Arial"/>
          <w:sz w:val="11"/>
          <w:szCs w:val="11"/>
          <w:color w:val="050505"/>
        </w:rPr>
        <w:t>Adjusted EBITDA and Adjusted EBITDA Margin do not reflect: (1) changes in, or cash requirements for, our working capital needs; (2) interest expense, or the cash requirements necessary to service interest or principal payments on our debt, which reduces cash available to us; or (3) tax payments that may represent a reduction in cash available to us;</w:t>
      </w:r>
    </w:p>
    <w:p>
      <w:pPr>
        <w:spacing w:after="0" w:line="40" w:lineRule="exact"/>
        <w:rPr>
          <w:rFonts w:ascii="Arial" w:cs="Arial" w:eastAsia="Arial" w:hAnsi="Arial"/>
          <w:sz w:val="11"/>
          <w:szCs w:val="11"/>
          <w:color w:val="F7323F"/>
        </w:rPr>
      </w:pPr>
    </w:p>
    <w:p>
      <w:pPr>
        <w:ind w:left="2420" w:right="839" w:hanging="217"/>
        <w:spacing w:after="0" w:line="245" w:lineRule="auto"/>
        <w:tabs>
          <w:tab w:leader="none" w:pos="2420" w:val="left"/>
        </w:tabs>
        <w:numPr>
          <w:ilvl w:val="0"/>
          <w:numId w:val="36"/>
        </w:numPr>
        <w:rPr>
          <w:rFonts w:ascii="Arial" w:cs="Arial" w:eastAsia="Arial" w:hAnsi="Arial"/>
          <w:sz w:val="11"/>
          <w:szCs w:val="11"/>
          <w:color w:val="F7323F"/>
        </w:rPr>
      </w:pPr>
      <w:r>
        <w:rPr>
          <w:rFonts w:ascii="Arial" w:cs="Arial" w:eastAsia="Arial" w:hAnsi="Arial"/>
          <w:sz w:val="11"/>
          <w:szCs w:val="11"/>
          <w:color w:val="050505"/>
        </w:rPr>
        <w:t>Adjusted EBITDA and Adjusted EBITDA Margin do not reflect certain litigation expenses, consisting of legal settlements and related fees for specific proceedings, that arise outside of the ordinary course of our business;</w:t>
      </w:r>
    </w:p>
    <w:p>
      <w:pPr>
        <w:spacing w:after="0" w:line="38" w:lineRule="exact"/>
        <w:rPr>
          <w:rFonts w:ascii="Arial" w:cs="Arial" w:eastAsia="Arial" w:hAnsi="Arial"/>
          <w:sz w:val="11"/>
          <w:szCs w:val="11"/>
          <w:color w:val="F7323F"/>
        </w:rPr>
      </w:pPr>
    </w:p>
    <w:p>
      <w:pPr>
        <w:jc w:val="both"/>
        <w:ind w:left="2420" w:right="839" w:hanging="217"/>
        <w:spacing w:after="0" w:line="294" w:lineRule="auto"/>
        <w:tabs>
          <w:tab w:leader="none" w:pos="2420" w:val="left"/>
        </w:tabs>
        <w:numPr>
          <w:ilvl w:val="0"/>
          <w:numId w:val="36"/>
        </w:numPr>
        <w:rPr>
          <w:rFonts w:ascii="Arial" w:cs="Arial" w:eastAsia="Arial" w:hAnsi="Arial"/>
          <w:sz w:val="10"/>
          <w:szCs w:val="10"/>
          <w:color w:val="F7323F"/>
        </w:rPr>
      </w:pPr>
      <w:r>
        <w:rPr>
          <w:rFonts w:ascii="Arial" w:cs="Arial" w:eastAsia="Arial" w:hAnsi="Arial"/>
          <w:sz w:val="10"/>
          <w:szCs w:val="10"/>
          <w:color w:val="050505"/>
        </w:rPr>
        <w:t>Adjusted EBITDA and Adjusted EBITDA Margin do not reflect the non-cash ground lease expense related to our new corporate headquarters lease whereby we are considered, for accounting purposes only, the owner of the construction project under current build-to-suit lease accounting;</w:t>
      </w:r>
    </w:p>
    <w:p>
      <w:pPr>
        <w:spacing w:after="0" w:line="15" w:lineRule="exact"/>
        <w:rPr>
          <w:rFonts w:ascii="Arial" w:cs="Arial" w:eastAsia="Arial" w:hAnsi="Arial"/>
          <w:sz w:val="10"/>
          <w:szCs w:val="10"/>
          <w:color w:val="F7323F"/>
        </w:rPr>
      </w:pPr>
    </w:p>
    <w:p>
      <w:pPr>
        <w:ind w:left="2420" w:hanging="217"/>
        <w:spacing w:after="0"/>
        <w:tabs>
          <w:tab w:leader="none" w:pos="2420" w:val="left"/>
        </w:tabs>
        <w:numPr>
          <w:ilvl w:val="0"/>
          <w:numId w:val="36"/>
        </w:numPr>
        <w:rPr>
          <w:rFonts w:ascii="Arial" w:cs="Arial" w:eastAsia="Arial" w:hAnsi="Arial"/>
          <w:sz w:val="11"/>
          <w:szCs w:val="11"/>
          <w:color w:val="F7323F"/>
        </w:rPr>
      </w:pPr>
      <w:r>
        <w:rPr>
          <w:rFonts w:ascii="Arial" w:cs="Arial" w:eastAsia="Arial" w:hAnsi="Arial"/>
          <w:sz w:val="11"/>
          <w:szCs w:val="11"/>
          <w:color w:val="050505"/>
        </w:rPr>
        <w:t>Adjusted EBITDA and Adjusted EBITDA Margin do not reflect transaction costs related to acquisitions; and</w:t>
      </w:r>
    </w:p>
    <w:p>
      <w:pPr>
        <w:spacing w:after="0" w:line="44" w:lineRule="exact"/>
        <w:rPr>
          <w:rFonts w:ascii="Arial" w:cs="Arial" w:eastAsia="Arial" w:hAnsi="Arial"/>
          <w:sz w:val="11"/>
          <w:szCs w:val="11"/>
          <w:color w:val="F7323F"/>
        </w:rPr>
      </w:pPr>
    </w:p>
    <w:p>
      <w:pPr>
        <w:jc w:val="both"/>
        <w:ind w:left="2420" w:right="839" w:hanging="217"/>
        <w:spacing w:after="0" w:line="242" w:lineRule="auto"/>
        <w:tabs>
          <w:tab w:leader="none" w:pos="2420" w:val="left"/>
        </w:tabs>
        <w:numPr>
          <w:ilvl w:val="0"/>
          <w:numId w:val="36"/>
        </w:numPr>
        <w:rPr>
          <w:rFonts w:ascii="Arial" w:cs="Arial" w:eastAsia="Arial" w:hAnsi="Arial"/>
          <w:sz w:val="11"/>
          <w:szCs w:val="11"/>
          <w:color w:val="F7323F"/>
        </w:rPr>
      </w:pPr>
      <w:r>
        <w:rPr>
          <w:rFonts w:ascii="Arial" w:cs="Arial" w:eastAsia="Arial" w:hAnsi="Arial"/>
          <w:sz w:val="11"/>
          <w:szCs w:val="11"/>
          <w:color w:val="050505"/>
        </w:rPr>
        <w:t>the expenses and other items that we exclude in our calculation of Adjusted EBITDA and Adjusted EBITDA Margin may differ from the expenses and other items, if any, that other companies may exclude from Adjusted EBITDA when they report their operating results and we may, in the future, exclude other significant, unusual or non-recurring expenses or other items from these financial measures.</w:t>
      </w:r>
    </w:p>
    <w:p>
      <w:pPr>
        <w:spacing w:after="0" w:line="95" w:lineRule="exact"/>
        <w:rPr>
          <w:sz w:val="20"/>
          <w:szCs w:val="20"/>
          <w:color w:val="auto"/>
        </w:rPr>
      </w:pPr>
    </w:p>
    <w:p>
      <w:pPr>
        <w:ind w:left="5680"/>
        <w:spacing w:after="0"/>
        <w:rPr>
          <w:sz w:val="20"/>
          <w:szCs w:val="20"/>
          <w:color w:val="auto"/>
        </w:rPr>
      </w:pPr>
      <w:r>
        <w:rPr>
          <w:rFonts w:ascii="Arial" w:cs="Arial" w:eastAsia="Arial" w:hAnsi="Arial"/>
          <w:sz w:val="11"/>
          <w:szCs w:val="11"/>
          <w:color w:val="050505"/>
        </w:rPr>
        <w:t>58</w:t>
      </w:r>
    </w:p>
    <w:p>
      <w:pPr>
        <w:sectPr>
          <w:pgSz w:w="11900" w:h="16838" w:orient="portrait"/>
          <w:cols w:equalWidth="0" w:num="1">
            <w:col w:w="10239"/>
          </w:cols>
          <w:pgMar w:left="220" w:top="354" w:right="1440" w:bottom="1440" w:gutter="0" w:footer="0" w:header="0"/>
        </w:sectPr>
      </w:pPr>
    </w:p>
    <w:bookmarkStart w:id="63" w:name="page64"/>
    <w:bookmarkEnd w:id="63"/>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hyperlink w:anchor="page5">
        <w:r>
          <w:rPr>
            <w:rFonts w:ascii="Arial" w:cs="Arial" w:eastAsia="Arial" w:hAnsi="Arial"/>
            <w:sz w:val="12"/>
            <w:szCs w:val="12"/>
            <w:b w:val="1"/>
            <w:bCs w:val="1"/>
            <w:u w:val="single" w:color="auto"/>
            <w:color w:val="0000EE"/>
          </w:rPr>
          <w:t>Table of Contents</w:t>
        </w:r>
      </w:hyperlink>
    </w:p>
    <w:p>
      <w:pPr>
        <w:spacing w:after="0" w:line="216" w:lineRule="exact"/>
        <w:rPr>
          <w:sz w:val="20"/>
          <w:szCs w:val="20"/>
          <w:color w:val="auto"/>
        </w:rPr>
      </w:pPr>
    </w:p>
    <w:p>
      <w:pPr>
        <w:ind w:left="2060" w:right="839"/>
        <w:spacing w:after="0" w:line="245" w:lineRule="auto"/>
        <w:rPr>
          <w:sz w:val="20"/>
          <w:szCs w:val="20"/>
          <w:color w:val="auto"/>
        </w:rPr>
      </w:pPr>
      <w:r>
        <w:rPr>
          <w:rFonts w:ascii="Arial" w:cs="Arial" w:eastAsia="Arial" w:hAnsi="Arial"/>
          <w:sz w:val="11"/>
          <w:szCs w:val="11"/>
          <w:color w:val="050505"/>
        </w:rPr>
        <w:t>Because of these limitations, Adjusted EBITDA and Adjusted EBITDA Margin should be considered along with other operating and financial performance measures presented in accordance with GAAP.</w:t>
      </w:r>
    </w:p>
    <w:p>
      <w:pPr>
        <w:spacing w:after="0" w:line="138" w:lineRule="exact"/>
        <w:rPr>
          <w:sz w:val="20"/>
          <w:szCs w:val="20"/>
          <w:color w:val="auto"/>
        </w:rPr>
      </w:pPr>
    </w:p>
    <w:p>
      <w:pPr>
        <w:ind w:left="2060"/>
        <w:spacing w:after="0"/>
        <w:rPr>
          <w:sz w:val="20"/>
          <w:szCs w:val="20"/>
          <w:color w:val="auto"/>
        </w:rPr>
      </w:pPr>
      <w:r>
        <w:rPr>
          <w:rFonts w:ascii="Arial" w:cs="Arial" w:eastAsia="Arial" w:hAnsi="Arial"/>
          <w:sz w:val="10"/>
          <w:szCs w:val="10"/>
          <w:color w:val="050505"/>
        </w:rPr>
        <w:t>The following table presents a reconciliation of Adjusted EBITDA to net loss, the most directly comparable financial measure prepared in accordance with</w:t>
      </w:r>
    </w:p>
    <w:p>
      <w:pPr>
        <w:spacing w:after="0" w:line="11" w:lineRule="exact"/>
        <w:rPr>
          <w:sz w:val="20"/>
          <w:szCs w:val="20"/>
          <w:color w:val="auto"/>
        </w:rPr>
      </w:pPr>
    </w:p>
    <w:p>
      <w:pPr>
        <w:ind w:left="2060"/>
        <w:spacing w:after="0"/>
        <w:rPr>
          <w:sz w:val="20"/>
          <w:szCs w:val="20"/>
          <w:color w:val="auto"/>
        </w:rPr>
      </w:pPr>
      <w:r>
        <w:rPr>
          <w:rFonts w:ascii="Arial" w:cs="Arial" w:eastAsia="Arial" w:hAnsi="Arial"/>
          <w:sz w:val="11"/>
          <w:szCs w:val="11"/>
          <w:color w:val="050505"/>
        </w:rPr>
        <w:t>GAAP, for each of the periods indicated:</w:t>
      </w:r>
    </w:p>
    <w:p>
      <w:pPr>
        <w:spacing w:after="0" w:line="150" w:lineRule="exact"/>
        <w:rPr>
          <w:sz w:val="20"/>
          <w:szCs w:val="20"/>
          <w:color w:val="auto"/>
        </w:rPr>
      </w:pPr>
    </w:p>
    <w:tbl>
      <w:tblPr>
        <w:tblLayout w:type="fixed"/>
        <w:tblInd w:w="2060" w:type="dxa"/>
        <w:tblCellMar>
          <w:top w:w="0" w:type="dxa"/>
          <w:left w:w="0" w:type="dxa"/>
          <w:bottom w:w="0" w:type="dxa"/>
          <w:right w:w="0" w:type="dxa"/>
        </w:tblCellMar>
      </w:tblPr>
      <w:tr>
        <w:trPr>
          <w:trHeight w:val="137"/>
        </w:trPr>
        <w:tc>
          <w:tcPr>
            <w:tcW w:w="33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600" w:type="dxa"/>
            <w:vAlign w:val="bottom"/>
            <w:tcBorders>
              <w:bottom w:val="single" w:sz="8" w:color="auto"/>
            </w:tcBorders>
            <w:gridSpan w:val="4"/>
          </w:tcPr>
          <w:p>
            <w:pPr>
              <w:jc w:val="center"/>
              <w:ind w:right="60"/>
              <w:spacing w:after="0"/>
              <w:rPr>
                <w:sz w:val="20"/>
                <w:szCs w:val="20"/>
                <w:color w:val="auto"/>
              </w:rPr>
            </w:pPr>
            <w:r>
              <w:rPr>
                <w:rFonts w:ascii="Arial" w:cs="Arial" w:eastAsia="Arial" w:hAnsi="Arial"/>
                <w:sz w:val="11"/>
                <w:szCs w:val="11"/>
                <w:b w:val="1"/>
                <w:bCs w:val="1"/>
                <w:color w:val="050505"/>
                <w:w w:val="97"/>
              </w:rPr>
              <w:t>Fiscal Year Ended June 30,</w:t>
            </w:r>
          </w:p>
        </w:tc>
        <w:tc>
          <w:tcPr>
            <w:tcW w:w="14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160" w:type="dxa"/>
            <w:vAlign w:val="bottom"/>
          </w:tcPr>
          <w:p>
            <w:pPr>
              <w:spacing w:after="0"/>
              <w:rPr>
                <w:sz w:val="11"/>
                <w:szCs w:val="11"/>
                <w:color w:val="auto"/>
              </w:rPr>
            </w:pPr>
          </w:p>
        </w:tc>
      </w:tr>
      <w:tr>
        <w:trPr>
          <w:trHeight w:val="115"/>
        </w:trPr>
        <w:tc>
          <w:tcPr>
            <w:tcW w:w="33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80" w:type="dxa"/>
            <w:vAlign w:val="bottom"/>
            <w:tcBorders>
              <w:bottom w:val="single" w:sz="8" w:color="auto"/>
            </w:tcBorders>
          </w:tcPr>
          <w:p>
            <w:pPr>
              <w:jc w:val="right"/>
              <w:spacing w:after="0" w:line="115" w:lineRule="exact"/>
              <w:rPr>
                <w:sz w:val="20"/>
                <w:szCs w:val="20"/>
                <w:color w:val="auto"/>
              </w:rPr>
            </w:pPr>
            <w:r>
              <w:rPr>
                <w:rFonts w:ascii="Arial" w:cs="Arial" w:eastAsia="Arial" w:hAnsi="Arial"/>
                <w:sz w:val="11"/>
                <w:szCs w:val="11"/>
                <w:b w:val="1"/>
                <w:bCs w:val="1"/>
                <w:color w:val="050505"/>
              </w:rPr>
              <w:t>2017</w:t>
            </w:r>
          </w:p>
        </w:tc>
        <w:tc>
          <w:tcPr>
            <w:tcW w:w="24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jc w:val="center"/>
              <w:ind w:right="126"/>
              <w:spacing w:after="0" w:line="115" w:lineRule="exact"/>
              <w:rPr>
                <w:sz w:val="20"/>
                <w:szCs w:val="20"/>
                <w:color w:val="auto"/>
              </w:rPr>
            </w:pPr>
            <w:r>
              <w:rPr>
                <w:rFonts w:ascii="Arial" w:cs="Arial" w:eastAsia="Arial" w:hAnsi="Arial"/>
                <w:sz w:val="11"/>
                <w:szCs w:val="11"/>
                <w:b w:val="1"/>
                <w:bCs w:val="1"/>
                <w:color w:val="050505"/>
                <w:w w:val="97"/>
              </w:rPr>
              <w:t>2018</w:t>
            </w:r>
          </w:p>
        </w:tc>
        <w:tc>
          <w:tcPr>
            <w:tcW w:w="46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jc w:val="right"/>
              <w:ind w:right="206"/>
              <w:spacing w:after="0" w:line="115" w:lineRule="exact"/>
              <w:rPr>
                <w:sz w:val="20"/>
                <w:szCs w:val="20"/>
                <w:color w:val="auto"/>
              </w:rPr>
            </w:pPr>
            <w:r>
              <w:rPr>
                <w:rFonts w:ascii="Arial" w:cs="Arial" w:eastAsia="Arial" w:hAnsi="Arial"/>
                <w:sz w:val="11"/>
                <w:szCs w:val="11"/>
                <w:b w:val="1"/>
                <w:bCs w:val="1"/>
                <w:color w:val="050505"/>
              </w:rPr>
              <w:t>2019</w:t>
            </w:r>
          </w:p>
        </w:tc>
        <w:tc>
          <w:tcPr>
            <w:tcW w:w="160" w:type="dxa"/>
            <w:vAlign w:val="bottom"/>
          </w:tcPr>
          <w:p>
            <w:pPr>
              <w:spacing w:after="0"/>
              <w:rPr>
                <w:sz w:val="10"/>
                <w:szCs w:val="10"/>
                <w:color w:val="auto"/>
              </w:rPr>
            </w:pPr>
          </w:p>
        </w:tc>
      </w:tr>
      <w:tr>
        <w:trPr>
          <w:trHeight w:val="115"/>
        </w:trPr>
        <w:tc>
          <w:tcPr>
            <w:tcW w:w="33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00" w:type="dxa"/>
            <w:vAlign w:val="bottom"/>
            <w:gridSpan w:val="4"/>
          </w:tcPr>
          <w:p>
            <w:pPr>
              <w:jc w:val="center"/>
              <w:ind w:right="60"/>
              <w:spacing w:after="0" w:line="115" w:lineRule="exact"/>
              <w:rPr>
                <w:sz w:val="20"/>
                <w:szCs w:val="20"/>
                <w:color w:val="auto"/>
              </w:rPr>
            </w:pPr>
            <w:r>
              <w:rPr>
                <w:rFonts w:ascii="Arial" w:cs="Arial" w:eastAsia="Arial" w:hAnsi="Arial"/>
                <w:sz w:val="11"/>
                <w:szCs w:val="11"/>
                <w:b w:val="1"/>
                <w:bCs w:val="1"/>
                <w:color w:val="050505"/>
                <w:w w:val="97"/>
              </w:rPr>
              <w:t>(dollars in millions)</w:t>
            </w: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60" w:type="dxa"/>
            <w:vAlign w:val="bottom"/>
          </w:tcPr>
          <w:p>
            <w:pPr>
              <w:spacing w:after="0"/>
              <w:rPr>
                <w:sz w:val="10"/>
                <w:szCs w:val="10"/>
                <w:color w:val="auto"/>
              </w:rPr>
            </w:pPr>
          </w:p>
        </w:tc>
      </w:tr>
      <w:tr>
        <w:trPr>
          <w:trHeight w:val="126"/>
        </w:trPr>
        <w:tc>
          <w:tcPr>
            <w:tcW w:w="3320" w:type="dxa"/>
            <w:vAlign w:val="bottom"/>
            <w:shd w:val="clear" w:color="auto" w:fill="CCEEFF"/>
          </w:tcPr>
          <w:p>
            <w:pPr>
              <w:ind w:left="40"/>
              <w:spacing w:after="0" w:line="126" w:lineRule="exact"/>
              <w:rPr>
                <w:sz w:val="20"/>
                <w:szCs w:val="20"/>
                <w:color w:val="auto"/>
              </w:rPr>
            </w:pPr>
            <w:r>
              <w:rPr>
                <w:rFonts w:ascii="Arial" w:cs="Arial" w:eastAsia="Arial" w:hAnsi="Arial"/>
                <w:sz w:val="9"/>
                <w:szCs w:val="9"/>
                <w:color w:val="050505"/>
              </w:rPr>
              <w:t>Net loss</w:t>
            </w:r>
            <w:r>
              <w:rPr>
                <w:rFonts w:ascii="Arial" w:cs="Arial" w:eastAsia="Arial" w:hAnsi="Arial"/>
                <w:sz w:val="14"/>
                <w:szCs w:val="14"/>
                <w:color w:val="050505"/>
                <w:vertAlign w:val="superscript"/>
              </w:rPr>
              <w:t>(1)</w:t>
            </w:r>
          </w:p>
        </w:tc>
        <w:tc>
          <w:tcPr>
            <w:tcW w:w="960" w:type="dxa"/>
            <w:vAlign w:val="bottom"/>
            <w:gridSpan w:val="2"/>
            <w:shd w:val="clear" w:color="auto" w:fill="CCEEFF"/>
          </w:tcPr>
          <w:p>
            <w:pPr>
              <w:jc w:val="right"/>
              <w:ind w:right="366"/>
              <w:spacing w:after="0"/>
              <w:rPr>
                <w:sz w:val="20"/>
                <w:szCs w:val="20"/>
                <w:color w:val="auto"/>
              </w:rPr>
            </w:pPr>
            <w:r>
              <w:rPr>
                <w:rFonts w:ascii="Arial" w:cs="Arial" w:eastAsia="Arial" w:hAnsi="Arial"/>
                <w:sz w:val="11"/>
                <w:szCs w:val="11"/>
                <w:color w:val="050505"/>
              </w:rPr>
              <w:t>$</w:t>
            </w:r>
          </w:p>
        </w:tc>
        <w:tc>
          <w:tcPr>
            <w:tcW w:w="44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050505"/>
                <w:w w:val="90"/>
              </w:rPr>
              <w:t>(71.1)</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050505"/>
              </w:rPr>
              <w:t>$</w:t>
            </w:r>
          </w:p>
        </w:tc>
        <w:tc>
          <w:tcPr>
            <w:tcW w:w="1040" w:type="dxa"/>
            <w:vAlign w:val="bottom"/>
            <w:gridSpan w:val="2"/>
            <w:shd w:val="clear" w:color="auto" w:fill="CCEEFF"/>
          </w:tcPr>
          <w:p>
            <w:pPr>
              <w:jc w:val="right"/>
              <w:ind w:right="440"/>
              <w:spacing w:after="0"/>
              <w:rPr>
                <w:sz w:val="20"/>
                <w:szCs w:val="20"/>
                <w:color w:val="auto"/>
              </w:rPr>
            </w:pPr>
            <w:r>
              <w:rPr>
                <w:rFonts w:ascii="Arial" w:cs="Arial" w:eastAsia="Arial" w:hAnsi="Arial"/>
                <w:sz w:val="11"/>
                <w:szCs w:val="11"/>
                <w:color w:val="050505"/>
              </w:rPr>
              <w:t>(47.9)</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050505"/>
              </w:rPr>
              <w:t>$</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050505"/>
              </w:rPr>
              <w:t>(195.6)</w:t>
            </w:r>
          </w:p>
        </w:tc>
      </w:tr>
      <w:tr>
        <w:trPr>
          <w:trHeight w:val="126"/>
        </w:trPr>
        <w:tc>
          <w:tcPr>
            <w:tcW w:w="3320" w:type="dxa"/>
            <w:vAlign w:val="bottom"/>
          </w:tcPr>
          <w:p>
            <w:pPr>
              <w:ind w:left="40"/>
              <w:spacing w:after="0"/>
              <w:rPr>
                <w:sz w:val="20"/>
                <w:szCs w:val="20"/>
                <w:color w:val="auto"/>
              </w:rPr>
            </w:pPr>
            <w:r>
              <w:rPr>
                <w:rFonts w:ascii="Arial" w:cs="Arial" w:eastAsia="Arial" w:hAnsi="Arial"/>
                <w:sz w:val="11"/>
                <w:szCs w:val="11"/>
                <w:color w:val="050505"/>
              </w:rPr>
              <w:t>Adjusted to exclude the following:</w:t>
            </w:r>
          </w:p>
        </w:tc>
        <w:tc>
          <w:tcPr>
            <w:tcW w:w="4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60" w:type="dxa"/>
            <w:vAlign w:val="bottom"/>
          </w:tcPr>
          <w:p>
            <w:pPr>
              <w:spacing w:after="0"/>
              <w:rPr>
                <w:sz w:val="10"/>
                <w:szCs w:val="10"/>
                <w:color w:val="auto"/>
              </w:rPr>
            </w:pPr>
          </w:p>
        </w:tc>
      </w:tr>
      <w:tr>
        <w:trPr>
          <w:trHeight w:val="126"/>
        </w:trPr>
        <w:tc>
          <w:tcPr>
            <w:tcW w:w="3320" w:type="dxa"/>
            <w:vAlign w:val="bottom"/>
            <w:shd w:val="clear" w:color="auto" w:fill="CCEEFF"/>
          </w:tcPr>
          <w:p>
            <w:pPr>
              <w:ind w:left="160"/>
              <w:spacing w:after="0"/>
              <w:rPr>
                <w:sz w:val="20"/>
                <w:szCs w:val="20"/>
                <w:color w:val="auto"/>
              </w:rPr>
            </w:pPr>
            <w:r>
              <w:rPr>
                <w:rFonts w:ascii="Arial" w:cs="Arial" w:eastAsia="Arial" w:hAnsi="Arial"/>
                <w:sz w:val="11"/>
                <w:szCs w:val="11"/>
                <w:color w:val="050505"/>
              </w:rPr>
              <w:t>Other (expense) income, net</w:t>
            </w:r>
          </w:p>
        </w:tc>
        <w:tc>
          <w:tcPr>
            <w:tcW w:w="48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44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050505"/>
              </w:rPr>
              <w:t>(0.3)</w:t>
            </w:r>
          </w:p>
        </w:tc>
        <w:tc>
          <w:tcPr>
            <w:tcW w:w="4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040" w:type="dxa"/>
            <w:vAlign w:val="bottom"/>
            <w:gridSpan w:val="2"/>
            <w:shd w:val="clear" w:color="auto" w:fill="CCEEFF"/>
          </w:tcPr>
          <w:p>
            <w:pPr>
              <w:jc w:val="right"/>
              <w:ind w:right="440"/>
              <w:spacing w:after="0"/>
              <w:rPr>
                <w:sz w:val="20"/>
                <w:szCs w:val="20"/>
                <w:color w:val="auto"/>
              </w:rPr>
            </w:pPr>
            <w:r>
              <w:rPr>
                <w:rFonts w:ascii="Arial" w:cs="Arial" w:eastAsia="Arial" w:hAnsi="Arial"/>
                <w:sz w:val="11"/>
                <w:szCs w:val="11"/>
                <w:color w:val="050505"/>
              </w:rPr>
              <w:t>(0.3)</w:t>
            </w:r>
          </w:p>
        </w:tc>
        <w:tc>
          <w:tcPr>
            <w:tcW w:w="1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1"/>
                <w:szCs w:val="11"/>
                <w:color w:val="050505"/>
              </w:rPr>
              <w:t>6.7</w:t>
            </w:r>
          </w:p>
        </w:tc>
        <w:tc>
          <w:tcPr>
            <w:tcW w:w="160" w:type="dxa"/>
            <w:vAlign w:val="bottom"/>
            <w:shd w:val="clear" w:color="auto" w:fill="CCEEFF"/>
          </w:tcPr>
          <w:p>
            <w:pPr>
              <w:spacing w:after="0"/>
              <w:rPr>
                <w:sz w:val="10"/>
                <w:szCs w:val="10"/>
                <w:color w:val="auto"/>
              </w:rPr>
            </w:pPr>
          </w:p>
        </w:tc>
      </w:tr>
      <w:tr>
        <w:trPr>
          <w:trHeight w:val="126"/>
        </w:trPr>
        <w:tc>
          <w:tcPr>
            <w:tcW w:w="3320" w:type="dxa"/>
            <w:vAlign w:val="bottom"/>
          </w:tcPr>
          <w:p>
            <w:pPr>
              <w:ind w:left="160"/>
              <w:spacing w:after="0"/>
              <w:rPr>
                <w:sz w:val="20"/>
                <w:szCs w:val="20"/>
                <w:color w:val="auto"/>
              </w:rPr>
            </w:pPr>
            <w:r>
              <w:rPr>
                <w:rFonts w:ascii="Arial" w:cs="Arial" w:eastAsia="Arial" w:hAnsi="Arial"/>
                <w:sz w:val="11"/>
                <w:szCs w:val="11"/>
                <w:color w:val="050505"/>
              </w:rPr>
              <w:t>Provision for income taxes</w:t>
            </w:r>
          </w:p>
        </w:tc>
        <w:tc>
          <w:tcPr>
            <w:tcW w:w="4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40" w:type="dxa"/>
            <w:vAlign w:val="bottom"/>
            <w:gridSpan w:val="2"/>
          </w:tcPr>
          <w:p>
            <w:pPr>
              <w:jc w:val="right"/>
              <w:ind w:right="200"/>
              <w:spacing w:after="0"/>
              <w:rPr>
                <w:sz w:val="20"/>
                <w:szCs w:val="20"/>
                <w:color w:val="auto"/>
              </w:rPr>
            </w:pPr>
            <w:r>
              <w:rPr>
                <w:rFonts w:ascii="Arial" w:cs="Arial" w:eastAsia="Arial" w:hAnsi="Arial"/>
                <w:sz w:val="11"/>
                <w:szCs w:val="11"/>
                <w:color w:val="050505"/>
              </w:rPr>
              <w:t>—</w:t>
            </w:r>
          </w:p>
        </w:tc>
        <w:tc>
          <w:tcPr>
            <w:tcW w:w="4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050505"/>
              </w:rPr>
              <w:t>0.1</w:t>
            </w:r>
          </w:p>
        </w:tc>
        <w:tc>
          <w:tcPr>
            <w:tcW w:w="4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050505"/>
              </w:rPr>
              <w:t>0.1</w:t>
            </w:r>
          </w:p>
        </w:tc>
        <w:tc>
          <w:tcPr>
            <w:tcW w:w="160" w:type="dxa"/>
            <w:vAlign w:val="bottom"/>
          </w:tcPr>
          <w:p>
            <w:pPr>
              <w:spacing w:after="0"/>
              <w:rPr>
                <w:sz w:val="10"/>
                <w:szCs w:val="10"/>
                <w:color w:val="auto"/>
              </w:rPr>
            </w:pPr>
          </w:p>
        </w:tc>
      </w:tr>
      <w:tr>
        <w:trPr>
          <w:trHeight w:val="126"/>
        </w:trPr>
        <w:tc>
          <w:tcPr>
            <w:tcW w:w="3320" w:type="dxa"/>
            <w:vAlign w:val="bottom"/>
            <w:shd w:val="clear" w:color="auto" w:fill="CCEEFF"/>
          </w:tcPr>
          <w:p>
            <w:pPr>
              <w:ind w:left="160"/>
              <w:spacing w:after="0"/>
              <w:rPr>
                <w:sz w:val="20"/>
                <w:szCs w:val="20"/>
                <w:color w:val="auto"/>
              </w:rPr>
            </w:pPr>
            <w:r>
              <w:rPr>
                <w:rFonts w:ascii="Arial" w:cs="Arial" w:eastAsia="Arial" w:hAnsi="Arial"/>
                <w:sz w:val="11"/>
                <w:szCs w:val="11"/>
                <w:color w:val="050505"/>
              </w:rPr>
              <w:t>Depreciation and amortization expense</w:t>
            </w:r>
          </w:p>
        </w:tc>
        <w:tc>
          <w:tcPr>
            <w:tcW w:w="48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1"/>
                <w:szCs w:val="11"/>
                <w:color w:val="050505"/>
              </w:rPr>
              <w:t>3.7</w:t>
            </w:r>
          </w:p>
        </w:tc>
        <w:tc>
          <w:tcPr>
            <w:tcW w:w="20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1"/>
                <w:szCs w:val="11"/>
                <w:color w:val="050505"/>
              </w:rPr>
              <w:t>6.6</w:t>
            </w:r>
          </w:p>
        </w:tc>
        <w:tc>
          <w:tcPr>
            <w:tcW w:w="4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1"/>
                <w:szCs w:val="11"/>
                <w:color w:val="050505"/>
              </w:rPr>
              <w:t>21.7</w:t>
            </w:r>
          </w:p>
        </w:tc>
        <w:tc>
          <w:tcPr>
            <w:tcW w:w="160" w:type="dxa"/>
            <w:vAlign w:val="bottom"/>
            <w:shd w:val="clear" w:color="auto" w:fill="CCEEFF"/>
          </w:tcPr>
          <w:p>
            <w:pPr>
              <w:spacing w:after="0"/>
              <w:rPr>
                <w:sz w:val="10"/>
                <w:szCs w:val="10"/>
                <w:color w:val="auto"/>
              </w:rPr>
            </w:pPr>
          </w:p>
        </w:tc>
      </w:tr>
      <w:tr>
        <w:trPr>
          <w:trHeight w:val="126"/>
        </w:trPr>
        <w:tc>
          <w:tcPr>
            <w:tcW w:w="3320" w:type="dxa"/>
            <w:vAlign w:val="bottom"/>
          </w:tcPr>
          <w:p>
            <w:pPr>
              <w:ind w:left="160"/>
              <w:spacing w:after="0"/>
              <w:rPr>
                <w:sz w:val="20"/>
                <w:szCs w:val="20"/>
                <w:color w:val="auto"/>
              </w:rPr>
            </w:pPr>
            <w:r>
              <w:rPr>
                <w:rFonts w:ascii="Arial" w:cs="Arial" w:eastAsia="Arial" w:hAnsi="Arial"/>
                <w:sz w:val="11"/>
                <w:szCs w:val="11"/>
                <w:color w:val="050505"/>
              </w:rPr>
              <w:t>Stock-based compensation expense</w:t>
            </w:r>
          </w:p>
        </w:tc>
        <w:tc>
          <w:tcPr>
            <w:tcW w:w="4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40" w:type="dxa"/>
            <w:vAlign w:val="bottom"/>
          </w:tcPr>
          <w:p>
            <w:pPr>
              <w:jc w:val="right"/>
              <w:spacing w:after="0"/>
              <w:rPr>
                <w:sz w:val="20"/>
                <w:szCs w:val="20"/>
                <w:color w:val="auto"/>
              </w:rPr>
            </w:pPr>
            <w:r>
              <w:rPr>
                <w:rFonts w:ascii="Arial" w:cs="Arial" w:eastAsia="Arial" w:hAnsi="Arial"/>
                <w:sz w:val="11"/>
                <w:szCs w:val="11"/>
                <w:color w:val="050505"/>
              </w:rPr>
              <w:t>10.3</w:t>
            </w:r>
          </w:p>
        </w:tc>
        <w:tc>
          <w:tcPr>
            <w:tcW w:w="2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050505"/>
              </w:rPr>
              <w:t>8.5</w:t>
            </w:r>
          </w:p>
        </w:tc>
        <w:tc>
          <w:tcPr>
            <w:tcW w:w="4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050505"/>
              </w:rPr>
              <w:t>89.5</w:t>
            </w:r>
          </w:p>
        </w:tc>
        <w:tc>
          <w:tcPr>
            <w:tcW w:w="160" w:type="dxa"/>
            <w:vAlign w:val="bottom"/>
          </w:tcPr>
          <w:p>
            <w:pPr>
              <w:spacing w:after="0"/>
              <w:rPr>
                <w:sz w:val="10"/>
                <w:szCs w:val="10"/>
                <w:color w:val="auto"/>
              </w:rPr>
            </w:pPr>
          </w:p>
        </w:tc>
      </w:tr>
      <w:tr>
        <w:trPr>
          <w:trHeight w:val="126"/>
        </w:trPr>
        <w:tc>
          <w:tcPr>
            <w:tcW w:w="3320" w:type="dxa"/>
            <w:vAlign w:val="bottom"/>
            <w:shd w:val="clear" w:color="auto" w:fill="CCEEFF"/>
          </w:tcPr>
          <w:p>
            <w:pPr>
              <w:ind w:left="160"/>
              <w:spacing w:after="0"/>
              <w:rPr>
                <w:sz w:val="20"/>
                <w:szCs w:val="20"/>
                <w:color w:val="auto"/>
              </w:rPr>
            </w:pPr>
            <w:r>
              <w:rPr>
                <w:rFonts w:ascii="Arial" w:cs="Arial" w:eastAsia="Arial" w:hAnsi="Arial"/>
                <w:sz w:val="11"/>
                <w:szCs w:val="11"/>
                <w:color w:val="050505"/>
              </w:rPr>
              <w:t>Transaction costs</w:t>
            </w:r>
          </w:p>
        </w:tc>
        <w:tc>
          <w:tcPr>
            <w:tcW w:w="48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440" w:type="dxa"/>
            <w:vAlign w:val="bottom"/>
            <w:gridSpan w:val="2"/>
            <w:shd w:val="clear" w:color="auto" w:fill="CCEEFF"/>
          </w:tcPr>
          <w:p>
            <w:pPr>
              <w:jc w:val="right"/>
              <w:ind w:right="200"/>
              <w:spacing w:after="0"/>
              <w:rPr>
                <w:sz w:val="20"/>
                <w:szCs w:val="20"/>
                <w:color w:val="auto"/>
              </w:rPr>
            </w:pPr>
            <w:r>
              <w:rPr>
                <w:rFonts w:ascii="Arial" w:cs="Arial" w:eastAsia="Arial" w:hAnsi="Arial"/>
                <w:sz w:val="11"/>
                <w:szCs w:val="11"/>
                <w:color w:val="050505"/>
              </w:rPr>
              <w:t>—</w:t>
            </w:r>
          </w:p>
        </w:tc>
        <w:tc>
          <w:tcPr>
            <w:tcW w:w="4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1"/>
                <w:szCs w:val="11"/>
                <w:color w:val="050505"/>
              </w:rPr>
              <w:t>0.5</w:t>
            </w:r>
          </w:p>
        </w:tc>
        <w:tc>
          <w:tcPr>
            <w:tcW w:w="4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1"/>
                <w:szCs w:val="11"/>
                <w:color w:val="050505"/>
              </w:rPr>
              <w:t>0.4</w:t>
            </w:r>
          </w:p>
        </w:tc>
        <w:tc>
          <w:tcPr>
            <w:tcW w:w="160" w:type="dxa"/>
            <w:vAlign w:val="bottom"/>
            <w:shd w:val="clear" w:color="auto" w:fill="CCEEFF"/>
          </w:tcPr>
          <w:p>
            <w:pPr>
              <w:spacing w:after="0"/>
              <w:rPr>
                <w:sz w:val="10"/>
                <w:szCs w:val="10"/>
                <w:color w:val="auto"/>
              </w:rPr>
            </w:pPr>
          </w:p>
        </w:tc>
      </w:tr>
      <w:tr>
        <w:trPr>
          <w:trHeight w:val="126"/>
        </w:trPr>
        <w:tc>
          <w:tcPr>
            <w:tcW w:w="3320" w:type="dxa"/>
            <w:vAlign w:val="bottom"/>
          </w:tcPr>
          <w:p>
            <w:pPr>
              <w:ind w:left="160"/>
              <w:spacing w:after="0"/>
              <w:rPr>
                <w:sz w:val="20"/>
                <w:szCs w:val="20"/>
                <w:color w:val="auto"/>
              </w:rPr>
            </w:pPr>
            <w:r>
              <w:rPr>
                <w:rFonts w:ascii="Arial" w:cs="Arial" w:eastAsia="Arial" w:hAnsi="Arial"/>
                <w:sz w:val="11"/>
                <w:szCs w:val="11"/>
                <w:color w:val="050505"/>
              </w:rPr>
              <w:t>Litigation expenses</w:t>
            </w:r>
          </w:p>
        </w:tc>
        <w:tc>
          <w:tcPr>
            <w:tcW w:w="4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40" w:type="dxa"/>
            <w:vAlign w:val="bottom"/>
          </w:tcPr>
          <w:p>
            <w:pPr>
              <w:jc w:val="right"/>
              <w:spacing w:after="0"/>
              <w:rPr>
                <w:sz w:val="20"/>
                <w:szCs w:val="20"/>
                <w:color w:val="auto"/>
              </w:rPr>
            </w:pPr>
            <w:r>
              <w:rPr>
                <w:rFonts w:ascii="Arial" w:cs="Arial" w:eastAsia="Arial" w:hAnsi="Arial"/>
                <w:sz w:val="11"/>
                <w:szCs w:val="11"/>
                <w:color w:val="050505"/>
              </w:rPr>
              <w:t>5.0</w:t>
            </w:r>
          </w:p>
        </w:tc>
        <w:tc>
          <w:tcPr>
            <w:tcW w:w="2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050505"/>
              </w:rPr>
              <w:t>1.5</w:t>
            </w:r>
          </w:p>
        </w:tc>
        <w:tc>
          <w:tcPr>
            <w:tcW w:w="4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050505"/>
              </w:rPr>
              <w:t>12.1</w:t>
            </w:r>
          </w:p>
        </w:tc>
        <w:tc>
          <w:tcPr>
            <w:tcW w:w="160" w:type="dxa"/>
            <w:vAlign w:val="bottom"/>
          </w:tcPr>
          <w:p>
            <w:pPr>
              <w:spacing w:after="0"/>
              <w:rPr>
                <w:sz w:val="10"/>
                <w:szCs w:val="10"/>
                <w:color w:val="auto"/>
              </w:rPr>
            </w:pPr>
          </w:p>
        </w:tc>
      </w:tr>
      <w:tr>
        <w:trPr>
          <w:trHeight w:val="126"/>
        </w:trPr>
        <w:tc>
          <w:tcPr>
            <w:tcW w:w="3320" w:type="dxa"/>
            <w:vAlign w:val="bottom"/>
            <w:shd w:val="clear" w:color="auto" w:fill="CCEEFF"/>
          </w:tcPr>
          <w:p>
            <w:pPr>
              <w:ind w:left="140"/>
              <w:spacing w:after="0"/>
              <w:rPr>
                <w:sz w:val="20"/>
                <w:szCs w:val="20"/>
                <w:color w:val="auto"/>
              </w:rPr>
            </w:pPr>
            <w:r>
              <w:rPr>
                <w:rFonts w:ascii="Arial" w:cs="Arial" w:eastAsia="Arial" w:hAnsi="Arial"/>
                <w:sz w:val="11"/>
                <w:szCs w:val="11"/>
                <w:color w:val="050505"/>
              </w:rPr>
              <w:t>Ground lease expense related to build-to-suit obligations</w:t>
            </w:r>
          </w:p>
        </w:tc>
        <w:tc>
          <w:tcPr>
            <w:tcW w:w="48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440" w:type="dxa"/>
            <w:vAlign w:val="bottom"/>
            <w:gridSpan w:val="2"/>
            <w:shd w:val="clear" w:color="auto" w:fill="CCEEFF"/>
          </w:tcPr>
          <w:p>
            <w:pPr>
              <w:jc w:val="right"/>
              <w:ind w:right="200"/>
              <w:spacing w:after="0"/>
              <w:rPr>
                <w:sz w:val="20"/>
                <w:szCs w:val="20"/>
                <w:color w:val="auto"/>
              </w:rPr>
            </w:pPr>
            <w:r>
              <w:rPr>
                <w:rFonts w:ascii="Arial" w:cs="Arial" w:eastAsia="Arial" w:hAnsi="Arial"/>
                <w:sz w:val="11"/>
                <w:szCs w:val="11"/>
                <w:color w:val="050505"/>
              </w:rPr>
              <w:t>—</w:t>
            </w:r>
          </w:p>
        </w:tc>
        <w:tc>
          <w:tcPr>
            <w:tcW w:w="4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040" w:type="dxa"/>
            <w:vAlign w:val="bottom"/>
            <w:gridSpan w:val="2"/>
            <w:shd w:val="clear" w:color="auto" w:fill="CCEEFF"/>
          </w:tcPr>
          <w:p>
            <w:pPr>
              <w:jc w:val="right"/>
              <w:ind w:right="460"/>
              <w:spacing w:after="0"/>
              <w:rPr>
                <w:sz w:val="20"/>
                <w:szCs w:val="20"/>
                <w:color w:val="auto"/>
              </w:rPr>
            </w:pPr>
            <w:r>
              <w:rPr>
                <w:rFonts w:ascii="Arial" w:cs="Arial" w:eastAsia="Arial" w:hAnsi="Arial"/>
                <w:sz w:val="11"/>
                <w:szCs w:val="11"/>
                <w:color w:val="050505"/>
              </w:rPr>
              <w:t>—</w:t>
            </w:r>
          </w:p>
        </w:tc>
        <w:tc>
          <w:tcPr>
            <w:tcW w:w="1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1"/>
                <w:szCs w:val="11"/>
                <w:color w:val="050505"/>
              </w:rPr>
              <w:t>7.2</w:t>
            </w:r>
          </w:p>
        </w:tc>
        <w:tc>
          <w:tcPr>
            <w:tcW w:w="160" w:type="dxa"/>
            <w:vAlign w:val="bottom"/>
            <w:shd w:val="clear" w:color="auto" w:fill="CCEEFF"/>
          </w:tcPr>
          <w:p>
            <w:pPr>
              <w:spacing w:after="0"/>
              <w:rPr>
                <w:sz w:val="10"/>
                <w:szCs w:val="10"/>
                <w:color w:val="auto"/>
              </w:rPr>
            </w:pPr>
          </w:p>
        </w:tc>
      </w:tr>
      <w:tr>
        <w:trPr>
          <w:trHeight w:val="20"/>
        </w:trPr>
        <w:tc>
          <w:tcPr>
            <w:tcW w:w="33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24"/>
        </w:trPr>
        <w:tc>
          <w:tcPr>
            <w:tcW w:w="3320" w:type="dxa"/>
            <w:vAlign w:val="bottom"/>
          </w:tcPr>
          <w:p>
            <w:pPr>
              <w:ind w:left="40"/>
              <w:spacing w:after="0" w:line="124" w:lineRule="exact"/>
              <w:rPr>
                <w:sz w:val="20"/>
                <w:szCs w:val="20"/>
                <w:color w:val="auto"/>
              </w:rPr>
            </w:pPr>
            <w:r>
              <w:rPr>
                <w:rFonts w:ascii="Arial" w:cs="Arial" w:eastAsia="Arial" w:hAnsi="Arial"/>
                <w:sz w:val="11"/>
                <w:szCs w:val="11"/>
                <w:color w:val="050505"/>
              </w:rPr>
              <w:t>Adjusted EBITDA</w:t>
            </w:r>
          </w:p>
        </w:tc>
        <w:tc>
          <w:tcPr>
            <w:tcW w:w="960" w:type="dxa"/>
            <w:vAlign w:val="bottom"/>
            <w:gridSpan w:val="2"/>
          </w:tcPr>
          <w:p>
            <w:pPr>
              <w:jc w:val="right"/>
              <w:ind w:right="366"/>
              <w:spacing w:after="0" w:line="124" w:lineRule="exact"/>
              <w:rPr>
                <w:sz w:val="20"/>
                <w:szCs w:val="20"/>
                <w:color w:val="auto"/>
              </w:rPr>
            </w:pPr>
            <w:r>
              <w:rPr>
                <w:rFonts w:ascii="Arial" w:cs="Arial" w:eastAsia="Arial" w:hAnsi="Arial"/>
                <w:sz w:val="11"/>
                <w:szCs w:val="11"/>
                <w:color w:val="050505"/>
              </w:rPr>
              <w:t>$</w:t>
            </w:r>
          </w:p>
        </w:tc>
        <w:tc>
          <w:tcPr>
            <w:tcW w:w="440" w:type="dxa"/>
            <w:vAlign w:val="bottom"/>
            <w:gridSpan w:val="2"/>
          </w:tcPr>
          <w:p>
            <w:pPr>
              <w:jc w:val="right"/>
              <w:ind w:right="160"/>
              <w:spacing w:after="0" w:line="124" w:lineRule="exact"/>
              <w:rPr>
                <w:sz w:val="20"/>
                <w:szCs w:val="20"/>
                <w:color w:val="auto"/>
              </w:rPr>
            </w:pPr>
            <w:r>
              <w:rPr>
                <w:rFonts w:ascii="Arial" w:cs="Arial" w:eastAsia="Arial" w:hAnsi="Arial"/>
                <w:sz w:val="11"/>
                <w:szCs w:val="11"/>
                <w:color w:val="050505"/>
                <w:w w:val="90"/>
              </w:rPr>
              <w:t>(51.8)</w:t>
            </w:r>
          </w:p>
        </w:tc>
        <w:tc>
          <w:tcPr>
            <w:tcW w:w="560" w:type="dxa"/>
            <w:vAlign w:val="bottom"/>
            <w:gridSpan w:val="2"/>
          </w:tcPr>
          <w:p>
            <w:pPr>
              <w:jc w:val="right"/>
              <w:ind w:right="100"/>
              <w:spacing w:after="0" w:line="124" w:lineRule="exact"/>
              <w:rPr>
                <w:sz w:val="20"/>
                <w:szCs w:val="20"/>
                <w:color w:val="auto"/>
              </w:rPr>
            </w:pPr>
            <w:r>
              <w:rPr>
                <w:rFonts w:ascii="Arial" w:cs="Arial" w:eastAsia="Arial" w:hAnsi="Arial"/>
                <w:sz w:val="11"/>
                <w:szCs w:val="11"/>
                <w:color w:val="050505"/>
              </w:rPr>
              <w:t>$</w:t>
            </w:r>
          </w:p>
        </w:tc>
        <w:tc>
          <w:tcPr>
            <w:tcW w:w="1040" w:type="dxa"/>
            <w:vAlign w:val="bottom"/>
            <w:gridSpan w:val="2"/>
          </w:tcPr>
          <w:p>
            <w:pPr>
              <w:jc w:val="right"/>
              <w:ind w:right="440"/>
              <w:spacing w:after="0" w:line="124" w:lineRule="exact"/>
              <w:rPr>
                <w:sz w:val="20"/>
                <w:szCs w:val="20"/>
                <w:color w:val="auto"/>
              </w:rPr>
            </w:pPr>
            <w:r>
              <w:rPr>
                <w:rFonts w:ascii="Arial" w:cs="Arial" w:eastAsia="Arial" w:hAnsi="Arial"/>
                <w:sz w:val="11"/>
                <w:szCs w:val="11"/>
                <w:color w:val="050505"/>
              </w:rPr>
              <w:t>(30.4)</w:t>
            </w:r>
          </w:p>
        </w:tc>
        <w:tc>
          <w:tcPr>
            <w:tcW w:w="280" w:type="dxa"/>
            <w:vAlign w:val="bottom"/>
            <w:gridSpan w:val="2"/>
          </w:tcPr>
          <w:p>
            <w:pPr>
              <w:jc w:val="right"/>
              <w:ind w:right="80"/>
              <w:spacing w:after="0" w:line="124" w:lineRule="exact"/>
              <w:rPr>
                <w:sz w:val="20"/>
                <w:szCs w:val="20"/>
                <w:color w:val="auto"/>
              </w:rPr>
            </w:pPr>
            <w:r>
              <w:rPr>
                <w:rFonts w:ascii="Arial" w:cs="Arial" w:eastAsia="Arial" w:hAnsi="Arial"/>
                <w:sz w:val="11"/>
                <w:szCs w:val="11"/>
                <w:color w:val="050505"/>
              </w:rPr>
              <w:t>$</w:t>
            </w:r>
          </w:p>
        </w:tc>
        <w:tc>
          <w:tcPr>
            <w:tcW w:w="760" w:type="dxa"/>
            <w:vAlign w:val="bottom"/>
            <w:gridSpan w:val="2"/>
          </w:tcPr>
          <w:p>
            <w:pPr>
              <w:jc w:val="right"/>
              <w:ind w:right="140"/>
              <w:spacing w:after="0" w:line="124" w:lineRule="exact"/>
              <w:rPr>
                <w:sz w:val="20"/>
                <w:szCs w:val="20"/>
                <w:color w:val="auto"/>
              </w:rPr>
            </w:pPr>
            <w:r>
              <w:rPr>
                <w:rFonts w:ascii="Arial" w:cs="Arial" w:eastAsia="Arial" w:hAnsi="Arial"/>
                <w:sz w:val="11"/>
                <w:szCs w:val="11"/>
                <w:color w:val="050505"/>
              </w:rPr>
              <w:t>(71.3)</w:t>
            </w:r>
          </w:p>
        </w:tc>
      </w:tr>
      <w:tr>
        <w:trPr>
          <w:trHeight w:val="32"/>
        </w:trPr>
        <w:tc>
          <w:tcPr>
            <w:tcW w:w="3320" w:type="dxa"/>
            <w:vAlign w:val="bottom"/>
          </w:tcPr>
          <w:p>
            <w:pPr>
              <w:spacing w:after="0"/>
              <w:rPr>
                <w:sz w:val="2"/>
                <w:szCs w:val="2"/>
                <w:color w:val="auto"/>
              </w:rPr>
            </w:pPr>
          </w:p>
        </w:tc>
        <w:tc>
          <w:tcPr>
            <w:tcW w:w="48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r>
      <w:tr>
        <w:trPr>
          <w:trHeight w:val="131"/>
        </w:trPr>
        <w:tc>
          <w:tcPr>
            <w:tcW w:w="3320" w:type="dxa"/>
            <w:vAlign w:val="bottom"/>
            <w:shd w:val="clear" w:color="auto" w:fill="CCEEFF"/>
          </w:tcPr>
          <w:p>
            <w:pPr>
              <w:ind w:left="40"/>
              <w:spacing w:after="0"/>
              <w:rPr>
                <w:sz w:val="20"/>
                <w:szCs w:val="20"/>
                <w:color w:val="auto"/>
              </w:rPr>
            </w:pPr>
            <w:r>
              <w:rPr>
                <w:rFonts w:ascii="Arial" w:cs="Arial" w:eastAsia="Arial" w:hAnsi="Arial"/>
                <w:sz w:val="11"/>
                <w:szCs w:val="11"/>
                <w:color w:val="050505"/>
              </w:rPr>
              <w:t>Adjusted EBITDA Margin</w:t>
            </w:r>
          </w:p>
        </w:tc>
        <w:tc>
          <w:tcPr>
            <w:tcW w:w="4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44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050505"/>
                <w:w w:val="93"/>
              </w:rPr>
              <w:t>(23.7)%</w:t>
            </w:r>
          </w:p>
        </w:tc>
        <w:tc>
          <w:tcPr>
            <w:tcW w:w="4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1"/>
                <w:szCs w:val="11"/>
                <w:color w:val="050505"/>
              </w:rPr>
              <w:t>(7.0)%</w:t>
            </w: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050505"/>
              </w:rPr>
              <w:t>(7.8)%</w:t>
            </w:r>
          </w:p>
        </w:tc>
      </w:tr>
      <w:tr>
        <w:trPr>
          <w:trHeight w:val="27"/>
        </w:trPr>
        <w:tc>
          <w:tcPr>
            <w:tcW w:w="3320" w:type="dxa"/>
            <w:vAlign w:val="bottom"/>
          </w:tcPr>
          <w:p>
            <w:pPr>
              <w:spacing w:after="0"/>
              <w:rPr>
                <w:sz w:val="2"/>
                <w:szCs w:val="2"/>
                <w:color w:val="auto"/>
              </w:rPr>
            </w:pPr>
          </w:p>
        </w:tc>
        <w:tc>
          <w:tcPr>
            <w:tcW w:w="48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1310640</wp:posOffset>
            </wp:positionH>
            <wp:positionV relativeFrom="paragraph">
              <wp:posOffset>62865</wp:posOffset>
            </wp:positionV>
            <wp:extent cx="1212215" cy="571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212215" cy="5715"/>
                    </a:xfrm>
                    <a:prstGeom prst="rect">
                      <a:avLst/>
                    </a:prstGeom>
                    <a:noFill/>
                  </pic:spPr>
                </pic:pic>
              </a:graphicData>
            </a:graphic>
          </wp:anchor>
        </w:drawing>
      </w:r>
    </w:p>
    <w:p>
      <w:pPr>
        <w:spacing w:after="0" w:line="111" w:lineRule="exact"/>
        <w:rPr>
          <w:sz w:val="20"/>
          <w:szCs w:val="20"/>
          <w:color w:val="auto"/>
        </w:rPr>
      </w:pPr>
    </w:p>
    <w:p>
      <w:pPr>
        <w:ind w:left="2280" w:hanging="221"/>
        <w:spacing w:after="0"/>
        <w:tabs>
          <w:tab w:leader="none" w:pos="2280" w:val="left"/>
        </w:tabs>
        <w:numPr>
          <w:ilvl w:val="0"/>
          <w:numId w:val="37"/>
        </w:numPr>
        <w:rPr>
          <w:rFonts w:ascii="Arial" w:cs="Arial" w:eastAsia="Arial" w:hAnsi="Arial"/>
          <w:sz w:val="8"/>
          <w:szCs w:val="8"/>
          <w:color w:val="050505"/>
        </w:rPr>
      </w:pPr>
      <w:r>
        <w:rPr>
          <w:rFonts w:ascii="Arial" w:cs="Arial" w:eastAsia="Arial" w:hAnsi="Arial"/>
          <w:sz w:val="8"/>
          <w:szCs w:val="8"/>
          <w:color w:val="050505"/>
        </w:rPr>
        <w:t>Included in net loss are content costs for past use as follows:</w:t>
      </w:r>
    </w:p>
    <w:p>
      <w:pPr>
        <w:spacing w:after="0" w:line="36" w:lineRule="exact"/>
        <w:rPr>
          <w:sz w:val="20"/>
          <w:szCs w:val="20"/>
          <w:color w:val="auto"/>
        </w:rPr>
      </w:pPr>
    </w:p>
    <w:tbl>
      <w:tblPr>
        <w:tblLayout w:type="fixed"/>
        <w:tblInd w:w="2060" w:type="dxa"/>
        <w:tblCellMar>
          <w:top w:w="0" w:type="dxa"/>
          <w:left w:w="0" w:type="dxa"/>
          <w:bottom w:w="0" w:type="dxa"/>
          <w:right w:w="0" w:type="dxa"/>
        </w:tblCellMar>
      </w:tblPr>
      <w:tr>
        <w:trPr>
          <w:trHeight w:val="137"/>
        </w:trPr>
        <w:tc>
          <w:tcPr>
            <w:tcW w:w="272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1620" w:type="dxa"/>
            <w:vAlign w:val="bottom"/>
            <w:tcBorders>
              <w:bottom w:val="single" w:sz="8" w:color="auto"/>
            </w:tcBorders>
            <w:gridSpan w:val="2"/>
          </w:tcPr>
          <w:p>
            <w:pPr>
              <w:jc w:val="center"/>
              <w:spacing w:after="0"/>
              <w:rPr>
                <w:sz w:val="20"/>
                <w:szCs w:val="20"/>
                <w:color w:val="auto"/>
              </w:rPr>
            </w:pPr>
            <w:r>
              <w:rPr>
                <w:rFonts w:ascii="Arial" w:cs="Arial" w:eastAsia="Arial" w:hAnsi="Arial"/>
                <w:sz w:val="11"/>
                <w:szCs w:val="11"/>
                <w:b w:val="1"/>
                <w:bCs w:val="1"/>
                <w:color w:val="050505"/>
                <w:w w:val="97"/>
              </w:rPr>
              <w:t>Fiscal Year Ended June 30,</w:t>
            </w:r>
          </w:p>
        </w:tc>
        <w:tc>
          <w:tcPr>
            <w:tcW w:w="26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40" w:type="dxa"/>
            <w:vAlign w:val="bottom"/>
          </w:tcPr>
          <w:p>
            <w:pPr>
              <w:spacing w:after="0"/>
              <w:rPr>
                <w:sz w:val="11"/>
                <w:szCs w:val="11"/>
                <w:color w:val="auto"/>
              </w:rPr>
            </w:pPr>
          </w:p>
        </w:tc>
      </w:tr>
      <w:tr>
        <w:trPr>
          <w:trHeight w:val="115"/>
        </w:trPr>
        <w:tc>
          <w:tcPr>
            <w:tcW w:w="272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jc w:val="right"/>
              <w:ind w:right="286"/>
              <w:spacing w:after="0" w:line="115" w:lineRule="exact"/>
              <w:rPr>
                <w:sz w:val="20"/>
                <w:szCs w:val="20"/>
                <w:color w:val="auto"/>
              </w:rPr>
            </w:pPr>
            <w:r>
              <w:rPr>
                <w:rFonts w:ascii="Arial" w:cs="Arial" w:eastAsia="Arial" w:hAnsi="Arial"/>
                <w:sz w:val="11"/>
                <w:szCs w:val="11"/>
                <w:b w:val="1"/>
                <w:bCs w:val="1"/>
                <w:color w:val="050505"/>
              </w:rPr>
              <w:t>2017</w:t>
            </w:r>
          </w:p>
        </w:tc>
        <w:tc>
          <w:tcPr>
            <w:tcW w:w="500" w:type="dxa"/>
            <w:vAlign w:val="bottom"/>
            <w:tcBorders>
              <w:bottom w:val="single" w:sz="8" w:color="auto"/>
            </w:tcBorders>
          </w:tcPr>
          <w:p>
            <w:pPr>
              <w:spacing w:after="0"/>
              <w:rPr>
                <w:sz w:val="10"/>
                <w:szCs w:val="10"/>
                <w:color w:val="auto"/>
              </w:rPr>
            </w:pPr>
          </w:p>
        </w:tc>
        <w:tc>
          <w:tcPr>
            <w:tcW w:w="1120" w:type="dxa"/>
            <w:vAlign w:val="bottom"/>
            <w:tcBorders>
              <w:bottom w:val="single" w:sz="8" w:color="auto"/>
            </w:tcBorders>
          </w:tcPr>
          <w:p>
            <w:pPr>
              <w:jc w:val="center"/>
              <w:ind w:right="466"/>
              <w:spacing w:after="0" w:line="115" w:lineRule="exact"/>
              <w:rPr>
                <w:sz w:val="20"/>
                <w:szCs w:val="20"/>
                <w:color w:val="auto"/>
              </w:rPr>
            </w:pPr>
            <w:r>
              <w:rPr>
                <w:rFonts w:ascii="Arial" w:cs="Arial" w:eastAsia="Arial" w:hAnsi="Arial"/>
                <w:sz w:val="11"/>
                <w:szCs w:val="11"/>
                <w:b w:val="1"/>
                <w:bCs w:val="1"/>
                <w:color w:val="050505"/>
                <w:w w:val="97"/>
              </w:rPr>
              <w:t>2018</w:t>
            </w:r>
          </w:p>
        </w:tc>
        <w:tc>
          <w:tcPr>
            <w:tcW w:w="26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jc w:val="right"/>
              <w:ind w:right="206"/>
              <w:spacing w:after="0" w:line="115" w:lineRule="exact"/>
              <w:rPr>
                <w:sz w:val="20"/>
                <w:szCs w:val="20"/>
                <w:color w:val="auto"/>
              </w:rPr>
            </w:pPr>
            <w:r>
              <w:rPr>
                <w:rFonts w:ascii="Arial" w:cs="Arial" w:eastAsia="Arial" w:hAnsi="Arial"/>
                <w:sz w:val="11"/>
                <w:szCs w:val="11"/>
                <w:b w:val="1"/>
                <w:bCs w:val="1"/>
                <w:color w:val="050505"/>
              </w:rPr>
              <w:t>2019</w:t>
            </w:r>
          </w:p>
        </w:tc>
        <w:tc>
          <w:tcPr>
            <w:tcW w:w="40" w:type="dxa"/>
            <w:vAlign w:val="bottom"/>
          </w:tcPr>
          <w:p>
            <w:pPr>
              <w:spacing w:after="0"/>
              <w:rPr>
                <w:sz w:val="10"/>
                <w:szCs w:val="10"/>
                <w:color w:val="auto"/>
              </w:rPr>
            </w:pPr>
          </w:p>
        </w:tc>
      </w:tr>
      <w:tr>
        <w:trPr>
          <w:trHeight w:val="115"/>
        </w:trPr>
        <w:tc>
          <w:tcPr>
            <w:tcW w:w="272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120" w:type="dxa"/>
            <w:vAlign w:val="bottom"/>
          </w:tcPr>
          <w:p>
            <w:pPr>
              <w:jc w:val="center"/>
              <w:ind w:right="446"/>
              <w:spacing w:after="0" w:line="115" w:lineRule="exact"/>
              <w:rPr>
                <w:sz w:val="20"/>
                <w:szCs w:val="20"/>
                <w:color w:val="auto"/>
              </w:rPr>
            </w:pPr>
            <w:r>
              <w:rPr>
                <w:rFonts w:ascii="Arial" w:cs="Arial" w:eastAsia="Arial" w:hAnsi="Arial"/>
                <w:sz w:val="11"/>
                <w:szCs w:val="11"/>
                <w:b w:val="1"/>
                <w:bCs w:val="1"/>
                <w:color w:val="050505"/>
              </w:rPr>
              <w:t>(in millions)</w:t>
            </w:r>
          </w:p>
        </w:tc>
        <w:tc>
          <w:tcPr>
            <w:tcW w:w="2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0" w:type="dxa"/>
            <w:vAlign w:val="bottom"/>
          </w:tcPr>
          <w:p>
            <w:pPr>
              <w:spacing w:after="0"/>
              <w:rPr>
                <w:sz w:val="10"/>
                <w:szCs w:val="10"/>
                <w:color w:val="auto"/>
              </w:rPr>
            </w:pPr>
          </w:p>
        </w:tc>
      </w:tr>
      <w:tr>
        <w:trPr>
          <w:trHeight w:val="126"/>
        </w:trPr>
        <w:tc>
          <w:tcPr>
            <w:tcW w:w="2720" w:type="dxa"/>
            <w:vAlign w:val="bottom"/>
            <w:shd w:val="clear" w:color="auto" w:fill="CCEEFF"/>
          </w:tcPr>
          <w:p>
            <w:pPr>
              <w:ind w:left="40"/>
              <w:spacing w:after="0" w:line="126" w:lineRule="exact"/>
              <w:rPr>
                <w:sz w:val="20"/>
                <w:szCs w:val="20"/>
                <w:color w:val="auto"/>
              </w:rPr>
            </w:pPr>
            <w:r>
              <w:rPr>
                <w:rFonts w:ascii="Arial" w:cs="Arial" w:eastAsia="Arial" w:hAnsi="Arial"/>
                <w:sz w:val="9"/>
                <w:szCs w:val="9"/>
                <w:color w:val="050505"/>
              </w:rPr>
              <w:t>Content costs for past use</w:t>
            </w:r>
            <w:r>
              <w:rPr>
                <w:rFonts w:ascii="Arial" w:cs="Arial" w:eastAsia="Arial" w:hAnsi="Arial"/>
                <w:sz w:val="14"/>
                <w:szCs w:val="14"/>
                <w:color w:val="050505"/>
                <w:vertAlign w:val="superscript"/>
              </w:rPr>
              <w:t>(1)</w:t>
            </w: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050505"/>
              </w:rPr>
              <w:t>$</w:t>
            </w:r>
          </w:p>
        </w:tc>
        <w:tc>
          <w:tcPr>
            <w:tcW w:w="680" w:type="dxa"/>
            <w:vAlign w:val="bottom"/>
            <w:shd w:val="clear" w:color="auto" w:fill="CCEEFF"/>
          </w:tcPr>
          <w:p>
            <w:pPr>
              <w:jc w:val="right"/>
              <w:ind w:right="46"/>
              <w:spacing w:after="0"/>
              <w:rPr>
                <w:sz w:val="20"/>
                <w:szCs w:val="20"/>
                <w:color w:val="auto"/>
              </w:rPr>
            </w:pPr>
            <w:r>
              <w:rPr>
                <w:rFonts w:ascii="Arial" w:cs="Arial" w:eastAsia="Arial" w:hAnsi="Arial"/>
                <w:sz w:val="11"/>
                <w:szCs w:val="11"/>
                <w:color w:val="050505"/>
              </w:rPr>
              <w:t>15.5</w:t>
            </w:r>
          </w:p>
        </w:tc>
        <w:tc>
          <w:tcPr>
            <w:tcW w:w="500" w:type="dxa"/>
            <w:vAlign w:val="bottom"/>
            <w:shd w:val="clear" w:color="auto" w:fill="CCEEFF"/>
          </w:tcPr>
          <w:p>
            <w:pPr>
              <w:jc w:val="right"/>
              <w:spacing w:after="0"/>
              <w:rPr>
                <w:sz w:val="20"/>
                <w:szCs w:val="20"/>
                <w:color w:val="auto"/>
              </w:rPr>
            </w:pPr>
            <w:r>
              <w:rPr>
                <w:rFonts w:ascii="Arial" w:cs="Arial" w:eastAsia="Arial" w:hAnsi="Arial"/>
                <w:sz w:val="11"/>
                <w:szCs w:val="11"/>
                <w:color w:val="050505"/>
              </w:rPr>
              <w:t>$</w:t>
            </w:r>
          </w:p>
        </w:tc>
        <w:tc>
          <w:tcPr>
            <w:tcW w:w="1120" w:type="dxa"/>
            <w:vAlign w:val="bottom"/>
            <w:shd w:val="clear" w:color="auto" w:fill="CCEEFF"/>
          </w:tcPr>
          <w:p>
            <w:pPr>
              <w:jc w:val="right"/>
              <w:ind w:right="386"/>
              <w:spacing w:after="0"/>
              <w:rPr>
                <w:sz w:val="20"/>
                <w:szCs w:val="20"/>
                <w:color w:val="auto"/>
              </w:rPr>
            </w:pPr>
            <w:r>
              <w:rPr>
                <w:rFonts w:ascii="Arial" w:cs="Arial" w:eastAsia="Arial" w:hAnsi="Arial"/>
                <w:sz w:val="11"/>
                <w:szCs w:val="11"/>
                <w:color w:val="050505"/>
              </w:rPr>
              <w:t>14.5</w:t>
            </w:r>
          </w:p>
        </w:tc>
        <w:tc>
          <w:tcPr>
            <w:tcW w:w="260" w:type="dxa"/>
            <w:vAlign w:val="bottom"/>
            <w:shd w:val="clear" w:color="auto" w:fill="CCEEFF"/>
          </w:tcPr>
          <w:p>
            <w:pPr>
              <w:jc w:val="right"/>
              <w:ind w:right="46"/>
              <w:spacing w:after="0"/>
              <w:rPr>
                <w:sz w:val="20"/>
                <w:szCs w:val="20"/>
                <w:color w:val="auto"/>
              </w:rPr>
            </w:pPr>
            <w:r>
              <w:rPr>
                <w:rFonts w:ascii="Arial" w:cs="Arial" w:eastAsia="Arial" w:hAnsi="Arial"/>
                <w:sz w:val="11"/>
                <w:szCs w:val="11"/>
                <w:color w:val="050505"/>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1"/>
                <w:szCs w:val="11"/>
                <w:color w:val="050505"/>
              </w:rPr>
              <w:t>16.4</w:t>
            </w:r>
          </w:p>
        </w:tc>
        <w:tc>
          <w:tcPr>
            <w:tcW w:w="40" w:type="dxa"/>
            <w:vAlign w:val="bottom"/>
            <w:shd w:val="clear" w:color="auto" w:fill="CCEEFF"/>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1447800</wp:posOffset>
            </wp:positionH>
            <wp:positionV relativeFrom="paragraph">
              <wp:posOffset>57150</wp:posOffset>
            </wp:positionV>
            <wp:extent cx="1120775" cy="571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120775" cy="5715"/>
                    </a:xfrm>
                    <a:prstGeom prst="rect">
                      <a:avLst/>
                    </a:prstGeom>
                    <a:noFill/>
                  </pic:spPr>
                </pic:pic>
              </a:graphicData>
            </a:graphic>
          </wp:anchor>
        </w:drawing>
      </w:r>
    </w:p>
    <w:p>
      <w:pPr>
        <w:spacing w:after="0" w:line="102" w:lineRule="exact"/>
        <w:rPr>
          <w:sz w:val="20"/>
          <w:szCs w:val="20"/>
          <w:color w:val="auto"/>
        </w:rPr>
      </w:pPr>
    </w:p>
    <w:p>
      <w:pPr>
        <w:jc w:val="both"/>
        <w:ind w:left="2500" w:right="839" w:hanging="225"/>
        <w:spacing w:after="0" w:line="241" w:lineRule="auto"/>
        <w:tabs>
          <w:tab w:leader="none" w:pos="2500" w:val="left"/>
        </w:tabs>
        <w:numPr>
          <w:ilvl w:val="0"/>
          <w:numId w:val="38"/>
        </w:numPr>
        <w:rPr>
          <w:rFonts w:ascii="Arial" w:cs="Arial" w:eastAsia="Arial" w:hAnsi="Arial"/>
          <w:sz w:val="8"/>
          <w:szCs w:val="8"/>
          <w:color w:val="050505"/>
        </w:rPr>
      </w:pPr>
      <w:r>
        <w:rPr>
          <w:rFonts w:ascii="Arial" w:cs="Arial" w:eastAsia="Arial" w:hAnsi="Arial"/>
          <w:sz w:val="8"/>
          <w:szCs w:val="8"/>
          <w:color w:val="050505"/>
        </w:rPr>
        <w:t>From time-to-time, we execute music royalty agreements with various music rights holders. As part of these go-forward license agreements, we may also enter into agreements whereby we are released from all potential licensor claims regarding our alleged past use of copyrighted material in our content in exchange for a mutually-agreed payment. We refer to these payments as content costs for past use. Included in Adjusted EBITDA are content costs for past use. These costs had a negative basis point impact on Adjusted EBITDA Margin of 711, 333, and 180 for fiscal 2017, 2018, and 2019, respectively.</w:t>
      </w:r>
    </w:p>
    <w:p>
      <w:pPr>
        <w:spacing w:after="0" w:line="128" w:lineRule="exact"/>
        <w:rPr>
          <w:sz w:val="20"/>
          <w:szCs w:val="20"/>
          <w:color w:val="auto"/>
        </w:rPr>
      </w:pPr>
    </w:p>
    <w:p>
      <w:pPr>
        <w:ind w:left="2060"/>
        <w:spacing w:after="0"/>
        <w:rPr>
          <w:sz w:val="20"/>
          <w:szCs w:val="20"/>
          <w:color w:val="auto"/>
        </w:rPr>
      </w:pPr>
      <w:r>
        <w:rPr>
          <w:rFonts w:ascii="Arial" w:cs="Arial" w:eastAsia="Arial" w:hAnsi="Arial"/>
          <w:sz w:val="11"/>
          <w:szCs w:val="11"/>
          <w:b w:val="1"/>
          <w:bCs w:val="1"/>
          <w:i w:val="1"/>
          <w:iCs w:val="1"/>
          <w:color w:val="auto"/>
        </w:rPr>
        <w:t>Subscription Contribution and Subscription Contribution Margin</w:t>
      </w:r>
    </w:p>
    <w:p>
      <w:pPr>
        <w:spacing w:after="0" w:line="12" w:lineRule="exact"/>
        <w:rPr>
          <w:sz w:val="20"/>
          <w:szCs w:val="20"/>
          <w:color w:val="auto"/>
        </w:rPr>
      </w:pPr>
    </w:p>
    <w:p>
      <w:pPr>
        <w:jc w:val="both"/>
        <w:ind w:left="2060" w:right="839"/>
        <w:spacing w:after="0" w:line="242" w:lineRule="auto"/>
        <w:rPr>
          <w:sz w:val="20"/>
          <w:szCs w:val="20"/>
          <w:color w:val="auto"/>
        </w:rPr>
      </w:pPr>
      <w:r>
        <w:rPr>
          <w:rFonts w:ascii="Arial" w:cs="Arial" w:eastAsia="Arial" w:hAnsi="Arial"/>
          <w:sz w:val="11"/>
          <w:szCs w:val="11"/>
          <w:color w:val="050505"/>
        </w:rPr>
        <w:t>We define Subscription Contribution as subscription revenue less cost of subscription revenue, adjusted to exclude from cost of subscription revenue, depreciation and amortization expense and stock-based compensation expense. Subscription Contribution Margin is calculated by dividing Subscription Contribution by subscription revenue.</w:t>
      </w:r>
    </w:p>
    <w:p>
      <w:pPr>
        <w:spacing w:after="0" w:line="140" w:lineRule="exact"/>
        <w:rPr>
          <w:sz w:val="20"/>
          <w:szCs w:val="20"/>
          <w:color w:val="auto"/>
        </w:rPr>
      </w:pPr>
    </w:p>
    <w:p>
      <w:pPr>
        <w:jc w:val="both"/>
        <w:ind w:left="2060" w:right="839"/>
        <w:spacing w:after="0"/>
        <w:rPr>
          <w:sz w:val="20"/>
          <w:szCs w:val="20"/>
          <w:color w:val="auto"/>
        </w:rPr>
      </w:pPr>
      <w:r>
        <w:rPr>
          <w:rFonts w:ascii="Arial" w:cs="Arial" w:eastAsia="Arial" w:hAnsi="Arial"/>
          <w:sz w:val="11"/>
          <w:szCs w:val="11"/>
          <w:color w:val="050505"/>
        </w:rPr>
        <w:t>We use Subscription Contribution and Subscription Contribution Margin to measure our ability to scale and leverage the costs of our Connected Fitness Subscriptions and measure Connected Fitness Subscriber Lifetime Value. We believe that these non-GAAP financial measures are useful to investors for period-to-period comparisons of our business and in understanding and evaluating our operating results because our management uses Subscription Contribution and Subscription Contribution Margin in conjunction with financial measures prepared in accordance with GAAP for planning purposes, including the preparation of our annual operating budget, as a measure of our core operating results and the effectiveness of our business strategy, and in evaluating our financial performance.</w:t>
      </w:r>
    </w:p>
    <w:p>
      <w:pPr>
        <w:spacing w:after="0" w:line="142" w:lineRule="exact"/>
        <w:rPr>
          <w:sz w:val="20"/>
          <w:szCs w:val="20"/>
          <w:color w:val="auto"/>
        </w:rPr>
      </w:pPr>
    </w:p>
    <w:p>
      <w:pPr>
        <w:jc w:val="both"/>
        <w:ind w:left="2060" w:right="839"/>
        <w:spacing w:after="0" w:line="245" w:lineRule="auto"/>
        <w:rPr>
          <w:sz w:val="20"/>
          <w:szCs w:val="20"/>
          <w:color w:val="auto"/>
        </w:rPr>
      </w:pPr>
      <w:r>
        <w:rPr>
          <w:rFonts w:ascii="Arial" w:cs="Arial" w:eastAsia="Arial" w:hAnsi="Arial"/>
          <w:sz w:val="11"/>
          <w:szCs w:val="11"/>
          <w:color w:val="050505"/>
        </w:rPr>
        <w:t>Our use of Subscription Contribution and Subscription Contribution Margin have limitations as analytical tools, and you should not consider these in isolation or as substitutes for analysis of our financial results as reported under GAAP. Some of these limitations are as follows:</w:t>
      </w:r>
    </w:p>
    <w:p>
      <w:pPr>
        <w:spacing w:after="0" w:line="156" w:lineRule="exact"/>
        <w:rPr>
          <w:sz w:val="20"/>
          <w:szCs w:val="20"/>
          <w:color w:val="auto"/>
        </w:rPr>
      </w:pPr>
    </w:p>
    <w:p>
      <w:pPr>
        <w:jc w:val="both"/>
        <w:ind w:left="2420" w:right="839" w:hanging="217"/>
        <w:spacing w:after="0" w:line="242" w:lineRule="auto"/>
        <w:tabs>
          <w:tab w:leader="none" w:pos="2420" w:val="left"/>
        </w:tabs>
        <w:numPr>
          <w:ilvl w:val="0"/>
          <w:numId w:val="39"/>
        </w:numPr>
        <w:rPr>
          <w:rFonts w:ascii="Arial" w:cs="Arial" w:eastAsia="Arial" w:hAnsi="Arial"/>
          <w:sz w:val="11"/>
          <w:szCs w:val="11"/>
          <w:color w:val="F7323F"/>
        </w:rPr>
      </w:pPr>
      <w:r>
        <w:rPr>
          <w:rFonts w:ascii="Arial" w:cs="Arial" w:eastAsia="Arial" w:hAnsi="Arial"/>
          <w:sz w:val="11"/>
          <w:szCs w:val="11"/>
          <w:color w:val="050505"/>
        </w:rPr>
        <w:t>although depreciation and amortization expense are non-cash charges, the assets being depreciated and amortized may have to be replaced in the future, and Subscription Contribution and Subscription Contribution Margin do not reflect cash capital expenditure requirements for such replacements or for new capital expenditure requirements; and</w:t>
      </w:r>
    </w:p>
    <w:p>
      <w:pPr>
        <w:spacing w:after="0" w:line="95" w:lineRule="exact"/>
        <w:rPr>
          <w:sz w:val="20"/>
          <w:szCs w:val="20"/>
          <w:color w:val="auto"/>
        </w:rPr>
      </w:pPr>
    </w:p>
    <w:p>
      <w:pPr>
        <w:ind w:left="5680"/>
        <w:spacing w:after="0"/>
        <w:rPr>
          <w:sz w:val="20"/>
          <w:szCs w:val="20"/>
          <w:color w:val="auto"/>
        </w:rPr>
      </w:pPr>
      <w:r>
        <w:rPr>
          <w:rFonts w:ascii="Arial" w:cs="Arial" w:eastAsia="Arial" w:hAnsi="Arial"/>
          <w:sz w:val="11"/>
          <w:szCs w:val="11"/>
          <w:color w:val="050505"/>
        </w:rPr>
        <w:t>59</w:t>
      </w:r>
    </w:p>
    <w:p>
      <w:pPr>
        <w:sectPr>
          <w:pgSz w:w="11900" w:h="16838" w:orient="portrait"/>
          <w:cols w:equalWidth="0" w:num="1">
            <w:col w:w="10239"/>
          </w:cols>
          <w:pgMar w:left="220" w:top="354" w:right="1440" w:bottom="1440" w:gutter="0" w:footer="0" w:header="0"/>
        </w:sectPr>
      </w:pPr>
    </w:p>
    <w:bookmarkStart w:id="64" w:name="page65"/>
    <w:bookmarkEnd w:id="64"/>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hyperlink w:anchor="page5">
        <w:r>
          <w:rPr>
            <w:rFonts w:ascii="Arial" w:cs="Arial" w:eastAsia="Arial" w:hAnsi="Arial"/>
            <w:sz w:val="12"/>
            <w:szCs w:val="12"/>
            <w:b w:val="1"/>
            <w:bCs w:val="1"/>
            <w:u w:val="single" w:color="auto"/>
            <w:color w:val="0000EE"/>
          </w:rPr>
          <w:t>Table of Contents</w:t>
        </w:r>
      </w:hyperlink>
    </w:p>
    <w:p>
      <w:pPr>
        <w:spacing w:after="0" w:line="216" w:lineRule="exact"/>
        <w:rPr>
          <w:sz w:val="20"/>
          <w:szCs w:val="20"/>
          <w:color w:val="auto"/>
        </w:rPr>
      </w:pPr>
    </w:p>
    <w:p>
      <w:pPr>
        <w:ind w:left="2420" w:right="839" w:hanging="217"/>
        <w:spacing w:after="0" w:line="245" w:lineRule="auto"/>
        <w:tabs>
          <w:tab w:leader="none" w:pos="2420" w:val="left"/>
        </w:tabs>
        <w:numPr>
          <w:ilvl w:val="0"/>
          <w:numId w:val="40"/>
        </w:numPr>
        <w:rPr>
          <w:rFonts w:ascii="Arial" w:cs="Arial" w:eastAsia="Arial" w:hAnsi="Arial"/>
          <w:sz w:val="11"/>
          <w:szCs w:val="11"/>
          <w:color w:val="F7323F"/>
        </w:rPr>
      </w:pPr>
      <w:r>
        <w:rPr>
          <w:rFonts w:ascii="Arial" w:cs="Arial" w:eastAsia="Arial" w:hAnsi="Arial"/>
          <w:sz w:val="11"/>
          <w:szCs w:val="11"/>
          <w:color w:val="050505"/>
        </w:rPr>
        <w:t>Subscription Contribution and Subscription Contribution Margin exclude stock-based compensation expense, which has recently been, and will continue to be for the foreseeable future, a significant recurring expense for our business and an important part of our compensation strategy.</w:t>
      </w:r>
    </w:p>
    <w:p>
      <w:pPr>
        <w:spacing w:after="0" w:line="138" w:lineRule="exact"/>
        <w:rPr>
          <w:sz w:val="20"/>
          <w:szCs w:val="20"/>
          <w:color w:val="auto"/>
        </w:rPr>
      </w:pPr>
    </w:p>
    <w:p>
      <w:pPr>
        <w:ind w:left="2060" w:right="839"/>
        <w:spacing w:after="0" w:line="245" w:lineRule="auto"/>
        <w:rPr>
          <w:sz w:val="20"/>
          <w:szCs w:val="20"/>
          <w:color w:val="auto"/>
        </w:rPr>
      </w:pPr>
      <w:r>
        <w:rPr>
          <w:rFonts w:ascii="Arial" w:cs="Arial" w:eastAsia="Arial" w:hAnsi="Arial"/>
          <w:sz w:val="11"/>
          <w:szCs w:val="11"/>
          <w:color w:val="050505"/>
        </w:rPr>
        <w:t>Because of these limitations, Subscription Contribution and Subscription Contribution Margin should be considered along with other operating and financial performance measures presented in accordance with GAAP.</w:t>
      </w:r>
    </w:p>
    <w:p>
      <w:pPr>
        <w:spacing w:after="0" w:line="138" w:lineRule="exact"/>
        <w:rPr>
          <w:sz w:val="20"/>
          <w:szCs w:val="20"/>
          <w:color w:val="auto"/>
        </w:rPr>
      </w:pPr>
    </w:p>
    <w:p>
      <w:pPr>
        <w:ind w:left="2060" w:right="839"/>
        <w:spacing w:after="0" w:line="245" w:lineRule="auto"/>
        <w:rPr>
          <w:sz w:val="20"/>
          <w:szCs w:val="20"/>
          <w:color w:val="auto"/>
        </w:rPr>
      </w:pPr>
      <w:r>
        <w:rPr>
          <w:rFonts w:ascii="Arial" w:cs="Arial" w:eastAsia="Arial" w:hAnsi="Arial"/>
          <w:sz w:val="11"/>
          <w:szCs w:val="11"/>
          <w:color w:val="050505"/>
        </w:rPr>
        <w:t>The following table presents a reconciliation of Subscription Contribution to subscription gross profit, the most directly comparable financial measure prepared in accordance with GAAP, for each of the periods indicated:</w:t>
      </w:r>
    </w:p>
    <w:p>
      <w:pPr>
        <w:spacing w:after="0" w:line="144" w:lineRule="exact"/>
        <w:rPr>
          <w:sz w:val="20"/>
          <w:szCs w:val="20"/>
          <w:color w:val="auto"/>
        </w:rPr>
      </w:pPr>
    </w:p>
    <w:tbl>
      <w:tblPr>
        <w:tblLayout w:type="fixed"/>
        <w:tblInd w:w="2060" w:type="dxa"/>
        <w:tblCellMar>
          <w:top w:w="0" w:type="dxa"/>
          <w:left w:w="0" w:type="dxa"/>
          <w:bottom w:w="0" w:type="dxa"/>
          <w:right w:w="0" w:type="dxa"/>
        </w:tblCellMar>
      </w:tblPr>
      <w:tr>
        <w:trPr>
          <w:trHeight w:val="137"/>
        </w:trPr>
        <w:tc>
          <w:tcPr>
            <w:tcW w:w="29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600" w:type="dxa"/>
            <w:vAlign w:val="bottom"/>
            <w:tcBorders>
              <w:bottom w:val="single" w:sz="8" w:color="auto"/>
            </w:tcBorders>
            <w:gridSpan w:val="4"/>
          </w:tcPr>
          <w:p>
            <w:pPr>
              <w:jc w:val="center"/>
              <w:ind w:right="60"/>
              <w:spacing w:after="0"/>
              <w:rPr>
                <w:sz w:val="20"/>
                <w:szCs w:val="20"/>
                <w:color w:val="auto"/>
              </w:rPr>
            </w:pPr>
            <w:r>
              <w:rPr>
                <w:rFonts w:ascii="Arial" w:cs="Arial" w:eastAsia="Arial" w:hAnsi="Arial"/>
                <w:sz w:val="11"/>
                <w:szCs w:val="11"/>
                <w:b w:val="1"/>
                <w:bCs w:val="1"/>
                <w:color w:val="050505"/>
                <w:w w:val="97"/>
              </w:rPr>
              <w:t>Fiscal Year Ended June 30,</w:t>
            </w:r>
          </w:p>
        </w:tc>
        <w:tc>
          <w:tcPr>
            <w:tcW w:w="12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r>
      <w:tr>
        <w:trPr>
          <w:trHeight w:val="115"/>
        </w:trPr>
        <w:tc>
          <w:tcPr>
            <w:tcW w:w="29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500" w:type="dxa"/>
            <w:vAlign w:val="bottom"/>
            <w:tcBorders>
              <w:bottom w:val="single" w:sz="8" w:color="auto"/>
            </w:tcBorders>
          </w:tcPr>
          <w:p>
            <w:pPr>
              <w:jc w:val="right"/>
              <w:spacing w:after="0" w:line="115" w:lineRule="exact"/>
              <w:rPr>
                <w:sz w:val="20"/>
                <w:szCs w:val="20"/>
                <w:color w:val="auto"/>
              </w:rPr>
            </w:pPr>
            <w:r>
              <w:rPr>
                <w:rFonts w:ascii="Arial" w:cs="Arial" w:eastAsia="Arial" w:hAnsi="Arial"/>
                <w:sz w:val="11"/>
                <w:szCs w:val="11"/>
                <w:b w:val="1"/>
                <w:bCs w:val="1"/>
                <w:color w:val="050505"/>
              </w:rPr>
              <w:t>2017</w:t>
            </w:r>
          </w:p>
        </w:tc>
        <w:tc>
          <w:tcPr>
            <w:tcW w:w="22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jc w:val="center"/>
              <w:ind w:right="86"/>
              <w:spacing w:after="0" w:line="115" w:lineRule="exact"/>
              <w:rPr>
                <w:sz w:val="20"/>
                <w:szCs w:val="20"/>
                <w:color w:val="auto"/>
              </w:rPr>
            </w:pPr>
            <w:r>
              <w:rPr>
                <w:rFonts w:ascii="Arial" w:cs="Arial" w:eastAsia="Arial" w:hAnsi="Arial"/>
                <w:sz w:val="11"/>
                <w:szCs w:val="11"/>
                <w:b w:val="1"/>
                <w:bCs w:val="1"/>
                <w:color w:val="050505"/>
                <w:w w:val="97"/>
              </w:rPr>
              <w:t>2018</w:t>
            </w:r>
          </w:p>
        </w:tc>
        <w:tc>
          <w:tcPr>
            <w:tcW w:w="46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jc w:val="right"/>
              <w:ind w:right="206"/>
              <w:spacing w:after="0" w:line="115" w:lineRule="exact"/>
              <w:rPr>
                <w:sz w:val="20"/>
                <w:szCs w:val="20"/>
                <w:color w:val="auto"/>
              </w:rPr>
            </w:pPr>
            <w:r>
              <w:rPr>
                <w:rFonts w:ascii="Arial" w:cs="Arial" w:eastAsia="Arial" w:hAnsi="Arial"/>
                <w:sz w:val="11"/>
                <w:szCs w:val="11"/>
                <w:b w:val="1"/>
                <w:bCs w:val="1"/>
                <w:color w:val="050505"/>
              </w:rPr>
              <w:t>2019</w:t>
            </w:r>
          </w:p>
        </w:tc>
        <w:tc>
          <w:tcPr>
            <w:tcW w:w="140" w:type="dxa"/>
            <w:vAlign w:val="bottom"/>
          </w:tcPr>
          <w:p>
            <w:pPr>
              <w:spacing w:after="0"/>
              <w:rPr>
                <w:sz w:val="10"/>
                <w:szCs w:val="10"/>
                <w:color w:val="auto"/>
              </w:rPr>
            </w:pPr>
          </w:p>
        </w:tc>
      </w:tr>
      <w:tr>
        <w:trPr>
          <w:trHeight w:val="115"/>
        </w:trPr>
        <w:tc>
          <w:tcPr>
            <w:tcW w:w="29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600" w:type="dxa"/>
            <w:vAlign w:val="bottom"/>
            <w:gridSpan w:val="4"/>
          </w:tcPr>
          <w:p>
            <w:pPr>
              <w:jc w:val="center"/>
              <w:ind w:right="60"/>
              <w:spacing w:after="0" w:line="115" w:lineRule="exact"/>
              <w:rPr>
                <w:sz w:val="20"/>
                <w:szCs w:val="20"/>
                <w:color w:val="auto"/>
              </w:rPr>
            </w:pPr>
            <w:r>
              <w:rPr>
                <w:rFonts w:ascii="Arial" w:cs="Arial" w:eastAsia="Arial" w:hAnsi="Arial"/>
                <w:sz w:val="11"/>
                <w:szCs w:val="11"/>
                <w:b w:val="1"/>
                <w:bCs w:val="1"/>
                <w:color w:val="050505"/>
                <w:w w:val="97"/>
              </w:rPr>
              <w:t>(dollars in millions)</w:t>
            </w: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r>
      <w:tr>
        <w:trPr>
          <w:trHeight w:val="126"/>
        </w:trPr>
        <w:tc>
          <w:tcPr>
            <w:tcW w:w="2940" w:type="dxa"/>
            <w:vAlign w:val="bottom"/>
            <w:shd w:val="clear" w:color="auto" w:fill="CCEEFF"/>
          </w:tcPr>
          <w:p>
            <w:pPr>
              <w:ind w:left="40"/>
              <w:spacing w:after="0"/>
              <w:rPr>
                <w:sz w:val="20"/>
                <w:szCs w:val="20"/>
                <w:color w:val="auto"/>
              </w:rPr>
            </w:pPr>
            <w:r>
              <w:rPr>
                <w:rFonts w:ascii="Arial" w:cs="Arial" w:eastAsia="Arial" w:hAnsi="Arial"/>
                <w:sz w:val="11"/>
                <w:szCs w:val="11"/>
                <w:color w:val="050505"/>
              </w:rPr>
              <w:t>Subscription revenue</w:t>
            </w:r>
          </w:p>
        </w:tc>
        <w:tc>
          <w:tcPr>
            <w:tcW w:w="1420" w:type="dxa"/>
            <w:vAlign w:val="bottom"/>
            <w:gridSpan w:val="2"/>
            <w:shd w:val="clear" w:color="auto" w:fill="CCEEFF"/>
          </w:tcPr>
          <w:p>
            <w:pPr>
              <w:jc w:val="right"/>
              <w:ind w:right="386"/>
              <w:spacing w:after="0"/>
              <w:rPr>
                <w:sz w:val="20"/>
                <w:szCs w:val="20"/>
                <w:color w:val="auto"/>
              </w:rPr>
            </w:pPr>
            <w:r>
              <w:rPr>
                <w:rFonts w:ascii="Arial" w:cs="Arial" w:eastAsia="Arial" w:hAnsi="Arial"/>
                <w:sz w:val="11"/>
                <w:szCs w:val="11"/>
                <w:color w:val="050505"/>
              </w:rPr>
              <w:t>$</w:t>
            </w:r>
          </w:p>
        </w:tc>
        <w:tc>
          <w:tcPr>
            <w:tcW w:w="220" w:type="dxa"/>
            <w:vAlign w:val="bottom"/>
            <w:shd w:val="clear" w:color="auto" w:fill="CCEEFF"/>
          </w:tcPr>
          <w:p>
            <w:pPr>
              <w:jc w:val="right"/>
              <w:spacing w:after="0"/>
              <w:rPr>
                <w:sz w:val="20"/>
                <w:szCs w:val="20"/>
                <w:color w:val="auto"/>
              </w:rPr>
            </w:pPr>
            <w:r>
              <w:rPr>
                <w:rFonts w:ascii="Arial" w:cs="Arial" w:eastAsia="Arial" w:hAnsi="Arial"/>
                <w:sz w:val="11"/>
                <w:szCs w:val="11"/>
                <w:color w:val="050505"/>
                <w:w w:val="93"/>
              </w:rPr>
              <w:t>32.5</w:t>
            </w:r>
          </w:p>
        </w:tc>
        <w:tc>
          <w:tcPr>
            <w:tcW w:w="180" w:type="dxa"/>
            <w:vAlign w:val="bottom"/>
            <w:shd w:val="clear" w:color="auto" w:fill="CCEEFF"/>
          </w:tcPr>
          <w:p>
            <w:pPr>
              <w:spacing w:after="0"/>
              <w:rPr>
                <w:sz w:val="10"/>
                <w:szCs w:val="10"/>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050505"/>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1"/>
                <w:szCs w:val="11"/>
                <w:color w:val="050505"/>
              </w:rPr>
              <w:t>80.3</w:t>
            </w:r>
          </w:p>
        </w:tc>
        <w:tc>
          <w:tcPr>
            <w:tcW w:w="460" w:type="dxa"/>
            <w:vAlign w:val="bottom"/>
            <w:shd w:val="clear" w:color="auto" w:fill="CCEEFF"/>
          </w:tcPr>
          <w:p>
            <w:pPr>
              <w:spacing w:after="0"/>
              <w:rPr>
                <w:sz w:val="10"/>
                <w:szCs w:val="10"/>
                <w:color w:val="auto"/>
              </w:rPr>
            </w:pP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050505"/>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1"/>
                <w:szCs w:val="11"/>
                <w:color w:val="050505"/>
              </w:rPr>
              <w:t>181.1</w:t>
            </w:r>
          </w:p>
        </w:tc>
        <w:tc>
          <w:tcPr>
            <w:tcW w:w="140" w:type="dxa"/>
            <w:vAlign w:val="bottom"/>
            <w:shd w:val="clear" w:color="auto" w:fill="CCEEFF"/>
          </w:tcPr>
          <w:p>
            <w:pPr>
              <w:spacing w:after="0"/>
              <w:rPr>
                <w:sz w:val="10"/>
                <w:szCs w:val="10"/>
                <w:color w:val="auto"/>
              </w:rPr>
            </w:pPr>
          </w:p>
        </w:tc>
      </w:tr>
      <w:tr>
        <w:trPr>
          <w:trHeight w:val="126"/>
        </w:trPr>
        <w:tc>
          <w:tcPr>
            <w:tcW w:w="2940" w:type="dxa"/>
            <w:vAlign w:val="bottom"/>
          </w:tcPr>
          <w:p>
            <w:pPr>
              <w:ind w:left="40"/>
              <w:spacing w:after="0" w:line="126" w:lineRule="exact"/>
              <w:rPr>
                <w:sz w:val="20"/>
                <w:szCs w:val="20"/>
                <w:color w:val="auto"/>
              </w:rPr>
            </w:pPr>
            <w:r>
              <w:rPr>
                <w:rFonts w:ascii="Arial" w:cs="Arial" w:eastAsia="Arial" w:hAnsi="Arial"/>
                <w:sz w:val="9"/>
                <w:szCs w:val="9"/>
                <w:color w:val="050505"/>
              </w:rPr>
              <w:t>Less: Cost of subscription</w:t>
            </w:r>
            <w:r>
              <w:rPr>
                <w:rFonts w:ascii="Arial" w:cs="Arial" w:eastAsia="Arial" w:hAnsi="Arial"/>
                <w:sz w:val="14"/>
                <w:szCs w:val="14"/>
                <w:color w:val="050505"/>
                <w:vertAlign w:val="superscript"/>
              </w:rPr>
              <w:t>(1)</w:t>
            </w:r>
          </w:p>
        </w:tc>
        <w:tc>
          <w:tcPr>
            <w:tcW w:w="920" w:type="dxa"/>
            <w:vAlign w:val="bottom"/>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050505"/>
                <w:w w:val="93"/>
              </w:rPr>
              <w:t>29.3</w:t>
            </w:r>
          </w:p>
        </w:tc>
        <w:tc>
          <w:tcPr>
            <w:tcW w:w="1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050505"/>
              </w:rPr>
              <w:t>45.5</w:t>
            </w: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050505"/>
              </w:rPr>
              <w:t>103.7</w:t>
            </w:r>
          </w:p>
        </w:tc>
        <w:tc>
          <w:tcPr>
            <w:tcW w:w="140" w:type="dxa"/>
            <w:vAlign w:val="bottom"/>
          </w:tcPr>
          <w:p>
            <w:pPr>
              <w:spacing w:after="0"/>
              <w:rPr>
                <w:sz w:val="10"/>
                <w:szCs w:val="10"/>
                <w:color w:val="auto"/>
              </w:rPr>
            </w:pPr>
          </w:p>
        </w:tc>
      </w:tr>
      <w:tr>
        <w:trPr>
          <w:trHeight w:val="124"/>
        </w:trPr>
        <w:tc>
          <w:tcPr>
            <w:tcW w:w="2940" w:type="dxa"/>
            <w:vAlign w:val="bottom"/>
            <w:shd w:val="clear" w:color="auto" w:fill="CCEEFF"/>
          </w:tcPr>
          <w:p>
            <w:pPr>
              <w:ind w:left="40"/>
              <w:spacing w:after="0" w:line="124" w:lineRule="exact"/>
              <w:rPr>
                <w:sz w:val="20"/>
                <w:szCs w:val="20"/>
                <w:color w:val="auto"/>
              </w:rPr>
            </w:pPr>
            <w:r>
              <w:rPr>
                <w:rFonts w:ascii="Arial" w:cs="Arial" w:eastAsia="Arial" w:hAnsi="Arial"/>
                <w:sz w:val="11"/>
                <w:szCs w:val="11"/>
                <w:color w:val="050505"/>
              </w:rPr>
              <w:t>Subscription gross profit</w:t>
            </w:r>
          </w:p>
        </w:tc>
        <w:tc>
          <w:tcPr>
            <w:tcW w:w="920" w:type="dxa"/>
            <w:vAlign w:val="bottom"/>
            <w:shd w:val="clear" w:color="auto" w:fill="CCEEFF"/>
          </w:tcPr>
          <w:p>
            <w:pPr>
              <w:spacing w:after="0"/>
              <w:rPr>
                <w:sz w:val="10"/>
                <w:szCs w:val="10"/>
                <w:color w:val="auto"/>
              </w:rPr>
            </w:pPr>
          </w:p>
        </w:tc>
        <w:tc>
          <w:tcPr>
            <w:tcW w:w="500" w:type="dxa"/>
            <w:vAlign w:val="bottom"/>
            <w:tcBorders>
              <w:bottom w:val="single" w:sz="8" w:color="auto"/>
            </w:tcBorders>
            <w:shd w:val="clear" w:color="auto" w:fill="CCEEFF"/>
          </w:tcPr>
          <w:p>
            <w:pPr>
              <w:spacing w:after="0"/>
              <w:rPr>
                <w:sz w:val="10"/>
                <w:szCs w:val="10"/>
                <w:color w:val="auto"/>
              </w:rPr>
            </w:pPr>
          </w:p>
        </w:tc>
        <w:tc>
          <w:tcPr>
            <w:tcW w:w="220" w:type="dxa"/>
            <w:vAlign w:val="bottom"/>
            <w:tcBorders>
              <w:bottom w:val="single" w:sz="8" w:color="auto"/>
            </w:tcBorders>
            <w:shd w:val="clear" w:color="auto" w:fill="CCEEFF"/>
          </w:tcPr>
          <w:p>
            <w:pPr>
              <w:jc w:val="right"/>
              <w:spacing w:after="0" w:line="124" w:lineRule="exact"/>
              <w:rPr>
                <w:sz w:val="20"/>
                <w:szCs w:val="20"/>
                <w:color w:val="auto"/>
              </w:rPr>
            </w:pPr>
            <w:r>
              <w:rPr>
                <w:rFonts w:ascii="Arial" w:cs="Arial" w:eastAsia="Arial" w:hAnsi="Arial"/>
                <w:sz w:val="11"/>
                <w:szCs w:val="11"/>
                <w:color w:val="050505"/>
              </w:rPr>
              <w:t>3.2</w:t>
            </w:r>
          </w:p>
        </w:tc>
        <w:tc>
          <w:tcPr>
            <w:tcW w:w="18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40" w:type="dxa"/>
            <w:vAlign w:val="bottom"/>
            <w:tcBorders>
              <w:bottom w:val="single" w:sz="8" w:color="auto"/>
            </w:tcBorders>
            <w:shd w:val="clear" w:color="auto" w:fill="CCEEFF"/>
          </w:tcPr>
          <w:p>
            <w:pPr>
              <w:spacing w:after="0"/>
              <w:rPr>
                <w:sz w:val="10"/>
                <w:szCs w:val="10"/>
                <w:color w:val="auto"/>
              </w:rPr>
            </w:pPr>
          </w:p>
        </w:tc>
        <w:tc>
          <w:tcPr>
            <w:tcW w:w="580" w:type="dxa"/>
            <w:vAlign w:val="bottom"/>
            <w:tcBorders>
              <w:bottom w:val="single" w:sz="8" w:color="auto"/>
            </w:tcBorders>
            <w:shd w:val="clear" w:color="auto" w:fill="CCEEFF"/>
          </w:tcPr>
          <w:p>
            <w:pPr>
              <w:jc w:val="right"/>
              <w:spacing w:after="0" w:line="124" w:lineRule="exact"/>
              <w:rPr>
                <w:sz w:val="20"/>
                <w:szCs w:val="20"/>
                <w:color w:val="auto"/>
              </w:rPr>
            </w:pPr>
            <w:r>
              <w:rPr>
                <w:rFonts w:ascii="Arial" w:cs="Arial" w:eastAsia="Arial" w:hAnsi="Arial"/>
                <w:sz w:val="11"/>
                <w:szCs w:val="11"/>
                <w:color w:val="050505"/>
              </w:rPr>
              <w:t>34.7</w:t>
            </w:r>
          </w:p>
        </w:tc>
        <w:tc>
          <w:tcPr>
            <w:tcW w:w="4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60" w:type="dxa"/>
            <w:vAlign w:val="bottom"/>
            <w:tcBorders>
              <w:bottom w:val="single" w:sz="8" w:color="auto"/>
            </w:tcBorders>
            <w:shd w:val="clear" w:color="auto" w:fill="CCEEFF"/>
          </w:tcPr>
          <w:p>
            <w:pPr>
              <w:spacing w:after="0"/>
              <w:rPr>
                <w:sz w:val="10"/>
                <w:szCs w:val="10"/>
                <w:color w:val="auto"/>
              </w:rPr>
            </w:pPr>
          </w:p>
        </w:tc>
        <w:tc>
          <w:tcPr>
            <w:tcW w:w="580" w:type="dxa"/>
            <w:vAlign w:val="bottom"/>
            <w:tcBorders>
              <w:bottom w:val="single" w:sz="8" w:color="auto"/>
            </w:tcBorders>
            <w:shd w:val="clear" w:color="auto" w:fill="CCEEFF"/>
          </w:tcPr>
          <w:p>
            <w:pPr>
              <w:jc w:val="right"/>
              <w:spacing w:after="0" w:line="124" w:lineRule="exact"/>
              <w:rPr>
                <w:sz w:val="20"/>
                <w:szCs w:val="20"/>
                <w:color w:val="auto"/>
              </w:rPr>
            </w:pPr>
            <w:r>
              <w:rPr>
                <w:rFonts w:ascii="Arial" w:cs="Arial" w:eastAsia="Arial" w:hAnsi="Arial"/>
                <w:sz w:val="11"/>
                <w:szCs w:val="11"/>
                <w:color w:val="050505"/>
              </w:rPr>
              <w:t>77.4</w:t>
            </w:r>
          </w:p>
        </w:tc>
        <w:tc>
          <w:tcPr>
            <w:tcW w:w="140" w:type="dxa"/>
            <w:vAlign w:val="bottom"/>
            <w:shd w:val="clear" w:color="auto" w:fill="CCEEFF"/>
          </w:tcPr>
          <w:p>
            <w:pPr>
              <w:spacing w:after="0"/>
              <w:rPr>
                <w:sz w:val="10"/>
                <w:szCs w:val="10"/>
                <w:color w:val="auto"/>
              </w:rPr>
            </w:pPr>
          </w:p>
        </w:tc>
      </w:tr>
      <w:tr>
        <w:trPr>
          <w:trHeight w:val="136"/>
        </w:trPr>
        <w:tc>
          <w:tcPr>
            <w:tcW w:w="2940" w:type="dxa"/>
            <w:vAlign w:val="bottom"/>
          </w:tcPr>
          <w:p>
            <w:pPr>
              <w:ind w:left="40"/>
              <w:spacing w:after="0" w:line="124" w:lineRule="exact"/>
              <w:rPr>
                <w:sz w:val="20"/>
                <w:szCs w:val="20"/>
                <w:color w:val="auto"/>
              </w:rPr>
            </w:pPr>
            <w:r>
              <w:rPr>
                <w:rFonts w:ascii="Arial" w:cs="Arial" w:eastAsia="Arial" w:hAnsi="Arial"/>
                <w:sz w:val="11"/>
                <w:szCs w:val="11"/>
                <w:color w:val="050505"/>
              </w:rPr>
              <w:t>Subscription gross margin</w:t>
            </w:r>
          </w:p>
        </w:tc>
        <w:tc>
          <w:tcPr>
            <w:tcW w:w="9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0" w:type="dxa"/>
            <w:vAlign w:val="bottom"/>
            <w:gridSpan w:val="2"/>
          </w:tcPr>
          <w:p>
            <w:pPr>
              <w:jc w:val="right"/>
              <w:ind w:right="80"/>
              <w:spacing w:after="0" w:line="124" w:lineRule="exact"/>
              <w:rPr>
                <w:sz w:val="20"/>
                <w:szCs w:val="20"/>
                <w:color w:val="auto"/>
              </w:rPr>
            </w:pPr>
            <w:r>
              <w:rPr>
                <w:rFonts w:ascii="Arial" w:cs="Arial" w:eastAsia="Arial" w:hAnsi="Arial"/>
                <w:sz w:val="11"/>
                <w:szCs w:val="11"/>
                <w:color w:val="050505"/>
              </w:rPr>
              <w:t>9.7%</w:t>
            </w: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gridSpan w:val="2"/>
          </w:tcPr>
          <w:p>
            <w:pPr>
              <w:jc w:val="right"/>
              <w:ind w:right="360"/>
              <w:spacing w:after="0" w:line="124" w:lineRule="exact"/>
              <w:rPr>
                <w:sz w:val="20"/>
                <w:szCs w:val="20"/>
                <w:color w:val="auto"/>
              </w:rPr>
            </w:pPr>
            <w:r>
              <w:rPr>
                <w:rFonts w:ascii="Arial" w:cs="Arial" w:eastAsia="Arial" w:hAnsi="Arial"/>
                <w:sz w:val="11"/>
                <w:szCs w:val="11"/>
                <w:color w:val="050505"/>
              </w:rPr>
              <w:t>43.3%</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gridSpan w:val="2"/>
          </w:tcPr>
          <w:p>
            <w:pPr>
              <w:jc w:val="right"/>
              <w:ind w:right="60"/>
              <w:spacing w:after="0" w:line="124" w:lineRule="exact"/>
              <w:rPr>
                <w:sz w:val="20"/>
                <w:szCs w:val="20"/>
                <w:color w:val="auto"/>
              </w:rPr>
            </w:pPr>
            <w:r>
              <w:rPr>
                <w:rFonts w:ascii="Arial" w:cs="Arial" w:eastAsia="Arial" w:hAnsi="Arial"/>
                <w:sz w:val="11"/>
                <w:szCs w:val="11"/>
                <w:color w:val="050505"/>
              </w:rPr>
              <w:t>42.7%</w:t>
            </w:r>
          </w:p>
        </w:tc>
      </w:tr>
      <w:tr>
        <w:trPr>
          <w:trHeight w:val="131"/>
        </w:trPr>
        <w:tc>
          <w:tcPr>
            <w:tcW w:w="2940" w:type="dxa"/>
            <w:vAlign w:val="bottom"/>
            <w:shd w:val="clear" w:color="auto" w:fill="CCEEFF"/>
          </w:tcPr>
          <w:p>
            <w:pPr>
              <w:ind w:left="40"/>
              <w:spacing w:after="0"/>
              <w:rPr>
                <w:sz w:val="20"/>
                <w:szCs w:val="20"/>
                <w:color w:val="auto"/>
              </w:rPr>
            </w:pPr>
            <w:r>
              <w:rPr>
                <w:rFonts w:ascii="Arial" w:cs="Arial" w:eastAsia="Arial" w:hAnsi="Arial"/>
                <w:sz w:val="11"/>
                <w:szCs w:val="11"/>
                <w:color w:val="050505"/>
              </w:rPr>
              <w:t>Adjusted to exclude the following:</w:t>
            </w:r>
          </w:p>
        </w:tc>
        <w:tc>
          <w:tcPr>
            <w:tcW w:w="920" w:type="dxa"/>
            <w:vAlign w:val="bottom"/>
            <w:shd w:val="clear" w:color="auto" w:fill="CCEEFF"/>
          </w:tcPr>
          <w:p>
            <w:pPr>
              <w:spacing w:after="0"/>
              <w:rPr>
                <w:sz w:val="11"/>
                <w:szCs w:val="11"/>
                <w:color w:val="auto"/>
              </w:rPr>
            </w:pPr>
          </w:p>
        </w:tc>
        <w:tc>
          <w:tcPr>
            <w:tcW w:w="500" w:type="dxa"/>
            <w:vAlign w:val="bottom"/>
            <w:tcBorders>
              <w:top w:val="single" w:sz="8" w:color="auto"/>
            </w:tcBorders>
            <w:shd w:val="clear" w:color="auto" w:fill="CCEEFF"/>
          </w:tcPr>
          <w:p>
            <w:pPr>
              <w:spacing w:after="0"/>
              <w:rPr>
                <w:sz w:val="11"/>
                <w:szCs w:val="11"/>
                <w:color w:val="auto"/>
              </w:rPr>
            </w:pPr>
          </w:p>
        </w:tc>
        <w:tc>
          <w:tcPr>
            <w:tcW w:w="220" w:type="dxa"/>
            <w:vAlign w:val="bottom"/>
            <w:tcBorders>
              <w:top w:val="single" w:sz="8" w:color="auto"/>
            </w:tcBorders>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r>
      <w:tr>
        <w:trPr>
          <w:trHeight w:val="126"/>
        </w:trPr>
        <w:tc>
          <w:tcPr>
            <w:tcW w:w="2940" w:type="dxa"/>
            <w:vAlign w:val="bottom"/>
          </w:tcPr>
          <w:p>
            <w:pPr>
              <w:ind w:left="160"/>
              <w:spacing w:after="0"/>
              <w:rPr>
                <w:sz w:val="20"/>
                <w:szCs w:val="20"/>
                <w:color w:val="auto"/>
              </w:rPr>
            </w:pPr>
            <w:r>
              <w:rPr>
                <w:rFonts w:ascii="Arial" w:cs="Arial" w:eastAsia="Arial" w:hAnsi="Arial"/>
                <w:sz w:val="11"/>
                <w:szCs w:val="11"/>
                <w:color w:val="050505"/>
              </w:rPr>
              <w:t>Depreciation and amortization expense</w:t>
            </w:r>
          </w:p>
        </w:tc>
        <w:tc>
          <w:tcPr>
            <w:tcW w:w="1420" w:type="dxa"/>
            <w:vAlign w:val="bottom"/>
            <w:gridSpan w:val="2"/>
          </w:tcPr>
          <w:p>
            <w:pPr>
              <w:jc w:val="right"/>
              <w:ind w:right="386"/>
              <w:spacing w:after="0"/>
              <w:rPr>
                <w:sz w:val="20"/>
                <w:szCs w:val="20"/>
                <w:color w:val="auto"/>
              </w:rPr>
            </w:pPr>
            <w:r>
              <w:rPr>
                <w:rFonts w:ascii="Arial" w:cs="Arial" w:eastAsia="Arial" w:hAnsi="Arial"/>
                <w:sz w:val="11"/>
                <w:szCs w:val="11"/>
                <w:color w:val="050505"/>
              </w:rPr>
              <w:t>$</w:t>
            </w:r>
          </w:p>
        </w:tc>
        <w:tc>
          <w:tcPr>
            <w:tcW w:w="220" w:type="dxa"/>
            <w:vAlign w:val="bottom"/>
          </w:tcPr>
          <w:p>
            <w:pPr>
              <w:jc w:val="right"/>
              <w:spacing w:after="0"/>
              <w:rPr>
                <w:sz w:val="20"/>
                <w:szCs w:val="20"/>
                <w:color w:val="auto"/>
              </w:rPr>
            </w:pPr>
            <w:r>
              <w:rPr>
                <w:rFonts w:ascii="Arial" w:cs="Arial" w:eastAsia="Arial" w:hAnsi="Arial"/>
                <w:sz w:val="11"/>
                <w:szCs w:val="11"/>
                <w:color w:val="050505"/>
              </w:rPr>
              <w:t>1.2</w:t>
            </w:r>
          </w:p>
        </w:tc>
        <w:tc>
          <w:tcPr>
            <w:tcW w:w="180" w:type="dxa"/>
            <w:vAlign w:val="bottom"/>
          </w:tcPr>
          <w:p>
            <w:pPr>
              <w:spacing w:after="0"/>
              <w:rPr>
                <w:sz w:val="10"/>
                <w:szCs w:val="10"/>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1"/>
                <w:szCs w:val="11"/>
                <w:color w:val="050505"/>
              </w:rPr>
              <w:t>$</w:t>
            </w:r>
          </w:p>
        </w:tc>
        <w:tc>
          <w:tcPr>
            <w:tcW w:w="580" w:type="dxa"/>
            <w:vAlign w:val="bottom"/>
          </w:tcPr>
          <w:p>
            <w:pPr>
              <w:jc w:val="right"/>
              <w:spacing w:after="0"/>
              <w:rPr>
                <w:sz w:val="20"/>
                <w:szCs w:val="20"/>
                <w:color w:val="auto"/>
              </w:rPr>
            </w:pPr>
            <w:r>
              <w:rPr>
                <w:rFonts w:ascii="Arial" w:cs="Arial" w:eastAsia="Arial" w:hAnsi="Arial"/>
                <w:sz w:val="11"/>
                <w:szCs w:val="11"/>
                <w:color w:val="050505"/>
              </w:rPr>
              <w:t>2.8</w:t>
            </w:r>
          </w:p>
        </w:tc>
        <w:tc>
          <w:tcPr>
            <w:tcW w:w="460" w:type="dxa"/>
            <w:vAlign w:val="bottom"/>
          </w:tcPr>
          <w:p>
            <w:pPr>
              <w:spacing w:after="0"/>
              <w:rPr>
                <w:sz w:val="10"/>
                <w:szCs w:val="10"/>
                <w:color w:val="auto"/>
              </w:rPr>
            </w:pPr>
          </w:p>
        </w:tc>
        <w:tc>
          <w:tcPr>
            <w:tcW w:w="280" w:type="dxa"/>
            <w:vAlign w:val="bottom"/>
            <w:gridSpan w:val="2"/>
          </w:tcPr>
          <w:p>
            <w:pPr>
              <w:jc w:val="right"/>
              <w:ind w:right="100"/>
              <w:spacing w:after="0"/>
              <w:rPr>
                <w:sz w:val="20"/>
                <w:szCs w:val="20"/>
                <w:color w:val="auto"/>
              </w:rPr>
            </w:pPr>
            <w:r>
              <w:rPr>
                <w:rFonts w:ascii="Arial" w:cs="Arial" w:eastAsia="Arial" w:hAnsi="Arial"/>
                <w:sz w:val="11"/>
                <w:szCs w:val="11"/>
                <w:color w:val="050505"/>
              </w:rPr>
              <w:t>$</w:t>
            </w:r>
          </w:p>
        </w:tc>
        <w:tc>
          <w:tcPr>
            <w:tcW w:w="580" w:type="dxa"/>
            <w:vAlign w:val="bottom"/>
          </w:tcPr>
          <w:p>
            <w:pPr>
              <w:jc w:val="right"/>
              <w:spacing w:after="0"/>
              <w:rPr>
                <w:sz w:val="20"/>
                <w:szCs w:val="20"/>
                <w:color w:val="auto"/>
              </w:rPr>
            </w:pPr>
            <w:r>
              <w:rPr>
                <w:rFonts w:ascii="Arial" w:cs="Arial" w:eastAsia="Arial" w:hAnsi="Arial"/>
                <w:sz w:val="11"/>
                <w:szCs w:val="11"/>
                <w:color w:val="050505"/>
              </w:rPr>
              <w:t>11.3</w:t>
            </w:r>
          </w:p>
        </w:tc>
        <w:tc>
          <w:tcPr>
            <w:tcW w:w="140" w:type="dxa"/>
            <w:vAlign w:val="bottom"/>
          </w:tcPr>
          <w:p>
            <w:pPr>
              <w:spacing w:after="0"/>
              <w:rPr>
                <w:sz w:val="10"/>
                <w:szCs w:val="10"/>
                <w:color w:val="auto"/>
              </w:rPr>
            </w:pPr>
          </w:p>
        </w:tc>
      </w:tr>
      <w:tr>
        <w:trPr>
          <w:trHeight w:val="126"/>
        </w:trPr>
        <w:tc>
          <w:tcPr>
            <w:tcW w:w="2940" w:type="dxa"/>
            <w:vAlign w:val="bottom"/>
            <w:shd w:val="clear" w:color="auto" w:fill="CCEEFF"/>
          </w:tcPr>
          <w:p>
            <w:pPr>
              <w:ind w:left="160"/>
              <w:spacing w:after="0"/>
              <w:rPr>
                <w:sz w:val="20"/>
                <w:szCs w:val="20"/>
                <w:color w:val="auto"/>
              </w:rPr>
            </w:pPr>
            <w:r>
              <w:rPr>
                <w:rFonts w:ascii="Arial" w:cs="Arial" w:eastAsia="Arial" w:hAnsi="Arial"/>
                <w:sz w:val="11"/>
                <w:szCs w:val="11"/>
                <w:color w:val="050505"/>
              </w:rPr>
              <w:t>Stock-based compensation expense</w:t>
            </w:r>
          </w:p>
        </w:tc>
        <w:tc>
          <w:tcPr>
            <w:tcW w:w="920" w:type="dxa"/>
            <w:vAlign w:val="bottom"/>
            <w:shd w:val="clear" w:color="auto" w:fill="CCEEFF"/>
          </w:tcPr>
          <w:p>
            <w:pPr>
              <w:spacing w:after="0"/>
              <w:rPr>
                <w:sz w:val="10"/>
                <w:szCs w:val="10"/>
                <w:color w:val="auto"/>
              </w:rPr>
            </w:pPr>
          </w:p>
        </w:tc>
        <w:tc>
          <w:tcPr>
            <w:tcW w:w="500" w:type="dxa"/>
            <w:vAlign w:val="bottom"/>
            <w:tcBorders>
              <w:bottom w:val="single" w:sz="8" w:color="auto"/>
            </w:tcBorders>
            <w:shd w:val="clear" w:color="auto" w:fill="CCEEFF"/>
          </w:tcPr>
          <w:p>
            <w:pPr>
              <w:spacing w:after="0"/>
              <w:rPr>
                <w:sz w:val="10"/>
                <w:szCs w:val="10"/>
                <w:color w:val="auto"/>
              </w:rPr>
            </w:pP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050505"/>
              </w:rPr>
              <w:t>0.1</w:t>
            </w:r>
          </w:p>
        </w:tc>
        <w:tc>
          <w:tcPr>
            <w:tcW w:w="18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40" w:type="dxa"/>
            <w:vAlign w:val="bottom"/>
            <w:tcBorders>
              <w:bottom w:val="single" w:sz="8" w:color="auto"/>
            </w:tcBorders>
            <w:shd w:val="clear" w:color="auto" w:fill="CCEEFF"/>
          </w:tcPr>
          <w:p>
            <w:pPr>
              <w:spacing w:after="0"/>
              <w:rPr>
                <w:sz w:val="10"/>
                <w:szCs w:val="10"/>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050505"/>
              </w:rPr>
              <w:t>0.5</w:t>
            </w:r>
          </w:p>
        </w:tc>
        <w:tc>
          <w:tcPr>
            <w:tcW w:w="4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60" w:type="dxa"/>
            <w:vAlign w:val="bottom"/>
            <w:tcBorders>
              <w:bottom w:val="single" w:sz="8" w:color="auto"/>
            </w:tcBorders>
            <w:shd w:val="clear" w:color="auto" w:fill="CCEEFF"/>
          </w:tcPr>
          <w:p>
            <w:pPr>
              <w:spacing w:after="0"/>
              <w:rPr>
                <w:sz w:val="10"/>
                <w:szCs w:val="10"/>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050505"/>
              </w:rPr>
              <w:t>3.2</w:t>
            </w:r>
          </w:p>
        </w:tc>
        <w:tc>
          <w:tcPr>
            <w:tcW w:w="140" w:type="dxa"/>
            <w:vAlign w:val="bottom"/>
            <w:shd w:val="clear" w:color="auto" w:fill="CCEEFF"/>
          </w:tcPr>
          <w:p>
            <w:pPr>
              <w:spacing w:after="0"/>
              <w:rPr>
                <w:sz w:val="10"/>
                <w:szCs w:val="10"/>
                <w:color w:val="auto"/>
              </w:rPr>
            </w:pPr>
          </w:p>
        </w:tc>
      </w:tr>
      <w:tr>
        <w:trPr>
          <w:trHeight w:val="124"/>
        </w:trPr>
        <w:tc>
          <w:tcPr>
            <w:tcW w:w="2940" w:type="dxa"/>
            <w:vAlign w:val="bottom"/>
          </w:tcPr>
          <w:p>
            <w:pPr>
              <w:ind w:left="40"/>
              <w:spacing w:after="0" w:line="124" w:lineRule="exact"/>
              <w:rPr>
                <w:sz w:val="20"/>
                <w:szCs w:val="20"/>
                <w:color w:val="auto"/>
              </w:rPr>
            </w:pPr>
            <w:r>
              <w:rPr>
                <w:rFonts w:ascii="Arial" w:cs="Arial" w:eastAsia="Arial" w:hAnsi="Arial"/>
                <w:sz w:val="11"/>
                <w:szCs w:val="11"/>
                <w:color w:val="050505"/>
              </w:rPr>
              <w:t>Subscription Contribution</w:t>
            </w:r>
          </w:p>
        </w:tc>
        <w:tc>
          <w:tcPr>
            <w:tcW w:w="1420" w:type="dxa"/>
            <w:vAlign w:val="bottom"/>
            <w:gridSpan w:val="2"/>
          </w:tcPr>
          <w:p>
            <w:pPr>
              <w:jc w:val="right"/>
              <w:ind w:right="386"/>
              <w:spacing w:after="0" w:line="124" w:lineRule="exact"/>
              <w:rPr>
                <w:sz w:val="20"/>
                <w:szCs w:val="20"/>
                <w:color w:val="auto"/>
              </w:rPr>
            </w:pPr>
            <w:r>
              <w:rPr>
                <w:rFonts w:ascii="Arial" w:cs="Arial" w:eastAsia="Arial" w:hAnsi="Arial"/>
                <w:sz w:val="11"/>
                <w:szCs w:val="11"/>
                <w:color w:val="050505"/>
              </w:rPr>
              <w:t>$</w:t>
            </w:r>
          </w:p>
        </w:tc>
        <w:tc>
          <w:tcPr>
            <w:tcW w:w="220" w:type="dxa"/>
            <w:vAlign w:val="bottom"/>
          </w:tcPr>
          <w:p>
            <w:pPr>
              <w:jc w:val="right"/>
              <w:spacing w:after="0" w:line="124" w:lineRule="exact"/>
              <w:rPr>
                <w:sz w:val="20"/>
                <w:szCs w:val="20"/>
                <w:color w:val="auto"/>
              </w:rPr>
            </w:pPr>
            <w:r>
              <w:rPr>
                <w:rFonts w:ascii="Arial" w:cs="Arial" w:eastAsia="Arial" w:hAnsi="Arial"/>
                <w:sz w:val="11"/>
                <w:szCs w:val="11"/>
                <w:color w:val="050505"/>
              </w:rPr>
              <w:t>4.4</w:t>
            </w:r>
          </w:p>
        </w:tc>
        <w:tc>
          <w:tcPr>
            <w:tcW w:w="180" w:type="dxa"/>
            <w:vAlign w:val="bottom"/>
          </w:tcPr>
          <w:p>
            <w:pPr>
              <w:spacing w:after="0"/>
              <w:rPr>
                <w:sz w:val="10"/>
                <w:szCs w:val="10"/>
                <w:color w:val="auto"/>
              </w:rPr>
            </w:pPr>
          </w:p>
        </w:tc>
        <w:tc>
          <w:tcPr>
            <w:tcW w:w="560" w:type="dxa"/>
            <w:vAlign w:val="bottom"/>
            <w:gridSpan w:val="2"/>
          </w:tcPr>
          <w:p>
            <w:pPr>
              <w:jc w:val="right"/>
              <w:ind w:right="100"/>
              <w:spacing w:after="0" w:line="124" w:lineRule="exact"/>
              <w:rPr>
                <w:sz w:val="20"/>
                <w:szCs w:val="20"/>
                <w:color w:val="auto"/>
              </w:rPr>
            </w:pPr>
            <w:r>
              <w:rPr>
                <w:rFonts w:ascii="Arial" w:cs="Arial" w:eastAsia="Arial" w:hAnsi="Arial"/>
                <w:sz w:val="11"/>
                <w:szCs w:val="11"/>
                <w:color w:val="050505"/>
              </w:rPr>
              <w:t>$</w:t>
            </w:r>
          </w:p>
        </w:tc>
        <w:tc>
          <w:tcPr>
            <w:tcW w:w="580" w:type="dxa"/>
            <w:vAlign w:val="bottom"/>
          </w:tcPr>
          <w:p>
            <w:pPr>
              <w:jc w:val="right"/>
              <w:spacing w:after="0" w:line="124" w:lineRule="exact"/>
              <w:rPr>
                <w:sz w:val="20"/>
                <w:szCs w:val="20"/>
                <w:color w:val="auto"/>
              </w:rPr>
            </w:pPr>
            <w:r>
              <w:rPr>
                <w:rFonts w:ascii="Arial" w:cs="Arial" w:eastAsia="Arial" w:hAnsi="Arial"/>
                <w:sz w:val="11"/>
                <w:szCs w:val="11"/>
                <w:color w:val="050505"/>
              </w:rPr>
              <w:t>38.0</w:t>
            </w:r>
          </w:p>
        </w:tc>
        <w:tc>
          <w:tcPr>
            <w:tcW w:w="460" w:type="dxa"/>
            <w:vAlign w:val="bottom"/>
          </w:tcPr>
          <w:p>
            <w:pPr>
              <w:spacing w:after="0"/>
              <w:rPr>
                <w:sz w:val="10"/>
                <w:szCs w:val="10"/>
                <w:color w:val="auto"/>
              </w:rPr>
            </w:pPr>
          </w:p>
        </w:tc>
        <w:tc>
          <w:tcPr>
            <w:tcW w:w="280" w:type="dxa"/>
            <w:vAlign w:val="bottom"/>
            <w:gridSpan w:val="2"/>
          </w:tcPr>
          <w:p>
            <w:pPr>
              <w:jc w:val="right"/>
              <w:ind w:right="100"/>
              <w:spacing w:after="0" w:line="124" w:lineRule="exact"/>
              <w:rPr>
                <w:sz w:val="20"/>
                <w:szCs w:val="20"/>
                <w:color w:val="auto"/>
              </w:rPr>
            </w:pPr>
            <w:r>
              <w:rPr>
                <w:rFonts w:ascii="Arial" w:cs="Arial" w:eastAsia="Arial" w:hAnsi="Arial"/>
                <w:sz w:val="11"/>
                <w:szCs w:val="11"/>
                <w:color w:val="050505"/>
              </w:rPr>
              <w:t>$</w:t>
            </w:r>
          </w:p>
        </w:tc>
        <w:tc>
          <w:tcPr>
            <w:tcW w:w="580" w:type="dxa"/>
            <w:vAlign w:val="bottom"/>
          </w:tcPr>
          <w:p>
            <w:pPr>
              <w:jc w:val="right"/>
              <w:spacing w:after="0" w:line="124" w:lineRule="exact"/>
              <w:rPr>
                <w:sz w:val="20"/>
                <w:szCs w:val="20"/>
                <w:color w:val="auto"/>
              </w:rPr>
            </w:pPr>
            <w:r>
              <w:rPr>
                <w:rFonts w:ascii="Arial" w:cs="Arial" w:eastAsia="Arial" w:hAnsi="Arial"/>
                <w:sz w:val="11"/>
                <w:szCs w:val="11"/>
                <w:color w:val="050505"/>
              </w:rPr>
              <w:t>91.9</w:t>
            </w:r>
          </w:p>
        </w:tc>
        <w:tc>
          <w:tcPr>
            <w:tcW w:w="140" w:type="dxa"/>
            <w:vAlign w:val="bottom"/>
          </w:tcPr>
          <w:p>
            <w:pPr>
              <w:spacing w:after="0"/>
              <w:rPr>
                <w:sz w:val="10"/>
                <w:szCs w:val="10"/>
                <w:color w:val="auto"/>
              </w:rPr>
            </w:pPr>
          </w:p>
        </w:tc>
      </w:tr>
      <w:tr>
        <w:trPr>
          <w:trHeight w:val="32"/>
        </w:trPr>
        <w:tc>
          <w:tcPr>
            <w:tcW w:w="2940" w:type="dxa"/>
            <w:vAlign w:val="bottom"/>
          </w:tcPr>
          <w:p>
            <w:pPr>
              <w:spacing w:after="0"/>
              <w:rPr>
                <w:sz w:val="2"/>
                <w:szCs w:val="2"/>
                <w:color w:val="auto"/>
              </w:rPr>
            </w:pPr>
          </w:p>
        </w:tc>
        <w:tc>
          <w:tcPr>
            <w:tcW w:w="92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r>
      <w:tr>
        <w:trPr>
          <w:trHeight w:val="131"/>
        </w:trPr>
        <w:tc>
          <w:tcPr>
            <w:tcW w:w="2940" w:type="dxa"/>
            <w:vAlign w:val="bottom"/>
            <w:shd w:val="clear" w:color="auto" w:fill="CCEEFF"/>
          </w:tcPr>
          <w:p>
            <w:pPr>
              <w:ind w:left="40"/>
              <w:spacing w:after="0"/>
              <w:rPr>
                <w:sz w:val="20"/>
                <w:szCs w:val="20"/>
                <w:color w:val="auto"/>
              </w:rPr>
            </w:pPr>
            <w:r>
              <w:rPr>
                <w:rFonts w:ascii="Arial" w:cs="Arial" w:eastAsia="Arial" w:hAnsi="Arial"/>
                <w:sz w:val="11"/>
                <w:szCs w:val="11"/>
                <w:color w:val="050505"/>
              </w:rPr>
              <w:t>Subscription Contribution Margin</w:t>
            </w:r>
          </w:p>
        </w:tc>
        <w:tc>
          <w:tcPr>
            <w:tcW w:w="9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40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050505"/>
                <w:w w:val="96"/>
              </w:rPr>
              <w:t>13.5%</w:t>
            </w:r>
          </w:p>
        </w:tc>
        <w:tc>
          <w:tcPr>
            <w:tcW w:w="4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40" w:type="dxa"/>
            <w:vAlign w:val="bottom"/>
            <w:gridSpan w:val="2"/>
            <w:shd w:val="clear" w:color="auto" w:fill="CCEEFF"/>
          </w:tcPr>
          <w:p>
            <w:pPr>
              <w:jc w:val="right"/>
              <w:ind w:right="360"/>
              <w:spacing w:after="0"/>
              <w:rPr>
                <w:sz w:val="20"/>
                <w:szCs w:val="20"/>
                <w:color w:val="auto"/>
              </w:rPr>
            </w:pPr>
            <w:r>
              <w:rPr>
                <w:rFonts w:ascii="Arial" w:cs="Arial" w:eastAsia="Arial" w:hAnsi="Arial"/>
                <w:sz w:val="11"/>
                <w:szCs w:val="11"/>
                <w:color w:val="050505"/>
              </w:rPr>
              <w:t>47.5%</w:t>
            </w: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050505"/>
              </w:rPr>
              <w:t>50.8%</w:t>
            </w:r>
          </w:p>
        </w:tc>
      </w:tr>
      <w:tr>
        <w:trPr>
          <w:trHeight w:val="27"/>
        </w:trPr>
        <w:tc>
          <w:tcPr>
            <w:tcW w:w="2940" w:type="dxa"/>
            <w:vAlign w:val="bottom"/>
          </w:tcPr>
          <w:p>
            <w:pPr>
              <w:spacing w:after="0"/>
              <w:rPr>
                <w:sz w:val="2"/>
                <w:szCs w:val="2"/>
                <w:color w:val="auto"/>
              </w:rPr>
            </w:pPr>
          </w:p>
        </w:tc>
        <w:tc>
          <w:tcPr>
            <w:tcW w:w="92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1310640</wp:posOffset>
            </wp:positionH>
            <wp:positionV relativeFrom="paragraph">
              <wp:posOffset>91440</wp:posOffset>
            </wp:positionV>
            <wp:extent cx="1212215" cy="571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212215" cy="5715"/>
                    </a:xfrm>
                    <a:prstGeom prst="rect">
                      <a:avLst/>
                    </a:prstGeom>
                    <a:noFill/>
                  </pic:spPr>
                </pic:pic>
              </a:graphicData>
            </a:graphic>
          </wp:anchor>
        </w:drawing>
      </w:r>
    </w:p>
    <w:p>
      <w:pPr>
        <w:spacing w:after="0" w:line="156" w:lineRule="exact"/>
        <w:rPr>
          <w:sz w:val="20"/>
          <w:szCs w:val="20"/>
          <w:color w:val="auto"/>
        </w:rPr>
      </w:pPr>
    </w:p>
    <w:p>
      <w:pPr>
        <w:ind w:left="2280" w:hanging="221"/>
        <w:spacing w:after="0"/>
        <w:tabs>
          <w:tab w:leader="none" w:pos="2280" w:val="left"/>
        </w:tabs>
        <w:numPr>
          <w:ilvl w:val="0"/>
          <w:numId w:val="41"/>
        </w:numPr>
        <w:rPr>
          <w:rFonts w:ascii="Arial" w:cs="Arial" w:eastAsia="Arial" w:hAnsi="Arial"/>
          <w:sz w:val="8"/>
          <w:szCs w:val="8"/>
          <w:color w:val="050505"/>
        </w:rPr>
      </w:pPr>
      <w:r>
        <w:rPr>
          <w:rFonts w:ascii="Arial" w:cs="Arial" w:eastAsia="Arial" w:hAnsi="Arial"/>
          <w:sz w:val="8"/>
          <w:szCs w:val="8"/>
          <w:color w:val="050505"/>
        </w:rPr>
        <w:t>Included in cost of subscription are content costs for past use as follows:</w:t>
      </w:r>
    </w:p>
    <w:p>
      <w:pPr>
        <w:spacing w:after="0" w:line="36" w:lineRule="exact"/>
        <w:rPr>
          <w:sz w:val="20"/>
          <w:szCs w:val="20"/>
          <w:color w:val="auto"/>
        </w:rPr>
      </w:pPr>
    </w:p>
    <w:tbl>
      <w:tblPr>
        <w:tblLayout w:type="fixed"/>
        <w:tblInd w:w="2060" w:type="dxa"/>
        <w:tblCellMar>
          <w:top w:w="0" w:type="dxa"/>
          <w:left w:w="0" w:type="dxa"/>
          <w:bottom w:w="0" w:type="dxa"/>
          <w:right w:w="0" w:type="dxa"/>
        </w:tblCellMar>
      </w:tblPr>
      <w:tr>
        <w:trPr>
          <w:trHeight w:val="137"/>
        </w:trPr>
        <w:tc>
          <w:tcPr>
            <w:tcW w:w="272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1620" w:type="dxa"/>
            <w:vAlign w:val="bottom"/>
            <w:tcBorders>
              <w:bottom w:val="single" w:sz="8" w:color="auto"/>
            </w:tcBorders>
            <w:gridSpan w:val="2"/>
          </w:tcPr>
          <w:p>
            <w:pPr>
              <w:jc w:val="center"/>
              <w:spacing w:after="0"/>
              <w:rPr>
                <w:sz w:val="20"/>
                <w:szCs w:val="20"/>
                <w:color w:val="auto"/>
              </w:rPr>
            </w:pPr>
            <w:r>
              <w:rPr>
                <w:rFonts w:ascii="Arial" w:cs="Arial" w:eastAsia="Arial" w:hAnsi="Arial"/>
                <w:sz w:val="11"/>
                <w:szCs w:val="11"/>
                <w:b w:val="1"/>
                <w:bCs w:val="1"/>
                <w:color w:val="050505"/>
                <w:w w:val="97"/>
              </w:rPr>
              <w:t>Fiscal Year Ended June 30,</w:t>
            </w:r>
          </w:p>
        </w:tc>
        <w:tc>
          <w:tcPr>
            <w:tcW w:w="26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40" w:type="dxa"/>
            <w:vAlign w:val="bottom"/>
          </w:tcPr>
          <w:p>
            <w:pPr>
              <w:spacing w:after="0"/>
              <w:rPr>
                <w:sz w:val="11"/>
                <w:szCs w:val="11"/>
                <w:color w:val="auto"/>
              </w:rPr>
            </w:pPr>
          </w:p>
        </w:tc>
      </w:tr>
      <w:tr>
        <w:trPr>
          <w:trHeight w:val="115"/>
        </w:trPr>
        <w:tc>
          <w:tcPr>
            <w:tcW w:w="272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jc w:val="right"/>
              <w:ind w:right="286"/>
              <w:spacing w:after="0" w:line="115" w:lineRule="exact"/>
              <w:rPr>
                <w:sz w:val="20"/>
                <w:szCs w:val="20"/>
                <w:color w:val="auto"/>
              </w:rPr>
            </w:pPr>
            <w:r>
              <w:rPr>
                <w:rFonts w:ascii="Arial" w:cs="Arial" w:eastAsia="Arial" w:hAnsi="Arial"/>
                <w:sz w:val="11"/>
                <w:szCs w:val="11"/>
                <w:b w:val="1"/>
                <w:bCs w:val="1"/>
                <w:color w:val="050505"/>
              </w:rPr>
              <w:t>2017</w:t>
            </w:r>
          </w:p>
        </w:tc>
        <w:tc>
          <w:tcPr>
            <w:tcW w:w="500" w:type="dxa"/>
            <w:vAlign w:val="bottom"/>
            <w:tcBorders>
              <w:bottom w:val="single" w:sz="8" w:color="auto"/>
            </w:tcBorders>
          </w:tcPr>
          <w:p>
            <w:pPr>
              <w:spacing w:after="0"/>
              <w:rPr>
                <w:sz w:val="10"/>
                <w:szCs w:val="10"/>
                <w:color w:val="auto"/>
              </w:rPr>
            </w:pPr>
          </w:p>
        </w:tc>
        <w:tc>
          <w:tcPr>
            <w:tcW w:w="1120" w:type="dxa"/>
            <w:vAlign w:val="bottom"/>
            <w:tcBorders>
              <w:bottom w:val="single" w:sz="8" w:color="auto"/>
            </w:tcBorders>
          </w:tcPr>
          <w:p>
            <w:pPr>
              <w:jc w:val="center"/>
              <w:ind w:right="466"/>
              <w:spacing w:after="0" w:line="115" w:lineRule="exact"/>
              <w:rPr>
                <w:sz w:val="20"/>
                <w:szCs w:val="20"/>
                <w:color w:val="auto"/>
              </w:rPr>
            </w:pPr>
            <w:r>
              <w:rPr>
                <w:rFonts w:ascii="Arial" w:cs="Arial" w:eastAsia="Arial" w:hAnsi="Arial"/>
                <w:sz w:val="11"/>
                <w:szCs w:val="11"/>
                <w:b w:val="1"/>
                <w:bCs w:val="1"/>
                <w:color w:val="050505"/>
                <w:w w:val="97"/>
              </w:rPr>
              <w:t>2018</w:t>
            </w:r>
          </w:p>
        </w:tc>
        <w:tc>
          <w:tcPr>
            <w:tcW w:w="26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jc w:val="right"/>
              <w:ind w:right="206"/>
              <w:spacing w:after="0" w:line="115" w:lineRule="exact"/>
              <w:rPr>
                <w:sz w:val="20"/>
                <w:szCs w:val="20"/>
                <w:color w:val="auto"/>
              </w:rPr>
            </w:pPr>
            <w:r>
              <w:rPr>
                <w:rFonts w:ascii="Arial" w:cs="Arial" w:eastAsia="Arial" w:hAnsi="Arial"/>
                <w:sz w:val="11"/>
                <w:szCs w:val="11"/>
                <w:b w:val="1"/>
                <w:bCs w:val="1"/>
                <w:color w:val="050505"/>
              </w:rPr>
              <w:t>2019</w:t>
            </w:r>
          </w:p>
        </w:tc>
        <w:tc>
          <w:tcPr>
            <w:tcW w:w="40" w:type="dxa"/>
            <w:vAlign w:val="bottom"/>
          </w:tcPr>
          <w:p>
            <w:pPr>
              <w:spacing w:after="0"/>
              <w:rPr>
                <w:sz w:val="10"/>
                <w:szCs w:val="10"/>
                <w:color w:val="auto"/>
              </w:rPr>
            </w:pPr>
          </w:p>
        </w:tc>
      </w:tr>
      <w:tr>
        <w:trPr>
          <w:trHeight w:val="115"/>
        </w:trPr>
        <w:tc>
          <w:tcPr>
            <w:tcW w:w="272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120" w:type="dxa"/>
            <w:vAlign w:val="bottom"/>
          </w:tcPr>
          <w:p>
            <w:pPr>
              <w:jc w:val="center"/>
              <w:ind w:right="446"/>
              <w:spacing w:after="0" w:line="115" w:lineRule="exact"/>
              <w:rPr>
                <w:sz w:val="20"/>
                <w:szCs w:val="20"/>
                <w:color w:val="auto"/>
              </w:rPr>
            </w:pPr>
            <w:r>
              <w:rPr>
                <w:rFonts w:ascii="Arial" w:cs="Arial" w:eastAsia="Arial" w:hAnsi="Arial"/>
                <w:sz w:val="11"/>
                <w:szCs w:val="11"/>
                <w:b w:val="1"/>
                <w:bCs w:val="1"/>
                <w:color w:val="050505"/>
              </w:rPr>
              <w:t>(in millions)</w:t>
            </w:r>
          </w:p>
        </w:tc>
        <w:tc>
          <w:tcPr>
            <w:tcW w:w="2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0" w:type="dxa"/>
            <w:vAlign w:val="bottom"/>
          </w:tcPr>
          <w:p>
            <w:pPr>
              <w:spacing w:after="0"/>
              <w:rPr>
                <w:sz w:val="10"/>
                <w:szCs w:val="10"/>
                <w:color w:val="auto"/>
              </w:rPr>
            </w:pPr>
          </w:p>
        </w:tc>
      </w:tr>
      <w:tr>
        <w:trPr>
          <w:trHeight w:val="126"/>
        </w:trPr>
        <w:tc>
          <w:tcPr>
            <w:tcW w:w="2720" w:type="dxa"/>
            <w:vAlign w:val="bottom"/>
            <w:shd w:val="clear" w:color="auto" w:fill="CCEEFF"/>
          </w:tcPr>
          <w:p>
            <w:pPr>
              <w:ind w:left="40"/>
              <w:spacing w:after="0" w:line="126" w:lineRule="exact"/>
              <w:rPr>
                <w:sz w:val="20"/>
                <w:szCs w:val="20"/>
                <w:color w:val="auto"/>
              </w:rPr>
            </w:pPr>
            <w:r>
              <w:rPr>
                <w:rFonts w:ascii="Arial" w:cs="Arial" w:eastAsia="Arial" w:hAnsi="Arial"/>
                <w:sz w:val="9"/>
                <w:szCs w:val="9"/>
                <w:color w:val="050505"/>
              </w:rPr>
              <w:t>Content costs for past use</w:t>
            </w:r>
            <w:r>
              <w:rPr>
                <w:rFonts w:ascii="Arial" w:cs="Arial" w:eastAsia="Arial" w:hAnsi="Arial"/>
                <w:sz w:val="14"/>
                <w:szCs w:val="14"/>
                <w:color w:val="050505"/>
                <w:vertAlign w:val="superscript"/>
              </w:rPr>
              <w:t>(1)</w:t>
            </w: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050505"/>
              </w:rPr>
              <w:t>$</w:t>
            </w:r>
          </w:p>
        </w:tc>
        <w:tc>
          <w:tcPr>
            <w:tcW w:w="680" w:type="dxa"/>
            <w:vAlign w:val="bottom"/>
            <w:shd w:val="clear" w:color="auto" w:fill="CCEEFF"/>
          </w:tcPr>
          <w:p>
            <w:pPr>
              <w:jc w:val="right"/>
              <w:ind w:right="46"/>
              <w:spacing w:after="0"/>
              <w:rPr>
                <w:sz w:val="20"/>
                <w:szCs w:val="20"/>
                <w:color w:val="auto"/>
              </w:rPr>
            </w:pPr>
            <w:r>
              <w:rPr>
                <w:rFonts w:ascii="Arial" w:cs="Arial" w:eastAsia="Arial" w:hAnsi="Arial"/>
                <w:sz w:val="11"/>
                <w:szCs w:val="11"/>
                <w:color w:val="050505"/>
              </w:rPr>
              <w:t>15.5</w:t>
            </w:r>
          </w:p>
        </w:tc>
        <w:tc>
          <w:tcPr>
            <w:tcW w:w="500" w:type="dxa"/>
            <w:vAlign w:val="bottom"/>
            <w:shd w:val="clear" w:color="auto" w:fill="CCEEFF"/>
          </w:tcPr>
          <w:p>
            <w:pPr>
              <w:jc w:val="right"/>
              <w:spacing w:after="0"/>
              <w:rPr>
                <w:sz w:val="20"/>
                <w:szCs w:val="20"/>
                <w:color w:val="auto"/>
              </w:rPr>
            </w:pPr>
            <w:r>
              <w:rPr>
                <w:rFonts w:ascii="Arial" w:cs="Arial" w:eastAsia="Arial" w:hAnsi="Arial"/>
                <w:sz w:val="11"/>
                <w:szCs w:val="11"/>
                <w:color w:val="050505"/>
              </w:rPr>
              <w:t>$</w:t>
            </w:r>
          </w:p>
        </w:tc>
        <w:tc>
          <w:tcPr>
            <w:tcW w:w="1120" w:type="dxa"/>
            <w:vAlign w:val="bottom"/>
            <w:shd w:val="clear" w:color="auto" w:fill="CCEEFF"/>
          </w:tcPr>
          <w:p>
            <w:pPr>
              <w:jc w:val="right"/>
              <w:ind w:right="386"/>
              <w:spacing w:after="0"/>
              <w:rPr>
                <w:sz w:val="20"/>
                <w:szCs w:val="20"/>
                <w:color w:val="auto"/>
              </w:rPr>
            </w:pPr>
            <w:r>
              <w:rPr>
                <w:rFonts w:ascii="Arial" w:cs="Arial" w:eastAsia="Arial" w:hAnsi="Arial"/>
                <w:sz w:val="11"/>
                <w:szCs w:val="11"/>
                <w:color w:val="050505"/>
              </w:rPr>
              <w:t>14.5</w:t>
            </w:r>
          </w:p>
        </w:tc>
        <w:tc>
          <w:tcPr>
            <w:tcW w:w="260" w:type="dxa"/>
            <w:vAlign w:val="bottom"/>
            <w:shd w:val="clear" w:color="auto" w:fill="CCEEFF"/>
          </w:tcPr>
          <w:p>
            <w:pPr>
              <w:jc w:val="right"/>
              <w:ind w:right="46"/>
              <w:spacing w:after="0"/>
              <w:rPr>
                <w:sz w:val="20"/>
                <w:szCs w:val="20"/>
                <w:color w:val="auto"/>
              </w:rPr>
            </w:pPr>
            <w:r>
              <w:rPr>
                <w:rFonts w:ascii="Arial" w:cs="Arial" w:eastAsia="Arial" w:hAnsi="Arial"/>
                <w:sz w:val="11"/>
                <w:szCs w:val="11"/>
                <w:color w:val="050505"/>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1"/>
                <w:szCs w:val="11"/>
                <w:color w:val="050505"/>
              </w:rPr>
              <w:t>16.4</w:t>
            </w:r>
          </w:p>
        </w:tc>
        <w:tc>
          <w:tcPr>
            <w:tcW w:w="40" w:type="dxa"/>
            <w:vAlign w:val="bottom"/>
            <w:shd w:val="clear" w:color="auto" w:fill="CCEEFF"/>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1447800</wp:posOffset>
            </wp:positionH>
            <wp:positionV relativeFrom="paragraph">
              <wp:posOffset>57150</wp:posOffset>
            </wp:positionV>
            <wp:extent cx="1120775" cy="571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120775" cy="5715"/>
                    </a:xfrm>
                    <a:prstGeom prst="rect">
                      <a:avLst/>
                    </a:prstGeom>
                    <a:noFill/>
                  </pic:spPr>
                </pic:pic>
              </a:graphicData>
            </a:graphic>
          </wp:anchor>
        </w:drawing>
      </w:r>
    </w:p>
    <w:p>
      <w:pPr>
        <w:spacing w:after="0" w:line="102" w:lineRule="exact"/>
        <w:rPr>
          <w:sz w:val="20"/>
          <w:szCs w:val="20"/>
          <w:color w:val="auto"/>
        </w:rPr>
      </w:pPr>
    </w:p>
    <w:p>
      <w:pPr>
        <w:jc w:val="both"/>
        <w:ind w:left="2500" w:right="839" w:hanging="225"/>
        <w:spacing w:after="0" w:line="241" w:lineRule="auto"/>
        <w:tabs>
          <w:tab w:leader="none" w:pos="2500" w:val="left"/>
        </w:tabs>
        <w:numPr>
          <w:ilvl w:val="0"/>
          <w:numId w:val="42"/>
        </w:numPr>
        <w:rPr>
          <w:rFonts w:ascii="Arial" w:cs="Arial" w:eastAsia="Arial" w:hAnsi="Arial"/>
          <w:sz w:val="8"/>
          <w:szCs w:val="8"/>
          <w:color w:val="050505"/>
        </w:rPr>
      </w:pPr>
      <w:r>
        <w:rPr>
          <w:rFonts w:ascii="Arial" w:cs="Arial" w:eastAsia="Arial" w:hAnsi="Arial"/>
          <w:sz w:val="8"/>
          <w:szCs w:val="8"/>
          <w:color w:val="050505"/>
        </w:rPr>
        <w:t>From time-to-time, we execute music royalty agreements with various music rights holders. As part of these go-forward license agreements, we may also enter into agreements whereby we are released from all potential licensor claims regarding our alleged past use of copyrighted material in our content in exchange for a mutually-agreed payment. We refer to these payments as content costs for past use. Included in Subscription Contribution and Subscription Contribution Margin are content costs for past use. These costs had a negative basis point impact on Subscription Contribution Margin of 4,788, 1,805, and 908 for fiscal 2017, 2018, and 2019, respectively.</w:t>
      </w:r>
    </w:p>
    <w:p>
      <w:pPr>
        <w:spacing w:after="0" w:line="95" w:lineRule="exact"/>
        <w:rPr>
          <w:sz w:val="20"/>
          <w:szCs w:val="20"/>
          <w:color w:val="auto"/>
        </w:rPr>
      </w:pPr>
    </w:p>
    <w:p>
      <w:pPr>
        <w:ind w:left="5680"/>
        <w:spacing w:after="0"/>
        <w:rPr>
          <w:sz w:val="20"/>
          <w:szCs w:val="20"/>
          <w:color w:val="auto"/>
        </w:rPr>
      </w:pPr>
      <w:r>
        <w:rPr>
          <w:rFonts w:ascii="Arial" w:cs="Arial" w:eastAsia="Arial" w:hAnsi="Arial"/>
          <w:sz w:val="11"/>
          <w:szCs w:val="11"/>
          <w:color w:val="050505"/>
        </w:rPr>
        <w:t>60</w:t>
      </w:r>
    </w:p>
    <w:p>
      <w:pPr>
        <w:sectPr>
          <w:pgSz w:w="11900" w:h="16838" w:orient="portrait"/>
          <w:cols w:equalWidth="0" w:num="1">
            <w:col w:w="10239"/>
          </w:cols>
          <w:pgMar w:left="220" w:top="354" w:right="1440" w:bottom="1440" w:gutter="0" w:footer="0" w:header="0"/>
        </w:sectPr>
      </w:pPr>
    </w:p>
    <w:bookmarkStart w:id="65" w:name="page66"/>
    <w:bookmarkEnd w:id="65"/>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hyperlink w:anchor="page5">
        <w:r>
          <w:rPr>
            <w:rFonts w:ascii="Arial" w:cs="Arial" w:eastAsia="Arial" w:hAnsi="Arial"/>
            <w:sz w:val="12"/>
            <w:szCs w:val="12"/>
            <w:b w:val="1"/>
            <w:bCs w:val="1"/>
            <w:u w:val="single" w:color="auto"/>
            <w:color w:val="0000EE"/>
          </w:rPr>
          <w:t>Table of Contents</w:t>
        </w:r>
      </w:hyperlink>
    </w:p>
    <w:p>
      <w:pPr>
        <w:spacing w:after="0" w:line="200" w:lineRule="exact"/>
        <w:rPr>
          <w:sz w:val="20"/>
          <w:szCs w:val="20"/>
          <w:color w:val="auto"/>
        </w:rPr>
      </w:pPr>
    </w:p>
    <w:p>
      <w:pPr>
        <w:jc w:val="center"/>
        <w:ind w:right="-1220"/>
        <w:spacing w:after="0"/>
        <w:rPr>
          <w:sz w:val="20"/>
          <w:szCs w:val="20"/>
          <w:color w:val="auto"/>
        </w:rPr>
      </w:pPr>
      <w:r>
        <w:rPr>
          <w:rFonts w:ascii="Arial" w:cs="Arial" w:eastAsia="Arial" w:hAnsi="Arial"/>
          <w:sz w:val="12"/>
          <w:szCs w:val="12"/>
          <w:b w:val="1"/>
          <w:bCs w:val="1"/>
          <w:color w:val="auto"/>
        </w:rPr>
        <w:t>MANAGEMENT’S DISCUSSION AND ANALYSIS OF</w:t>
      </w:r>
    </w:p>
    <w:p>
      <w:pPr>
        <w:spacing w:after="0" w:line="11" w:lineRule="exact"/>
        <w:rPr>
          <w:sz w:val="20"/>
          <w:szCs w:val="20"/>
          <w:color w:val="auto"/>
        </w:rPr>
      </w:pPr>
    </w:p>
    <w:p>
      <w:pPr>
        <w:jc w:val="center"/>
        <w:ind w:right="-1220"/>
        <w:spacing w:after="0"/>
        <w:rPr>
          <w:sz w:val="20"/>
          <w:szCs w:val="20"/>
          <w:color w:val="auto"/>
        </w:rPr>
      </w:pPr>
      <w:r>
        <w:rPr>
          <w:rFonts w:ascii="Arial" w:cs="Arial" w:eastAsia="Arial" w:hAnsi="Arial"/>
          <w:sz w:val="12"/>
          <w:szCs w:val="12"/>
          <w:b w:val="1"/>
          <w:bCs w:val="1"/>
          <w:color w:val="auto"/>
        </w:rPr>
        <w:t>FINANCIAL CONDITION AND RESULTS OF OPERATIONS</w:t>
      </w:r>
    </w:p>
    <w:p>
      <w:pPr>
        <w:spacing w:after="0" w:line="133" w:lineRule="exact"/>
        <w:rPr>
          <w:sz w:val="20"/>
          <w:szCs w:val="20"/>
          <w:color w:val="auto"/>
        </w:rPr>
      </w:pPr>
    </w:p>
    <w:p>
      <w:pPr>
        <w:jc w:val="both"/>
        <w:ind w:left="2060" w:right="839"/>
        <w:spacing w:after="0" w:line="242" w:lineRule="auto"/>
        <w:rPr>
          <w:sz w:val="20"/>
          <w:szCs w:val="20"/>
          <w:color w:val="auto"/>
        </w:rPr>
      </w:pPr>
      <w:r>
        <w:rPr>
          <w:rFonts w:ascii="Arial" w:cs="Arial" w:eastAsia="Arial" w:hAnsi="Arial"/>
          <w:sz w:val="11"/>
          <w:szCs w:val="11"/>
          <w:i w:val="1"/>
          <w:iCs w:val="1"/>
          <w:color w:val="050505"/>
        </w:rPr>
        <w:t>You should read the following discussion and analysis of our financial condition and results of operations together with the section titled “Selected Consolidated Financial and Other Data” and our consolidated financial statements and the related notes appearing elsewhere in this prospectus. Some of the information contained in this discussion and analysis or set forth elsewhere in this prospectus, including information with respect to our plans and strategy for our business, includes forward-looking statements that involve risks and uncertainties. You should read the sections titled “Risk Factors” and “Special Note Regarding Forward-Looking Statements” for a discussion of important factors that could cause actual results to differ materially from the results described in or implied by the forward-looking statements contained in the following discussion and analysis. Our fiscal year end is June 30, and our fiscal quarters end on September 30, December 31, March 31, and June 30. Our fiscal years ended June 30, 2017, 2018, and 2019 are referred to herein as fiscal 2017, fiscal 2018, and fiscal 2019, respectively.</w:t>
      </w:r>
    </w:p>
    <w:p>
      <w:pPr>
        <w:spacing w:after="0" w:line="131" w:lineRule="exact"/>
        <w:rPr>
          <w:sz w:val="20"/>
          <w:szCs w:val="20"/>
          <w:color w:val="auto"/>
        </w:rPr>
      </w:pPr>
    </w:p>
    <w:p>
      <w:pPr>
        <w:ind w:left="2060"/>
        <w:spacing w:after="0"/>
        <w:rPr>
          <w:sz w:val="20"/>
          <w:szCs w:val="20"/>
          <w:color w:val="auto"/>
        </w:rPr>
      </w:pPr>
      <w:r>
        <w:rPr>
          <w:rFonts w:ascii="Arial" w:cs="Arial" w:eastAsia="Arial" w:hAnsi="Arial"/>
          <w:sz w:val="11"/>
          <w:szCs w:val="11"/>
          <w:b w:val="1"/>
          <w:bCs w:val="1"/>
          <w:u w:val="single" w:color="auto"/>
          <w:color w:val="auto"/>
        </w:rPr>
        <w:t>Overview of Our Business and History</w:t>
      </w:r>
    </w:p>
    <w:p>
      <w:pPr>
        <w:spacing w:after="0" w:line="12" w:lineRule="exact"/>
        <w:rPr>
          <w:sz w:val="20"/>
          <w:szCs w:val="20"/>
          <w:color w:val="auto"/>
        </w:rPr>
      </w:pPr>
    </w:p>
    <w:p>
      <w:pPr>
        <w:jc w:val="both"/>
        <w:ind w:left="2060" w:right="839"/>
        <w:spacing w:after="0" w:line="278" w:lineRule="auto"/>
        <w:rPr>
          <w:sz w:val="20"/>
          <w:szCs w:val="20"/>
          <w:color w:val="auto"/>
        </w:rPr>
      </w:pPr>
      <w:r>
        <w:rPr>
          <w:rFonts w:ascii="Arial" w:cs="Arial" w:eastAsia="Arial" w:hAnsi="Arial"/>
          <w:sz w:val="10"/>
          <w:szCs w:val="10"/>
          <w:color w:val="050505"/>
        </w:rPr>
        <w:t>Peloton is the largest interactive fitness platform in the world with a loyal community of over 1.4 million Members. We pioneered connected, technology-enabled fitness, and the streaming of immersive, instructor-led boutique classes to our Members anytime, anywhere. We make fitness entertaining, approachable, effective, and convenient while fostering social connections that encourage our Members to be the best versions of themselves.</w:t>
      </w:r>
    </w:p>
    <w:p>
      <w:pPr>
        <w:spacing w:after="0" w:line="123" w:lineRule="exact"/>
        <w:rPr>
          <w:sz w:val="20"/>
          <w:szCs w:val="20"/>
          <w:color w:val="auto"/>
        </w:rPr>
      </w:pPr>
    </w:p>
    <w:p>
      <w:pPr>
        <w:ind w:left="2060"/>
        <w:spacing w:after="0"/>
        <w:rPr>
          <w:sz w:val="20"/>
          <w:szCs w:val="20"/>
          <w:color w:val="auto"/>
        </w:rPr>
      </w:pPr>
      <w:r>
        <w:rPr>
          <w:rFonts w:ascii="Arial" w:cs="Arial" w:eastAsia="Arial" w:hAnsi="Arial"/>
          <w:sz w:val="11"/>
          <w:szCs w:val="11"/>
          <w:color w:val="050505"/>
        </w:rPr>
        <w:t>Key milestones in our growth history include: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2077085</wp:posOffset>
            </wp:positionH>
            <wp:positionV relativeFrom="paragraph">
              <wp:posOffset>101600</wp:posOffset>
            </wp:positionV>
            <wp:extent cx="3134360" cy="32086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3134360" cy="32086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5680"/>
        <w:spacing w:after="0"/>
        <w:rPr>
          <w:sz w:val="20"/>
          <w:szCs w:val="20"/>
          <w:color w:val="auto"/>
        </w:rPr>
      </w:pPr>
      <w:r>
        <w:rPr>
          <w:rFonts w:ascii="Arial" w:cs="Arial" w:eastAsia="Arial" w:hAnsi="Arial"/>
          <w:sz w:val="11"/>
          <w:szCs w:val="11"/>
          <w:color w:val="050505"/>
        </w:rPr>
        <w:t>61</w:t>
      </w:r>
    </w:p>
    <w:p>
      <w:pPr>
        <w:sectPr>
          <w:pgSz w:w="11900" w:h="16838" w:orient="portrait"/>
          <w:cols w:equalWidth="0" w:num="1">
            <w:col w:w="10239"/>
          </w:cols>
          <w:pgMar w:left="220" w:top="354" w:right="1440" w:bottom="1440" w:gutter="0" w:footer="0" w:header="0"/>
        </w:sectPr>
      </w:pPr>
    </w:p>
    <w:bookmarkStart w:id="66" w:name="page67"/>
    <w:bookmarkEnd w:id="66"/>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hyperlink w:anchor="page5">
        <w:r>
          <w:rPr>
            <w:rFonts w:ascii="Arial" w:cs="Arial" w:eastAsia="Arial" w:hAnsi="Arial"/>
            <w:sz w:val="12"/>
            <w:szCs w:val="12"/>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1310640</wp:posOffset>
            </wp:positionH>
            <wp:positionV relativeFrom="paragraph">
              <wp:posOffset>193675</wp:posOffset>
            </wp:positionV>
            <wp:extent cx="1212215" cy="571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212215" cy="5715"/>
                    </a:xfrm>
                    <a:prstGeom prst="rect">
                      <a:avLst/>
                    </a:prstGeom>
                    <a:noFill/>
                  </pic:spPr>
                </pic:pic>
              </a:graphicData>
            </a:graphic>
          </wp:anchor>
        </w:drawing>
      </w:r>
    </w:p>
    <w:p>
      <w:pPr>
        <w:spacing w:after="0" w:line="317" w:lineRule="exact"/>
        <w:rPr>
          <w:sz w:val="20"/>
          <w:szCs w:val="20"/>
          <w:color w:val="auto"/>
        </w:rPr>
      </w:pPr>
    </w:p>
    <w:p>
      <w:pPr>
        <w:jc w:val="both"/>
        <w:ind w:left="2280" w:right="839" w:hanging="221"/>
        <w:spacing w:after="0" w:line="242" w:lineRule="auto"/>
        <w:tabs>
          <w:tab w:leader="none" w:pos="2280" w:val="left"/>
        </w:tabs>
        <w:numPr>
          <w:ilvl w:val="0"/>
          <w:numId w:val="43"/>
        </w:numPr>
        <w:rPr>
          <w:rFonts w:ascii="Arial" w:cs="Arial" w:eastAsia="Arial" w:hAnsi="Arial"/>
          <w:sz w:val="8"/>
          <w:szCs w:val="8"/>
          <w:color w:val="050505"/>
        </w:rPr>
      </w:pPr>
      <w:r>
        <w:rPr>
          <w:rFonts w:ascii="Arial" w:cs="Arial" w:eastAsia="Arial" w:hAnsi="Arial"/>
          <w:sz w:val="8"/>
          <w:szCs w:val="8"/>
          <w:color w:val="050505"/>
        </w:rPr>
        <w:t>We define a Member as any individual who has a Peloton account. We define a Connected Fitness Subscriber as either a paid Connected Fitness Subscriber (a Connected Fitness Subscription with a successful credit card billing or with prepaid subscription credits or waivers) or a paused Connected Fitness Subscriber (a Connected Fitness Subscription where the Subscriber has requested to “Pause” for up to 3 months). We define a Digital Subscriber as an individual or household that has a paid Peloton Digital subscription with a successful credit card billing.</w:t>
      </w:r>
    </w:p>
    <w:p>
      <w:pPr>
        <w:spacing w:after="0" w:line="127" w:lineRule="exact"/>
        <w:rPr>
          <w:sz w:val="20"/>
          <w:szCs w:val="20"/>
          <w:color w:val="auto"/>
        </w:rPr>
      </w:pPr>
    </w:p>
    <w:p>
      <w:pPr>
        <w:ind w:left="2280" w:hanging="221"/>
        <w:spacing w:after="0"/>
        <w:tabs>
          <w:tab w:leader="none" w:pos="2280" w:val="left"/>
        </w:tabs>
        <w:numPr>
          <w:ilvl w:val="0"/>
          <w:numId w:val="44"/>
        </w:numPr>
        <w:rPr>
          <w:rFonts w:ascii="Arial" w:cs="Arial" w:eastAsia="Arial" w:hAnsi="Arial"/>
          <w:sz w:val="8"/>
          <w:szCs w:val="8"/>
          <w:color w:val="050505"/>
        </w:rPr>
      </w:pPr>
      <w:r>
        <w:rPr>
          <w:rFonts w:ascii="Arial" w:cs="Arial" w:eastAsia="Arial" w:hAnsi="Arial"/>
          <w:sz w:val="8"/>
          <w:szCs w:val="8"/>
          <w:color w:val="050505"/>
        </w:rPr>
        <w:t>Total Global Subscribers represents the aggregate number of Connected Fitness Subscribers and Digital Subscribers. As of June 30, 2019, we had approximately 613,000 Global Subscribers.</w:t>
      </w:r>
    </w:p>
    <w:p>
      <w:pPr>
        <w:spacing w:after="0" w:line="147" w:lineRule="exact"/>
        <w:rPr>
          <w:sz w:val="20"/>
          <w:szCs w:val="20"/>
          <w:color w:val="auto"/>
        </w:rPr>
      </w:pPr>
    </w:p>
    <w:p>
      <w:pPr>
        <w:jc w:val="both"/>
        <w:ind w:left="2060" w:right="839"/>
        <w:spacing w:after="0" w:line="241" w:lineRule="auto"/>
        <w:rPr>
          <w:sz w:val="20"/>
          <w:szCs w:val="20"/>
          <w:color w:val="auto"/>
        </w:rPr>
      </w:pPr>
      <w:r>
        <w:rPr>
          <w:rFonts w:ascii="Arial" w:cs="Arial" w:eastAsia="Arial" w:hAnsi="Arial"/>
          <w:sz w:val="11"/>
          <w:szCs w:val="11"/>
          <w:color w:val="050505"/>
        </w:rPr>
        <w:t>Our revenue is primarily generated from the sale of our Connected Fitness Products and associated recurring subscription revenue. We have experienced significant growth in sales of our Connected Fitness Products, which, when combined with our low Average Net Monthly Connected Fitness Churn has led to significant growth in Connected Fitness Subscribers. From fiscal 2018 to fiscal 2019, total revenue grew 110%, and our Connected Fitness Subscriber base grew 108%.</w:t>
      </w:r>
    </w:p>
    <w:p>
      <w:pPr>
        <w:spacing w:after="0" w:line="140" w:lineRule="exact"/>
        <w:rPr>
          <w:sz w:val="20"/>
          <w:szCs w:val="20"/>
          <w:color w:val="auto"/>
        </w:rPr>
      </w:pPr>
    </w:p>
    <w:p>
      <w:pPr>
        <w:ind w:left="2060"/>
        <w:spacing w:after="0"/>
        <w:rPr>
          <w:sz w:val="20"/>
          <w:szCs w:val="20"/>
          <w:color w:val="auto"/>
        </w:rPr>
      </w:pPr>
      <w:r>
        <w:rPr>
          <w:rFonts w:ascii="Arial" w:cs="Arial" w:eastAsia="Arial" w:hAnsi="Arial"/>
          <w:sz w:val="11"/>
          <w:szCs w:val="11"/>
          <w:color w:val="050505"/>
        </w:rPr>
        <w:t>For fiscal 2017, 2018, and 2019:</w:t>
      </w:r>
    </w:p>
    <w:p>
      <w:pPr>
        <w:spacing w:after="0" w:line="162" w:lineRule="exact"/>
        <w:rPr>
          <w:sz w:val="20"/>
          <w:szCs w:val="20"/>
          <w:color w:val="auto"/>
        </w:rPr>
      </w:pPr>
    </w:p>
    <w:p>
      <w:pPr>
        <w:ind w:left="2420" w:right="839" w:hanging="217"/>
        <w:spacing w:after="0" w:line="245" w:lineRule="auto"/>
        <w:tabs>
          <w:tab w:leader="none" w:pos="2420" w:val="left"/>
        </w:tabs>
        <w:numPr>
          <w:ilvl w:val="0"/>
          <w:numId w:val="45"/>
        </w:numPr>
        <w:rPr>
          <w:rFonts w:ascii="Arial" w:cs="Arial" w:eastAsia="Arial" w:hAnsi="Arial"/>
          <w:sz w:val="11"/>
          <w:szCs w:val="11"/>
          <w:color w:val="F7323F"/>
        </w:rPr>
      </w:pPr>
      <w:r>
        <w:rPr>
          <w:rFonts w:ascii="Arial" w:cs="Arial" w:eastAsia="Arial" w:hAnsi="Arial"/>
          <w:sz w:val="11"/>
          <w:szCs w:val="11"/>
          <w:color w:val="050505"/>
        </w:rPr>
        <w:t>We generated total revenue of $218.6 million, $435.0 million, and $915.0 million, respectively, representing 99.0% and 110.3% year-over-year growth;</w:t>
      </w:r>
    </w:p>
    <w:p>
      <w:pPr>
        <w:spacing w:after="0" w:line="38" w:lineRule="exact"/>
        <w:rPr>
          <w:rFonts w:ascii="Arial" w:cs="Arial" w:eastAsia="Arial" w:hAnsi="Arial"/>
          <w:sz w:val="11"/>
          <w:szCs w:val="11"/>
          <w:color w:val="F7323F"/>
        </w:rPr>
      </w:pPr>
    </w:p>
    <w:p>
      <w:pPr>
        <w:ind w:left="2420" w:right="839" w:hanging="217"/>
        <w:spacing w:after="0" w:line="245" w:lineRule="auto"/>
        <w:tabs>
          <w:tab w:leader="none" w:pos="2420" w:val="left"/>
        </w:tabs>
        <w:numPr>
          <w:ilvl w:val="0"/>
          <w:numId w:val="45"/>
        </w:numPr>
        <w:rPr>
          <w:rFonts w:ascii="Arial" w:cs="Arial" w:eastAsia="Arial" w:hAnsi="Arial"/>
          <w:sz w:val="11"/>
          <w:szCs w:val="11"/>
          <w:color w:val="F7323F"/>
        </w:rPr>
      </w:pPr>
      <w:r>
        <w:rPr>
          <w:rFonts w:ascii="Arial" w:cs="Arial" w:eastAsia="Arial" w:hAnsi="Arial"/>
          <w:sz w:val="11"/>
          <w:szCs w:val="11"/>
          <w:color w:val="050505"/>
        </w:rPr>
        <w:t>As of June 30, 2017, June 30, 2018, and June 30, 2019, we had 107,708, 245,667, and 511,202 Connected Fitness Subscribers, respectively, representing 128.1% and 108.1% year-over-year growth;</w:t>
      </w:r>
    </w:p>
    <w:p>
      <w:pPr>
        <w:spacing w:after="0" w:line="38" w:lineRule="exact"/>
        <w:rPr>
          <w:rFonts w:ascii="Arial" w:cs="Arial" w:eastAsia="Arial" w:hAnsi="Arial"/>
          <w:sz w:val="11"/>
          <w:szCs w:val="11"/>
          <w:color w:val="F7323F"/>
        </w:rPr>
      </w:pPr>
    </w:p>
    <w:p>
      <w:pPr>
        <w:ind w:left="2420" w:hanging="217"/>
        <w:spacing w:after="0"/>
        <w:tabs>
          <w:tab w:leader="none" w:pos="2420" w:val="left"/>
        </w:tabs>
        <w:numPr>
          <w:ilvl w:val="0"/>
          <w:numId w:val="45"/>
        </w:numPr>
        <w:rPr>
          <w:rFonts w:ascii="Arial" w:cs="Arial" w:eastAsia="Arial" w:hAnsi="Arial"/>
          <w:sz w:val="11"/>
          <w:szCs w:val="11"/>
          <w:color w:val="F7323F"/>
        </w:rPr>
      </w:pPr>
      <w:r>
        <w:rPr>
          <w:rFonts w:ascii="Arial" w:cs="Arial" w:eastAsia="Arial" w:hAnsi="Arial"/>
          <w:sz w:val="11"/>
          <w:szCs w:val="11"/>
          <w:color w:val="050505"/>
        </w:rPr>
        <w:t>Our Average Net Monthly Connected Fitness Churn was 0.70%, 0.64%, and 0.65%, respectively;</w:t>
      </w:r>
    </w:p>
    <w:p>
      <w:pPr>
        <w:spacing w:after="0" w:line="44" w:lineRule="exact"/>
        <w:rPr>
          <w:rFonts w:ascii="Arial" w:cs="Arial" w:eastAsia="Arial" w:hAnsi="Arial"/>
          <w:sz w:val="11"/>
          <w:szCs w:val="11"/>
          <w:color w:val="F7323F"/>
        </w:rPr>
      </w:pPr>
    </w:p>
    <w:p>
      <w:pPr>
        <w:ind w:left="2420" w:hanging="217"/>
        <w:spacing w:after="0"/>
        <w:tabs>
          <w:tab w:leader="none" w:pos="2420" w:val="left"/>
        </w:tabs>
        <w:numPr>
          <w:ilvl w:val="0"/>
          <w:numId w:val="45"/>
        </w:numPr>
        <w:rPr>
          <w:rFonts w:ascii="Arial" w:cs="Arial" w:eastAsia="Arial" w:hAnsi="Arial"/>
          <w:sz w:val="11"/>
          <w:szCs w:val="11"/>
          <w:color w:val="F7323F"/>
        </w:rPr>
      </w:pPr>
      <w:r>
        <w:rPr>
          <w:rFonts w:ascii="Arial" w:cs="Arial" w:eastAsia="Arial" w:hAnsi="Arial"/>
          <w:sz w:val="11"/>
          <w:szCs w:val="11"/>
          <w:color w:val="050505"/>
        </w:rPr>
        <w:t>We incurred net losses of $(71.1) million, $(47.9) million, and $(195.6) million, respectively; and</w:t>
      </w:r>
    </w:p>
    <w:p>
      <w:pPr>
        <w:spacing w:after="0" w:line="44" w:lineRule="exact"/>
        <w:rPr>
          <w:rFonts w:ascii="Arial" w:cs="Arial" w:eastAsia="Arial" w:hAnsi="Arial"/>
          <w:sz w:val="11"/>
          <w:szCs w:val="11"/>
          <w:color w:val="F7323F"/>
        </w:rPr>
      </w:pPr>
    </w:p>
    <w:p>
      <w:pPr>
        <w:ind w:left="2420" w:hanging="217"/>
        <w:spacing w:after="0"/>
        <w:tabs>
          <w:tab w:leader="none" w:pos="2420" w:val="left"/>
        </w:tabs>
        <w:numPr>
          <w:ilvl w:val="0"/>
          <w:numId w:val="45"/>
        </w:numPr>
        <w:rPr>
          <w:rFonts w:ascii="Arial" w:cs="Arial" w:eastAsia="Arial" w:hAnsi="Arial"/>
          <w:sz w:val="11"/>
          <w:szCs w:val="11"/>
          <w:color w:val="F7323F"/>
        </w:rPr>
      </w:pPr>
      <w:r>
        <w:rPr>
          <w:rFonts w:ascii="Arial" w:cs="Arial" w:eastAsia="Arial" w:hAnsi="Arial"/>
          <w:sz w:val="11"/>
          <w:szCs w:val="11"/>
          <w:color w:val="050505"/>
        </w:rPr>
        <w:t>Our Adjusted EBITDA was $(51.8) million, $(30.4) million, and $(71.3) million, respectively.</w:t>
      </w:r>
    </w:p>
    <w:p>
      <w:pPr>
        <w:spacing w:after="0" w:line="144" w:lineRule="exact"/>
        <w:rPr>
          <w:sz w:val="20"/>
          <w:szCs w:val="20"/>
          <w:color w:val="auto"/>
        </w:rPr>
      </w:pPr>
    </w:p>
    <w:p>
      <w:pPr>
        <w:jc w:val="both"/>
        <w:ind w:left="2060" w:right="839"/>
        <w:spacing w:after="0" w:line="245" w:lineRule="auto"/>
        <w:rPr>
          <w:sz w:val="20"/>
          <w:szCs w:val="20"/>
          <w:color w:val="auto"/>
        </w:rPr>
      </w:pPr>
      <w:r>
        <w:rPr>
          <w:rFonts w:ascii="Arial" w:cs="Arial" w:eastAsia="Arial" w:hAnsi="Arial"/>
          <w:sz w:val="11"/>
          <w:szCs w:val="11"/>
          <w:color w:val="050505"/>
        </w:rPr>
        <w:t>For a definition of Connected Fitness Subscribers, Average Net Monthly Connected Fitness Churn, Subscription Contribution Margin, and Adjusted EBITDA, see the section titled “—Key Operational and Business Metrics.”</w:t>
      </w:r>
    </w:p>
    <w:p>
      <w:pPr>
        <w:spacing w:after="0" w:line="138" w:lineRule="exact"/>
        <w:rPr>
          <w:sz w:val="20"/>
          <w:szCs w:val="20"/>
          <w:color w:val="auto"/>
        </w:rPr>
      </w:pPr>
    </w:p>
    <w:p>
      <w:pPr>
        <w:jc w:val="both"/>
        <w:ind w:left="2060" w:right="839"/>
        <w:spacing w:after="0" w:line="245" w:lineRule="auto"/>
        <w:rPr>
          <w:sz w:val="20"/>
          <w:szCs w:val="20"/>
          <w:color w:val="auto"/>
        </w:rPr>
      </w:pPr>
      <w:r>
        <w:rPr>
          <w:rFonts w:ascii="Arial" w:cs="Arial" w:eastAsia="Arial" w:hAnsi="Arial"/>
          <w:sz w:val="11"/>
          <w:szCs w:val="11"/>
          <w:color w:val="050505"/>
        </w:rPr>
        <w:t>See the section titled “Selected Consolidated Financial and Other Data—Non-GAAP Financial Measures” for information regarding our use of Adjusted EBITDA and a reconciliation of net loss to Adjusted EBITDA.</w:t>
      </w:r>
    </w:p>
    <w:p>
      <w:pPr>
        <w:spacing w:after="0" w:line="138" w:lineRule="exact"/>
        <w:rPr>
          <w:sz w:val="20"/>
          <w:szCs w:val="20"/>
          <w:color w:val="auto"/>
        </w:rPr>
      </w:pPr>
    </w:p>
    <w:p>
      <w:pPr>
        <w:jc w:val="both"/>
        <w:ind w:left="2060" w:right="839"/>
        <w:spacing w:after="0"/>
        <w:rPr>
          <w:sz w:val="20"/>
          <w:szCs w:val="20"/>
          <w:color w:val="auto"/>
        </w:rPr>
      </w:pPr>
      <w:r>
        <w:rPr>
          <w:rFonts w:ascii="Arial" w:cs="Arial" w:eastAsia="Arial" w:hAnsi="Arial"/>
          <w:sz w:val="11"/>
          <w:szCs w:val="11"/>
          <w:color w:val="050505"/>
        </w:rPr>
        <w:t>As a supplement to our key operational and business metrics described herein, we also measure our number of Members to understand the scale of our platform and market penetration. Unlike our number of Connected Fitness Subscriptions or Digital Subscriptions, a Member represents a single individual who has a Peloton account. It is often the case that a Connected Fitness Subscription or Digital Subscription is used by multiple members of a single family that each have individual Peloton accounts. As of June 30, 2019, we had over 1.4 million Members and the average Connected Fitness Subscription was used by 2.0 Members.</w:t>
      </w:r>
    </w:p>
    <w:p>
      <w:pPr>
        <w:spacing w:after="0" w:line="130" w:lineRule="exact"/>
        <w:rPr>
          <w:sz w:val="20"/>
          <w:szCs w:val="20"/>
          <w:color w:val="auto"/>
        </w:rPr>
      </w:pPr>
    </w:p>
    <w:p>
      <w:pPr>
        <w:ind w:left="2060"/>
        <w:spacing w:after="0"/>
        <w:rPr>
          <w:sz w:val="20"/>
          <w:szCs w:val="20"/>
          <w:color w:val="auto"/>
        </w:rPr>
      </w:pPr>
      <w:r>
        <w:rPr>
          <w:rFonts w:ascii="Arial" w:cs="Arial" w:eastAsia="Arial" w:hAnsi="Arial"/>
          <w:sz w:val="11"/>
          <w:szCs w:val="11"/>
          <w:b w:val="1"/>
          <w:bCs w:val="1"/>
          <w:u w:val="single" w:color="auto"/>
          <w:color w:val="auto"/>
        </w:rPr>
        <w:t>Our Business Model</w:t>
      </w:r>
    </w:p>
    <w:p>
      <w:pPr>
        <w:spacing w:after="0" w:line="12" w:lineRule="exact"/>
        <w:rPr>
          <w:sz w:val="20"/>
          <w:szCs w:val="20"/>
          <w:color w:val="auto"/>
        </w:rPr>
      </w:pPr>
    </w:p>
    <w:p>
      <w:pPr>
        <w:ind w:left="2060"/>
        <w:spacing w:after="0"/>
        <w:rPr>
          <w:sz w:val="20"/>
          <w:szCs w:val="20"/>
          <w:color w:val="auto"/>
        </w:rPr>
      </w:pPr>
      <w:r>
        <w:rPr>
          <w:rFonts w:ascii="Arial" w:cs="Arial" w:eastAsia="Arial" w:hAnsi="Arial"/>
          <w:sz w:val="11"/>
          <w:szCs w:val="11"/>
          <w:color w:val="050505"/>
        </w:rPr>
        <w:t>Our financial profile is characterized by high growth, strong retention, recurring revenue, margin expansion, and efficient customer acquisition.</w:t>
      </w:r>
    </w:p>
    <w:p>
      <w:pPr>
        <w:spacing w:after="0" w:line="132" w:lineRule="exact"/>
        <w:rPr>
          <w:sz w:val="20"/>
          <w:szCs w:val="20"/>
          <w:color w:val="auto"/>
        </w:rPr>
      </w:pPr>
    </w:p>
    <w:p>
      <w:pPr>
        <w:ind w:left="2060"/>
        <w:spacing w:after="0"/>
        <w:rPr>
          <w:sz w:val="20"/>
          <w:szCs w:val="20"/>
          <w:color w:val="auto"/>
        </w:rPr>
      </w:pPr>
      <w:r>
        <w:rPr>
          <w:rFonts w:ascii="Arial" w:cs="Arial" w:eastAsia="Arial" w:hAnsi="Arial"/>
          <w:sz w:val="11"/>
          <w:szCs w:val="11"/>
          <w:b w:val="1"/>
          <w:bCs w:val="1"/>
          <w:i w:val="1"/>
          <w:iCs w:val="1"/>
          <w:color w:val="auto"/>
        </w:rPr>
        <w:t>Grow Our Connected Fitness Subscriber Base</w:t>
      </w:r>
    </w:p>
    <w:p>
      <w:pPr>
        <w:spacing w:after="0" w:line="12" w:lineRule="exact"/>
        <w:rPr>
          <w:sz w:val="20"/>
          <w:szCs w:val="20"/>
          <w:color w:val="auto"/>
        </w:rPr>
      </w:pPr>
    </w:p>
    <w:p>
      <w:pPr>
        <w:jc w:val="both"/>
        <w:ind w:left="2060" w:right="839"/>
        <w:spacing w:after="0"/>
        <w:rPr>
          <w:sz w:val="20"/>
          <w:szCs w:val="20"/>
          <w:color w:val="auto"/>
        </w:rPr>
      </w:pPr>
      <w:r>
        <w:rPr>
          <w:rFonts w:ascii="Arial" w:cs="Arial" w:eastAsia="Arial" w:hAnsi="Arial"/>
          <w:sz w:val="11"/>
          <w:szCs w:val="11"/>
          <w:color w:val="050505"/>
        </w:rPr>
        <w:t>We are still in the early stages of growth. As of June 30, 2019, we had sold approximately 577,000 Connected Fitness Products globally, a small fraction of the 14 million products we believe reflect our SAM in our current and announced markets (the United States, the United Kingdom, Canada, and Germany) and current fitness product verticals. We believe our success in growing our Connected Fitness Subscriber base is due to our data-driven marketing and education-based multi-channel sales efforts, word-of-mouth referrals from our loyal Members, and broadening customer demographics. In order to grow our Connected Fitness Subscriber base, we plan to drive sales of our Connected Fitness Products by continuing to increase consumer awareness through brand and product marketing, the introduction of new Connected Fitness Products in existing and new fitness and wellness verticals, and geographical expansion.</w:t>
      </w:r>
    </w:p>
    <w:p>
      <w:pPr>
        <w:spacing w:after="0" w:line="141" w:lineRule="exact"/>
        <w:rPr>
          <w:sz w:val="20"/>
          <w:szCs w:val="20"/>
          <w:color w:val="auto"/>
        </w:rPr>
      </w:pPr>
    </w:p>
    <w:p>
      <w:pPr>
        <w:jc w:val="both"/>
        <w:ind w:left="2060" w:right="839"/>
        <w:spacing w:after="0" w:line="241" w:lineRule="auto"/>
        <w:rPr>
          <w:sz w:val="20"/>
          <w:szCs w:val="20"/>
          <w:color w:val="auto"/>
        </w:rPr>
      </w:pPr>
      <w:r>
        <w:rPr>
          <w:rFonts w:ascii="Arial" w:cs="Arial" w:eastAsia="Arial" w:hAnsi="Arial"/>
          <w:sz w:val="11"/>
          <w:szCs w:val="11"/>
          <w:color w:val="050505"/>
        </w:rPr>
        <w:t>In addition to our Connected Fitness Subscription for $39.00 per month, we also offer a Digital Subscription for $19.49 per month. As of June 30, 2019, we had approximately 102,000 Digital Subscribers compared to approximately 46,000 and 22,000 as of June 30, 2018 and June 30, 2017, respectively. In 2018, we relaunched Peloton Digital when we expanded our content offering to include bootcamp and indoor/outdoor running and walking classes. Later in 2018, we significantly</w:t>
      </w:r>
    </w:p>
    <w:p>
      <w:pPr>
        <w:spacing w:after="0" w:line="95" w:lineRule="exact"/>
        <w:rPr>
          <w:sz w:val="20"/>
          <w:szCs w:val="20"/>
          <w:color w:val="auto"/>
        </w:rPr>
      </w:pPr>
    </w:p>
    <w:p>
      <w:pPr>
        <w:ind w:left="5680"/>
        <w:spacing w:after="0"/>
        <w:rPr>
          <w:sz w:val="20"/>
          <w:szCs w:val="20"/>
          <w:color w:val="auto"/>
        </w:rPr>
      </w:pPr>
      <w:r>
        <w:rPr>
          <w:rFonts w:ascii="Arial" w:cs="Arial" w:eastAsia="Arial" w:hAnsi="Arial"/>
          <w:sz w:val="11"/>
          <w:szCs w:val="11"/>
          <w:color w:val="050505"/>
        </w:rPr>
        <w:t>62</w:t>
      </w:r>
    </w:p>
    <w:p>
      <w:pPr>
        <w:sectPr>
          <w:pgSz w:w="11900" w:h="16838" w:orient="portrait"/>
          <w:cols w:equalWidth="0" w:num="1">
            <w:col w:w="10239"/>
          </w:cols>
          <w:pgMar w:left="220" w:top="354" w:right="1440" w:bottom="1440" w:gutter="0" w:footer="0" w:header="0"/>
        </w:sectPr>
      </w:pPr>
    </w:p>
    <w:bookmarkStart w:id="67" w:name="page68"/>
    <w:bookmarkEnd w:id="67"/>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hyperlink w:anchor="page5">
        <w:r>
          <w:rPr>
            <w:rFonts w:ascii="Arial" w:cs="Arial" w:eastAsia="Arial" w:hAnsi="Arial"/>
            <w:sz w:val="12"/>
            <w:szCs w:val="12"/>
            <w:b w:val="1"/>
            <w:bCs w:val="1"/>
            <w:u w:val="single" w:color="auto"/>
            <w:color w:val="0000EE"/>
          </w:rPr>
          <w:t>Table of Contents</w:t>
        </w:r>
      </w:hyperlink>
    </w:p>
    <w:p>
      <w:pPr>
        <w:spacing w:after="0" w:line="216" w:lineRule="exact"/>
        <w:rPr>
          <w:sz w:val="20"/>
          <w:szCs w:val="20"/>
          <w:color w:val="auto"/>
        </w:rPr>
      </w:pPr>
    </w:p>
    <w:p>
      <w:pPr>
        <w:jc w:val="both"/>
        <w:ind w:left="2060" w:right="839"/>
        <w:spacing w:after="0" w:line="242" w:lineRule="auto"/>
        <w:rPr>
          <w:sz w:val="20"/>
          <w:szCs w:val="20"/>
          <w:color w:val="auto"/>
        </w:rPr>
      </w:pPr>
      <w:r>
        <w:rPr>
          <w:rFonts w:ascii="Arial" w:cs="Arial" w:eastAsia="Arial" w:hAnsi="Arial"/>
          <w:sz w:val="11"/>
          <w:szCs w:val="11"/>
          <w:color w:val="050505"/>
        </w:rPr>
        <w:t>expanded our yoga content offering and launched meditation. While we believe we can grow our Digital Subscriber base over time, the focus of Peloton Digital today is to increase engagement with our Connected Fitness Subscribers. In addition, Peloton Digital provides users an opportunity to try Peloton content before they purchase a Connected Fitness Product.</w:t>
      </w:r>
    </w:p>
    <w:p>
      <w:pPr>
        <w:spacing w:after="0" w:line="128" w:lineRule="exact"/>
        <w:rPr>
          <w:sz w:val="20"/>
          <w:szCs w:val="20"/>
          <w:color w:val="auto"/>
        </w:rPr>
      </w:pPr>
    </w:p>
    <w:p>
      <w:pPr>
        <w:ind w:left="2060"/>
        <w:spacing w:after="0"/>
        <w:rPr>
          <w:sz w:val="20"/>
          <w:szCs w:val="20"/>
          <w:color w:val="auto"/>
        </w:rPr>
      </w:pPr>
      <w:r>
        <w:rPr>
          <w:rFonts w:ascii="Arial" w:cs="Arial" w:eastAsia="Arial" w:hAnsi="Arial"/>
          <w:sz w:val="11"/>
          <w:szCs w:val="11"/>
          <w:b w:val="1"/>
          <w:bCs w:val="1"/>
          <w:i w:val="1"/>
          <w:iCs w:val="1"/>
          <w:color w:val="auto"/>
        </w:rPr>
        <w:t>Increase Engagement to Drive High Retention</w:t>
      </w:r>
    </w:p>
    <w:p>
      <w:pPr>
        <w:spacing w:after="0" w:line="12" w:lineRule="exact"/>
        <w:rPr>
          <w:sz w:val="20"/>
          <w:szCs w:val="20"/>
          <w:color w:val="auto"/>
        </w:rPr>
      </w:pPr>
    </w:p>
    <w:p>
      <w:pPr>
        <w:jc w:val="both"/>
        <w:ind w:left="2060" w:right="839"/>
        <w:spacing w:after="0"/>
        <w:rPr>
          <w:sz w:val="20"/>
          <w:szCs w:val="20"/>
          <w:color w:val="auto"/>
        </w:rPr>
      </w:pPr>
      <w:r>
        <w:rPr>
          <w:rFonts w:ascii="Arial" w:cs="Arial" w:eastAsia="Arial" w:hAnsi="Arial"/>
          <w:sz w:val="11"/>
          <w:szCs w:val="11"/>
          <w:color w:val="050505"/>
        </w:rPr>
        <w:t>By making fitness fun and motivating, we help our Members achieve their personal goals. We continuously improve our platform, which results in increased usage of our Connected Fitness Products and Peloton Digital. We analyze millions of workouts per month to help us develop new software features that improve our Member experience, as well as create new on-trend fitness and wellness content. We also develop innovative fitness programs and goal-based challenges to help Members feel more accountable and motivated. As our community of Members continues to grow, the Peloton fitness experience becomes more inspiring, more competitive, more immersive, and more connected, fueling the desire of each of our Members to achieve their fitness goals.</w:t>
      </w:r>
    </w:p>
    <w:p>
      <w:pPr>
        <w:spacing w:after="0" w:line="142" w:lineRule="exact"/>
        <w:rPr>
          <w:sz w:val="20"/>
          <w:szCs w:val="20"/>
          <w:color w:val="auto"/>
        </w:rPr>
      </w:pPr>
    </w:p>
    <w:p>
      <w:pPr>
        <w:jc w:val="both"/>
        <w:ind w:left="2060" w:right="839"/>
        <w:spacing w:after="0"/>
        <w:rPr>
          <w:sz w:val="20"/>
          <w:szCs w:val="20"/>
          <w:color w:val="auto"/>
        </w:rPr>
      </w:pPr>
      <w:r>
        <w:rPr>
          <w:rFonts w:ascii="Arial" w:cs="Arial" w:eastAsia="Arial" w:hAnsi="Arial"/>
          <w:sz w:val="11"/>
          <w:szCs w:val="11"/>
          <w:color w:val="050505"/>
        </w:rPr>
        <w:t>Engagement is the leading indicator of retention for our Connected Fitness Subscribers. We have consistently seen an increase in Average Monthly Workouts per Connected Fitness Subscriber. Total Workouts completed by our Connected Fitness Subscribers have grown significantly over the past few years. We evaluate engagement on a year-over-year basis given the seasonality in our Members’ workout patterns. Our third quarter tends to have elevated workout levels due to New Year’s resolutions and colder weather. Our first quarter tends to have lower workout levels as Members enjoy outdoor-based fitness activities and summer vacations.</w:t>
      </w:r>
    </w:p>
    <w:p>
      <w:pPr>
        <w:spacing w:after="0" w:line="142" w:lineRule="exact"/>
        <w:rPr>
          <w:sz w:val="20"/>
          <w:szCs w:val="20"/>
          <w:color w:val="auto"/>
        </w:rPr>
      </w:pPr>
    </w:p>
    <w:p>
      <w:pPr>
        <w:jc w:val="both"/>
        <w:ind w:left="2060" w:right="839"/>
        <w:spacing w:after="0" w:line="245" w:lineRule="auto"/>
        <w:rPr>
          <w:sz w:val="20"/>
          <w:szCs w:val="20"/>
          <w:color w:val="auto"/>
        </w:rPr>
      </w:pPr>
      <w:r>
        <w:rPr>
          <w:rFonts w:ascii="Arial" w:cs="Arial" w:eastAsia="Arial" w:hAnsi="Arial"/>
          <w:sz w:val="11"/>
          <w:szCs w:val="11"/>
          <w:color w:val="050505"/>
        </w:rPr>
        <w:t>For a definition of Workouts, Total Workouts, and Average Monthly Workouts per Connected Fitness Subscriber, see the section titled “—Key Operational and Business Metrics.”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1922145</wp:posOffset>
            </wp:positionH>
            <wp:positionV relativeFrom="paragraph">
              <wp:posOffset>189865</wp:posOffset>
            </wp:positionV>
            <wp:extent cx="3437255" cy="81216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3437255" cy="812165"/>
                    </a:xfrm>
                    <a:prstGeom prst="rect">
                      <a:avLst/>
                    </a:prstGeom>
                    <a:noFill/>
                  </pic:spPr>
                </pic:pic>
              </a:graphicData>
            </a:graphic>
          </wp:anchor>
        </w:drawing>
        <w:drawing>
          <wp:anchor simplePos="0" relativeHeight="251657728" behindDoc="1" locked="0" layoutInCell="0" allowOverlap="1">
            <wp:simplePos x="0" y="0"/>
            <wp:positionH relativeFrom="column">
              <wp:posOffset>1910715</wp:posOffset>
            </wp:positionH>
            <wp:positionV relativeFrom="paragraph">
              <wp:posOffset>1202055</wp:posOffset>
            </wp:positionV>
            <wp:extent cx="3460115" cy="117792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3460115" cy="11779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both"/>
        <w:ind w:left="2060" w:right="839"/>
        <w:spacing w:after="0" w:line="242" w:lineRule="auto"/>
        <w:rPr>
          <w:sz w:val="20"/>
          <w:szCs w:val="20"/>
          <w:color w:val="auto"/>
        </w:rPr>
      </w:pPr>
      <w:r>
        <w:rPr>
          <w:rFonts w:ascii="Arial" w:cs="Arial" w:eastAsia="Arial" w:hAnsi="Arial"/>
          <w:sz w:val="11"/>
          <w:szCs w:val="11"/>
          <w:color w:val="050505"/>
        </w:rPr>
        <w:t>We have seen an increase in engagement over time, across our cohorts of Connected Fitness Subscribers. Average Monthly Workouts per Connected Fitness Subscriber are higher for our most recent cohorts and engagement for each cohort has been consistent or improved over time. For example, the fiscal 2017 cohort includes all Connected Fitness Subscribers who joined Peloton between July 1, 2016 and June 30, 2017.</w:t>
      </w:r>
    </w:p>
    <w:p>
      <w:pPr>
        <w:spacing w:after="0" w:line="95" w:lineRule="exact"/>
        <w:rPr>
          <w:sz w:val="20"/>
          <w:szCs w:val="20"/>
          <w:color w:val="auto"/>
        </w:rPr>
      </w:pPr>
    </w:p>
    <w:p>
      <w:pPr>
        <w:ind w:left="5680"/>
        <w:spacing w:after="0"/>
        <w:rPr>
          <w:sz w:val="20"/>
          <w:szCs w:val="20"/>
          <w:color w:val="auto"/>
        </w:rPr>
      </w:pPr>
      <w:r>
        <w:rPr>
          <w:rFonts w:ascii="Arial" w:cs="Arial" w:eastAsia="Arial" w:hAnsi="Arial"/>
          <w:sz w:val="11"/>
          <w:szCs w:val="11"/>
          <w:color w:val="050505"/>
        </w:rPr>
        <w:t>63</w:t>
      </w:r>
    </w:p>
    <w:p>
      <w:pPr>
        <w:sectPr>
          <w:pgSz w:w="11900" w:h="16838" w:orient="portrait"/>
          <w:cols w:equalWidth="0" w:num="1">
            <w:col w:w="10239"/>
          </w:cols>
          <w:pgMar w:left="220" w:top="354" w:right="1440" w:bottom="1440" w:gutter="0" w:footer="0" w:header="0"/>
        </w:sectPr>
      </w:pPr>
    </w:p>
    <w:bookmarkStart w:id="68" w:name="page69"/>
    <w:bookmarkEnd w:id="68"/>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hyperlink w:anchor="page5">
        <w:r>
          <w:rPr>
            <w:rFonts w:ascii="Arial" w:cs="Arial" w:eastAsia="Arial" w:hAnsi="Arial"/>
            <w:sz w:val="12"/>
            <w:szCs w:val="12"/>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1922145</wp:posOffset>
            </wp:positionH>
            <wp:positionV relativeFrom="paragraph">
              <wp:posOffset>136525</wp:posOffset>
            </wp:positionV>
            <wp:extent cx="3437255" cy="117221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3437255" cy="1172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both"/>
        <w:ind w:left="2060" w:right="839"/>
        <w:spacing w:after="0" w:line="242" w:lineRule="auto"/>
        <w:rPr>
          <w:sz w:val="20"/>
          <w:szCs w:val="20"/>
          <w:color w:val="auto"/>
        </w:rPr>
      </w:pPr>
      <w:r>
        <w:rPr>
          <w:rFonts w:ascii="Arial" w:cs="Arial" w:eastAsia="Arial" w:hAnsi="Arial"/>
          <w:sz w:val="11"/>
          <w:szCs w:val="11"/>
          <w:color w:val="050505"/>
        </w:rPr>
        <w:t>Usage drives value and loyalty, which is evidenced by our consistently low Average Net Monthly Connected Fitness Churn. As of June 30, 2019, 89% of our Connected Fitness Subscribers were paying month-to-month subscriptions. For a definition of Average Net Monthly Connected Fitness Churn, see the section titled “—Key Operational and Business Metrics.”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1910715</wp:posOffset>
            </wp:positionH>
            <wp:positionV relativeFrom="paragraph">
              <wp:posOffset>99695</wp:posOffset>
            </wp:positionV>
            <wp:extent cx="3465830" cy="117221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3465830" cy="1172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2060"/>
        <w:spacing w:after="0"/>
        <w:rPr>
          <w:sz w:val="20"/>
          <w:szCs w:val="20"/>
          <w:color w:val="auto"/>
        </w:rPr>
      </w:pPr>
      <w:r>
        <w:rPr>
          <w:rFonts w:ascii="Arial" w:cs="Arial" w:eastAsia="Arial" w:hAnsi="Arial"/>
          <w:sz w:val="11"/>
          <w:szCs w:val="11"/>
          <w:b w:val="1"/>
          <w:bCs w:val="1"/>
          <w:i w:val="1"/>
          <w:iCs w:val="1"/>
          <w:color w:val="auto"/>
        </w:rPr>
        <w:t>Improve Profitability through Scaling Content Platform</w:t>
      </w:r>
    </w:p>
    <w:p>
      <w:pPr>
        <w:spacing w:after="0" w:line="12" w:lineRule="exact"/>
        <w:rPr>
          <w:sz w:val="20"/>
          <w:szCs w:val="20"/>
          <w:color w:val="auto"/>
        </w:rPr>
      </w:pPr>
    </w:p>
    <w:p>
      <w:pPr>
        <w:jc w:val="both"/>
        <w:ind w:left="2060" w:right="839"/>
        <w:spacing w:after="0" w:line="242" w:lineRule="auto"/>
        <w:rPr>
          <w:sz w:val="20"/>
          <w:szCs w:val="20"/>
          <w:color w:val="auto"/>
        </w:rPr>
      </w:pPr>
      <w:r>
        <w:rPr>
          <w:rFonts w:ascii="Arial" w:cs="Arial" w:eastAsia="Arial" w:hAnsi="Arial"/>
          <w:sz w:val="11"/>
          <w:szCs w:val="11"/>
          <w:color w:val="050505"/>
        </w:rPr>
        <w:t>The continued growth of our Connected Fitness Subscriber base will allow us to improve Subscription Contribution Margin, increase Connected Fitness Subscriber Lifetime Value, and generate operating leverage. We will be able to leverage a significant portion of our content creation costs given that we only need a limited number of production studios and instructors to support our growth.</w:t>
      </w:r>
    </w:p>
    <w:p>
      <w:pPr>
        <w:spacing w:after="0" w:line="140" w:lineRule="exact"/>
        <w:rPr>
          <w:sz w:val="20"/>
          <w:szCs w:val="20"/>
          <w:color w:val="auto"/>
        </w:rPr>
      </w:pPr>
    </w:p>
    <w:p>
      <w:pPr>
        <w:jc w:val="both"/>
        <w:ind w:left="2060" w:right="839"/>
        <w:spacing w:after="0" w:line="265" w:lineRule="auto"/>
        <w:rPr>
          <w:sz w:val="20"/>
          <w:szCs w:val="20"/>
          <w:color w:val="auto"/>
        </w:rPr>
      </w:pPr>
      <w:r>
        <w:rPr>
          <w:rFonts w:ascii="Arial" w:cs="Arial" w:eastAsia="Arial" w:hAnsi="Arial"/>
          <w:sz w:val="10"/>
          <w:szCs w:val="10"/>
          <w:color w:val="050505"/>
        </w:rPr>
        <w:t>We measure Subscription Contribution and Subscription Contribution Margin to understand and evaluate the profitability of our subscription business and Connected Fitness Subscriber Lifetime Value. For a definition of Subscription Contribution and Subscription Contribution Margin, see the section titled “— Key Operational and Business Metrics.” Our subscription gross margin for fiscal 2017, 2018, and 2019 was 9.7%, 43.3%, and 42.7%, respectively. The increase in our subscription gross margin from fiscal 2017 to fiscal 2018 was primarily driven by content costs for past use, which, while relatively flat on an aggregate dollar basis, more adversely impacted subscription gross margin for fiscal 2017 given a lower Connected Fitness Subscriber base. We also drove further margin improvements in fiscal 2018 by leveraging fixed costs of content production while expanding our Connected Fitness Subscriber base. Subscription gross margin decreased during fiscal 2019 as we began to make significant investments in Tread content as well as expansion into new content verticals. We also began incurring expenses for our new production studios in New York City and London and incurred additional content costs for past use in fiscal 2019. Our Subscription Contribution Margin for fiscal 2017, 2018, and 2019 was 13.5%, 47.5%, and 50.8%, respectively. When excluding content costs for past use, in fiscal 2019 we experienced a decline in our Subscription Contribution Margin which was driven by additional investments in new content verticals in the quarters ended December 31, 2018 and March 31, 2019. See the section titled “—Content Costs for Past Use” for additional information. To support the launch of our Tread, we leased a new studio in New York City and added hundreds of original programs including bootcamp and indoor/outdoor running and walking classes. In late 2018, we significantly expanded our</w:t>
      </w:r>
    </w:p>
    <w:p>
      <w:pPr>
        <w:spacing w:after="0" w:line="215" w:lineRule="exact"/>
        <w:rPr>
          <w:sz w:val="20"/>
          <w:szCs w:val="20"/>
          <w:color w:val="auto"/>
        </w:rPr>
      </w:pPr>
    </w:p>
    <w:p>
      <w:pPr>
        <w:ind w:left="5680"/>
        <w:spacing w:after="0"/>
        <w:rPr>
          <w:sz w:val="20"/>
          <w:szCs w:val="20"/>
          <w:color w:val="auto"/>
        </w:rPr>
      </w:pPr>
      <w:r>
        <w:rPr>
          <w:rFonts w:ascii="Arial" w:cs="Arial" w:eastAsia="Arial" w:hAnsi="Arial"/>
          <w:sz w:val="11"/>
          <w:szCs w:val="11"/>
          <w:color w:val="050505"/>
        </w:rPr>
        <w:t>64</w:t>
      </w:r>
    </w:p>
    <w:p>
      <w:pPr>
        <w:sectPr>
          <w:pgSz w:w="11900" w:h="16838" w:orient="portrait"/>
          <w:cols w:equalWidth="0" w:num="1">
            <w:col w:w="10239"/>
          </w:cols>
          <w:pgMar w:left="220" w:top="354" w:right="1440" w:bottom="1440" w:gutter="0" w:footer="0" w:header="0"/>
        </w:sectPr>
      </w:pPr>
    </w:p>
    <w:bookmarkStart w:id="69" w:name="page70"/>
    <w:bookmarkEnd w:id="69"/>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hyperlink w:anchor="page5">
        <w:r>
          <w:rPr>
            <w:rFonts w:ascii="Arial" w:cs="Arial" w:eastAsia="Arial" w:hAnsi="Arial"/>
            <w:sz w:val="12"/>
            <w:szCs w:val="12"/>
            <w:b w:val="1"/>
            <w:bCs w:val="1"/>
            <w:u w:val="single" w:color="auto"/>
            <w:color w:val="0000EE"/>
          </w:rPr>
          <w:t>Table of Contents</w:t>
        </w:r>
      </w:hyperlink>
    </w:p>
    <w:p>
      <w:pPr>
        <w:spacing w:after="0" w:line="216" w:lineRule="exact"/>
        <w:rPr>
          <w:sz w:val="20"/>
          <w:szCs w:val="20"/>
          <w:color w:val="auto"/>
        </w:rPr>
      </w:pPr>
    </w:p>
    <w:p>
      <w:pPr>
        <w:jc w:val="both"/>
        <w:ind w:left="2060" w:right="839"/>
        <w:spacing w:after="0" w:line="245" w:lineRule="auto"/>
        <w:rPr>
          <w:sz w:val="20"/>
          <w:szCs w:val="20"/>
          <w:color w:val="auto"/>
        </w:rPr>
      </w:pPr>
      <w:r>
        <w:rPr>
          <w:rFonts w:ascii="Arial" w:cs="Arial" w:eastAsia="Arial" w:hAnsi="Arial"/>
          <w:sz w:val="11"/>
          <w:szCs w:val="11"/>
          <w:color w:val="050505"/>
        </w:rPr>
        <w:t>yoga offering and launched meditation. We view the majority of these costs as fixed and scalable over time as we grow our Subscriber base. For a discussion of these recent growth initiatives see the section titled “—Factors Affecting Our Performance—Ability to Invest.”</w:t>
      </w:r>
    </w:p>
    <w:p>
      <w:pPr>
        <w:spacing w:after="0" w:line="138" w:lineRule="exact"/>
        <w:rPr>
          <w:sz w:val="20"/>
          <w:szCs w:val="20"/>
          <w:color w:val="auto"/>
        </w:rPr>
      </w:pPr>
    </w:p>
    <w:p>
      <w:pPr>
        <w:jc w:val="both"/>
        <w:ind w:left="2060" w:right="839"/>
        <w:spacing w:after="0" w:line="242" w:lineRule="auto"/>
        <w:rPr>
          <w:sz w:val="20"/>
          <w:szCs w:val="20"/>
          <w:color w:val="auto"/>
        </w:rPr>
      </w:pPr>
      <w:r>
        <w:rPr>
          <w:rFonts w:ascii="Arial" w:cs="Arial" w:eastAsia="Arial" w:hAnsi="Arial"/>
          <w:sz w:val="11"/>
          <w:szCs w:val="11"/>
          <w:color w:val="050505"/>
        </w:rPr>
        <w:t>We expect to benefit from continued efficiencies in sales and marketing expenses resulting from increasing brand awareness, word-of-mouth referrals from our growing Member base, and further optimization of our sales and marketing investments by channel. We also expect to achieve operating leverage as we scale fixed general and administrative expenses, including those associated with our new headquarters in New York City.</w:t>
      </w:r>
    </w:p>
    <w:p>
      <w:pPr>
        <w:spacing w:after="0" w:line="200" w:lineRule="exact"/>
        <w:rPr>
          <w:sz w:val="20"/>
          <w:szCs w:val="20"/>
          <w:color w:val="auto"/>
        </w:rPr>
      </w:pPr>
    </w:p>
    <w:p>
      <w:pPr>
        <w:ind w:left="2060"/>
        <w:spacing w:after="0"/>
        <w:rPr>
          <w:sz w:val="20"/>
          <w:szCs w:val="20"/>
          <w:color w:val="auto"/>
        </w:rPr>
      </w:pPr>
      <w:r>
        <w:rPr>
          <w:rFonts w:ascii="Arial" w:cs="Arial" w:eastAsia="Arial" w:hAnsi="Arial"/>
          <w:sz w:val="11"/>
          <w:szCs w:val="11"/>
          <w:b w:val="1"/>
          <w:bCs w:val="1"/>
          <w:i w:val="1"/>
          <w:iCs w:val="1"/>
          <w:color w:val="auto"/>
        </w:rPr>
        <w:t>Maintain Compelling Unit Economics</w:t>
      </w:r>
    </w:p>
    <w:p>
      <w:pPr>
        <w:spacing w:after="0" w:line="12" w:lineRule="exact"/>
        <w:rPr>
          <w:sz w:val="20"/>
          <w:szCs w:val="20"/>
          <w:color w:val="auto"/>
        </w:rPr>
      </w:pPr>
    </w:p>
    <w:p>
      <w:pPr>
        <w:jc w:val="both"/>
        <w:ind w:left="2060" w:right="839"/>
        <w:spacing w:after="0" w:line="273" w:lineRule="auto"/>
        <w:rPr>
          <w:sz w:val="20"/>
          <w:szCs w:val="20"/>
          <w:color w:val="auto"/>
        </w:rPr>
      </w:pPr>
      <w:r>
        <w:rPr>
          <w:rFonts w:ascii="Arial" w:cs="Arial" w:eastAsia="Arial" w:hAnsi="Arial"/>
          <w:sz w:val="10"/>
          <w:szCs w:val="10"/>
          <w:color w:val="050505"/>
        </w:rPr>
        <w:t>Our unit economic model benefits from low Average Net Monthly Connected Fitness Churn and high Subscription Contribution Margin. When we acquire a new Connected Fitness Subscriber, we offset sales and marketing investments with the gross profit earned on the sale of Connected Fitness Products, allowing for rapid payback. Thereafter, we earn recurring, high-margin subscription revenue. To illustrate our compelling unit economic model, we have presented our Connected Fitness Subscriber Lifetime Value and Net Customer Acquisition costs for fiscal 2017, fiscal 2018, and fiscal 2019.</w:t>
      </w:r>
    </w:p>
    <w:p>
      <w:pPr>
        <w:spacing w:after="0" w:line="125" w:lineRule="exact"/>
        <w:rPr>
          <w:sz w:val="20"/>
          <w:szCs w:val="20"/>
          <w:color w:val="auto"/>
        </w:rPr>
      </w:pPr>
    </w:p>
    <w:p>
      <w:pPr>
        <w:ind w:left="2060"/>
        <w:spacing w:after="0"/>
        <w:rPr>
          <w:sz w:val="20"/>
          <w:szCs w:val="20"/>
          <w:color w:val="auto"/>
        </w:rPr>
      </w:pPr>
      <w:r>
        <w:rPr>
          <w:rFonts w:ascii="Arial" w:cs="Arial" w:eastAsia="Arial" w:hAnsi="Arial"/>
          <w:sz w:val="11"/>
          <w:szCs w:val="11"/>
          <w:color w:val="050505"/>
        </w:rPr>
        <w:t>We have a high Connected Fitness Subscriber Lifetime Value, which can be calculated as:</w:t>
      </w:r>
    </w:p>
    <w:p>
      <w:pPr>
        <w:spacing w:after="0" w:line="162" w:lineRule="exact"/>
        <w:rPr>
          <w:sz w:val="20"/>
          <w:szCs w:val="20"/>
          <w:color w:val="auto"/>
        </w:rPr>
      </w:pPr>
    </w:p>
    <w:p>
      <w:pPr>
        <w:ind w:left="2420" w:hanging="217"/>
        <w:spacing w:after="0"/>
        <w:tabs>
          <w:tab w:leader="none" w:pos="2420" w:val="left"/>
        </w:tabs>
        <w:numPr>
          <w:ilvl w:val="0"/>
          <w:numId w:val="46"/>
        </w:numPr>
        <w:rPr>
          <w:rFonts w:ascii="Arial" w:cs="Arial" w:eastAsia="Arial" w:hAnsi="Arial"/>
          <w:sz w:val="11"/>
          <w:szCs w:val="11"/>
          <w:color w:val="F7323F"/>
        </w:rPr>
      </w:pPr>
      <w:r>
        <w:rPr>
          <w:rFonts w:ascii="Arial" w:cs="Arial" w:eastAsia="Arial" w:hAnsi="Arial"/>
          <w:sz w:val="11"/>
          <w:szCs w:val="11"/>
          <w:color w:val="050505"/>
        </w:rPr>
        <w:t>our monthly Connected Fitness Subscription fee of $39.00; multiplied by</w:t>
      </w:r>
    </w:p>
    <w:p>
      <w:pPr>
        <w:spacing w:after="0" w:line="44" w:lineRule="exact"/>
        <w:rPr>
          <w:rFonts w:ascii="Arial" w:cs="Arial" w:eastAsia="Arial" w:hAnsi="Arial"/>
          <w:sz w:val="11"/>
          <w:szCs w:val="11"/>
          <w:color w:val="F7323F"/>
        </w:rPr>
      </w:pPr>
    </w:p>
    <w:p>
      <w:pPr>
        <w:ind w:left="2420" w:hanging="217"/>
        <w:spacing w:after="0"/>
        <w:tabs>
          <w:tab w:leader="none" w:pos="2420" w:val="left"/>
        </w:tabs>
        <w:numPr>
          <w:ilvl w:val="0"/>
          <w:numId w:val="46"/>
        </w:numPr>
        <w:rPr>
          <w:rFonts w:ascii="Arial" w:cs="Arial" w:eastAsia="Arial" w:hAnsi="Arial"/>
          <w:sz w:val="11"/>
          <w:szCs w:val="11"/>
          <w:color w:val="F7323F"/>
        </w:rPr>
      </w:pPr>
      <w:r>
        <w:rPr>
          <w:rFonts w:ascii="Arial" w:cs="Arial" w:eastAsia="Arial" w:hAnsi="Arial"/>
          <w:sz w:val="11"/>
          <w:szCs w:val="11"/>
          <w:color w:val="050505"/>
        </w:rPr>
        <w:t>Connected Fitness Subscribers added in a period; multiplied by</w:t>
      </w:r>
    </w:p>
    <w:p>
      <w:pPr>
        <w:spacing w:after="0" w:line="44" w:lineRule="exact"/>
        <w:rPr>
          <w:rFonts w:ascii="Arial" w:cs="Arial" w:eastAsia="Arial" w:hAnsi="Arial"/>
          <w:sz w:val="11"/>
          <w:szCs w:val="11"/>
          <w:color w:val="F7323F"/>
        </w:rPr>
      </w:pPr>
    </w:p>
    <w:p>
      <w:pPr>
        <w:ind w:left="2420" w:right="839" w:hanging="217"/>
        <w:spacing w:after="0" w:line="245" w:lineRule="auto"/>
        <w:tabs>
          <w:tab w:leader="none" w:pos="2420" w:val="left"/>
        </w:tabs>
        <w:numPr>
          <w:ilvl w:val="0"/>
          <w:numId w:val="46"/>
        </w:numPr>
        <w:rPr>
          <w:rFonts w:ascii="Arial" w:cs="Arial" w:eastAsia="Arial" w:hAnsi="Arial"/>
          <w:sz w:val="11"/>
          <w:szCs w:val="11"/>
          <w:color w:val="F7323F"/>
        </w:rPr>
      </w:pPr>
      <w:r>
        <w:rPr>
          <w:rFonts w:ascii="Arial" w:cs="Arial" w:eastAsia="Arial" w:hAnsi="Arial"/>
          <w:sz w:val="11"/>
          <w:szCs w:val="11"/>
          <w:color w:val="050505"/>
        </w:rPr>
        <w:t>months of Subscription Lifetime implied by our Average Net Monthly Connected Fitness Churn in the period (calculated by dividing one by our Average Net Monthly Connected Fitness Churn); multiplied by</w:t>
      </w:r>
    </w:p>
    <w:p>
      <w:pPr>
        <w:spacing w:after="0" w:line="38" w:lineRule="exact"/>
        <w:rPr>
          <w:rFonts w:ascii="Arial" w:cs="Arial" w:eastAsia="Arial" w:hAnsi="Arial"/>
          <w:sz w:val="11"/>
          <w:szCs w:val="11"/>
          <w:color w:val="F7323F"/>
        </w:rPr>
      </w:pPr>
    </w:p>
    <w:p>
      <w:pPr>
        <w:ind w:left="2420" w:hanging="217"/>
        <w:spacing w:after="0"/>
        <w:tabs>
          <w:tab w:leader="none" w:pos="2420" w:val="left"/>
        </w:tabs>
        <w:numPr>
          <w:ilvl w:val="0"/>
          <w:numId w:val="46"/>
        </w:numPr>
        <w:rPr>
          <w:rFonts w:ascii="Arial" w:cs="Arial" w:eastAsia="Arial" w:hAnsi="Arial"/>
          <w:sz w:val="11"/>
          <w:szCs w:val="11"/>
          <w:color w:val="F7323F"/>
        </w:rPr>
      </w:pPr>
      <w:r>
        <w:rPr>
          <w:rFonts w:ascii="Arial" w:cs="Arial" w:eastAsia="Arial" w:hAnsi="Arial"/>
          <w:sz w:val="11"/>
          <w:szCs w:val="11"/>
          <w:color w:val="050505"/>
        </w:rPr>
        <w:t>(Subscription Contribution plus content costs for past use) divided by subscription revenue.</w:t>
      </w:r>
    </w:p>
    <w:p>
      <w:pPr>
        <w:spacing w:after="0" w:line="144" w:lineRule="exact"/>
        <w:rPr>
          <w:sz w:val="20"/>
          <w:szCs w:val="20"/>
          <w:color w:val="auto"/>
        </w:rPr>
      </w:pPr>
    </w:p>
    <w:p>
      <w:pPr>
        <w:jc w:val="both"/>
        <w:ind w:left="2060" w:right="839"/>
        <w:spacing w:after="0" w:line="245" w:lineRule="auto"/>
        <w:rPr>
          <w:sz w:val="20"/>
          <w:szCs w:val="20"/>
          <w:color w:val="auto"/>
        </w:rPr>
      </w:pPr>
      <w:r>
        <w:rPr>
          <w:rFonts w:ascii="Arial" w:cs="Arial" w:eastAsia="Arial" w:hAnsi="Arial"/>
          <w:sz w:val="11"/>
          <w:szCs w:val="11"/>
          <w:color w:val="050505"/>
        </w:rPr>
        <w:t>Our Connected Fitness Subscriber Lifetime Value for fiscal 2017, fiscal 2018, and fiscal 2019, was $267.1 million, $604.4 million, and $1,053.8 million, respectively, or $3,433, $4,015, and $3,593 per Connected Fitness Subscriber, respectively.</w:t>
      </w:r>
    </w:p>
    <w:p>
      <w:pPr>
        <w:spacing w:after="0" w:line="138" w:lineRule="exact"/>
        <w:rPr>
          <w:sz w:val="20"/>
          <w:szCs w:val="20"/>
          <w:color w:val="auto"/>
        </w:rPr>
      </w:pPr>
    </w:p>
    <w:p>
      <w:pPr>
        <w:ind w:left="2060"/>
        <w:spacing w:after="0"/>
        <w:rPr>
          <w:sz w:val="20"/>
          <w:szCs w:val="20"/>
          <w:color w:val="auto"/>
        </w:rPr>
      </w:pPr>
      <w:r>
        <w:rPr>
          <w:rFonts w:ascii="Arial" w:cs="Arial" w:eastAsia="Arial" w:hAnsi="Arial"/>
          <w:sz w:val="11"/>
          <w:szCs w:val="11"/>
          <w:color w:val="050505"/>
        </w:rPr>
        <w:t>As we expand our content offering, develop new interactive software features, and grow our community of Members, we believe we can maintain a low</w:t>
      </w:r>
    </w:p>
    <w:p>
      <w:pPr>
        <w:ind w:left="2060"/>
        <w:spacing w:after="0"/>
        <w:rPr>
          <w:sz w:val="20"/>
          <w:szCs w:val="20"/>
          <w:color w:val="auto"/>
        </w:rPr>
      </w:pPr>
      <w:r>
        <w:rPr>
          <w:rFonts w:ascii="Arial" w:cs="Arial" w:eastAsia="Arial" w:hAnsi="Arial"/>
          <w:sz w:val="11"/>
          <w:szCs w:val="11"/>
          <w:color w:val="050505"/>
        </w:rPr>
        <w:t>Average Net Monthly Connected Fitness Churn, resulting in a high Connected Fitness Subscriber Lifetime Value. In addition, with the growth of our</w:t>
      </w:r>
    </w:p>
    <w:p>
      <w:pPr>
        <w:ind w:left="2060"/>
        <w:spacing w:after="0"/>
        <w:rPr>
          <w:sz w:val="20"/>
          <w:szCs w:val="20"/>
          <w:color w:val="auto"/>
        </w:rPr>
      </w:pPr>
      <w:r>
        <w:rPr>
          <w:rFonts w:ascii="Arial" w:cs="Arial" w:eastAsia="Arial" w:hAnsi="Arial"/>
          <w:sz w:val="10"/>
          <w:szCs w:val="10"/>
          <w:color w:val="050505"/>
        </w:rPr>
        <w:t>Connected Fitness Subscriber base over time, we expect to improve our Subscription Contribution Margin as we scale our fixed content production costs.</w:t>
      </w:r>
    </w:p>
    <w:p>
      <w:pPr>
        <w:spacing w:after="0" w:line="155" w:lineRule="exact"/>
        <w:rPr>
          <w:sz w:val="20"/>
          <w:szCs w:val="20"/>
          <w:color w:val="auto"/>
        </w:rPr>
      </w:pPr>
    </w:p>
    <w:p>
      <w:pPr>
        <w:jc w:val="both"/>
        <w:ind w:left="2060" w:right="839"/>
        <w:spacing w:after="0"/>
        <w:rPr>
          <w:sz w:val="20"/>
          <w:szCs w:val="20"/>
          <w:color w:val="auto"/>
        </w:rPr>
      </w:pPr>
      <w:r>
        <w:rPr>
          <w:rFonts w:ascii="Arial" w:cs="Arial" w:eastAsia="Arial" w:hAnsi="Arial"/>
          <w:sz w:val="11"/>
          <w:szCs w:val="11"/>
          <w:color w:val="050505"/>
        </w:rPr>
        <w:t>Net Customer Acquisition Cost (profit) can be calculated as Adjusted Sales and Marketing Expense (which excludes depreciation and amortization expense and stock-based compensation expense) less Adjusted Connected Fitness Product Gross Profit (which excludes depreciation and amortization expense and stock-based compensation expense). Our Net Customer Acquisition Costs (profit) for fiscal 2017, fiscal 2018, and fiscal 2019, was $14.2 million, $(4.9) million, and $1.6 million, respectively, or $183, $(33), and $5 per Connected Fitness Subscriber added, respectively. We believe we will continue to drive rapid payback and efficiencies in Net Customer Acquisition Costs (profit) by further leveraging sales and marketing investments as a result of heightened brand awareness and growing word-of-mouth referrals. Changes in Connected Fitness Product margins or sales and marketing expenses may result in an inability to fully offset our customer acquisition costs.</w:t>
      </w:r>
    </w:p>
    <w:p>
      <w:pPr>
        <w:spacing w:after="0" w:line="129" w:lineRule="exact"/>
        <w:rPr>
          <w:sz w:val="20"/>
          <w:szCs w:val="20"/>
          <w:color w:val="auto"/>
        </w:rPr>
      </w:pPr>
    </w:p>
    <w:p>
      <w:pPr>
        <w:ind w:left="2060"/>
        <w:spacing w:after="0"/>
        <w:rPr>
          <w:sz w:val="20"/>
          <w:szCs w:val="20"/>
          <w:color w:val="auto"/>
        </w:rPr>
      </w:pPr>
      <w:r>
        <w:rPr>
          <w:rFonts w:ascii="Arial" w:cs="Arial" w:eastAsia="Arial" w:hAnsi="Arial"/>
          <w:sz w:val="11"/>
          <w:szCs w:val="11"/>
          <w:b w:val="1"/>
          <w:bCs w:val="1"/>
          <w:u w:val="single" w:color="auto"/>
          <w:color w:val="auto"/>
        </w:rPr>
        <w:t>Factors Affecting Our Performance</w:t>
      </w:r>
    </w:p>
    <w:p>
      <w:pPr>
        <w:spacing w:after="0" w:line="12" w:lineRule="exact"/>
        <w:rPr>
          <w:sz w:val="20"/>
          <w:szCs w:val="20"/>
          <w:color w:val="auto"/>
        </w:rPr>
      </w:pPr>
    </w:p>
    <w:p>
      <w:pPr>
        <w:ind w:left="2060"/>
        <w:spacing w:after="0"/>
        <w:rPr>
          <w:sz w:val="20"/>
          <w:szCs w:val="20"/>
          <w:color w:val="auto"/>
        </w:rPr>
      </w:pPr>
      <w:r>
        <w:rPr>
          <w:rFonts w:ascii="Arial" w:cs="Arial" w:eastAsia="Arial" w:hAnsi="Arial"/>
          <w:sz w:val="11"/>
          <w:szCs w:val="11"/>
          <w:color w:val="050505"/>
        </w:rPr>
        <w:t>Our financial condition and results of operations have been, and will continue to be, affected by a number of factors, including the following:</w:t>
      </w:r>
    </w:p>
    <w:p>
      <w:pPr>
        <w:spacing w:after="0" w:line="132" w:lineRule="exact"/>
        <w:rPr>
          <w:sz w:val="20"/>
          <w:szCs w:val="20"/>
          <w:color w:val="auto"/>
        </w:rPr>
      </w:pPr>
    </w:p>
    <w:p>
      <w:pPr>
        <w:ind w:left="2060"/>
        <w:spacing w:after="0"/>
        <w:rPr>
          <w:sz w:val="20"/>
          <w:szCs w:val="20"/>
          <w:color w:val="auto"/>
        </w:rPr>
      </w:pPr>
      <w:r>
        <w:rPr>
          <w:rFonts w:ascii="Arial" w:cs="Arial" w:eastAsia="Arial" w:hAnsi="Arial"/>
          <w:sz w:val="11"/>
          <w:szCs w:val="11"/>
          <w:b w:val="1"/>
          <w:bCs w:val="1"/>
          <w:i w:val="1"/>
          <w:iCs w:val="1"/>
          <w:color w:val="auto"/>
        </w:rPr>
        <w:t>Ability to Attract New Connected Fitness Subscribers and Scale Our Platform</w:t>
      </w:r>
    </w:p>
    <w:p>
      <w:pPr>
        <w:spacing w:after="0" w:line="12" w:lineRule="exact"/>
        <w:rPr>
          <w:sz w:val="20"/>
          <w:szCs w:val="20"/>
          <w:color w:val="auto"/>
        </w:rPr>
      </w:pPr>
    </w:p>
    <w:p>
      <w:pPr>
        <w:jc w:val="both"/>
        <w:ind w:left="2060" w:right="839"/>
        <w:spacing w:after="0" w:line="241" w:lineRule="auto"/>
        <w:rPr>
          <w:sz w:val="20"/>
          <w:szCs w:val="20"/>
          <w:color w:val="auto"/>
        </w:rPr>
      </w:pPr>
      <w:r>
        <w:rPr>
          <w:rFonts w:ascii="Arial" w:cs="Arial" w:eastAsia="Arial" w:hAnsi="Arial"/>
          <w:sz w:val="11"/>
          <w:szCs w:val="11"/>
          <w:color w:val="050505"/>
        </w:rPr>
        <w:t>Our long-term growth will depend in part on our continued ability to attract new Connected Fitness Subscribers. We are still in the early stages of growth in our existing markets and believe we can significantly grow our Connected Fitness Subscriber base. If we cannot attract new Connected Fitness Subscribers as quickly as we expect, our operating results may be adversely affected. The inability to grow our Connected Fitness Subscriber base would reduce efficiency in customer acquisition costs and slow operating margin improvement.</w:t>
      </w:r>
    </w:p>
    <w:p>
      <w:pPr>
        <w:spacing w:after="0" w:line="95" w:lineRule="exact"/>
        <w:rPr>
          <w:sz w:val="20"/>
          <w:szCs w:val="20"/>
          <w:color w:val="auto"/>
        </w:rPr>
      </w:pPr>
    </w:p>
    <w:p>
      <w:pPr>
        <w:ind w:left="5680"/>
        <w:spacing w:after="0"/>
        <w:rPr>
          <w:sz w:val="20"/>
          <w:szCs w:val="20"/>
          <w:color w:val="auto"/>
        </w:rPr>
      </w:pPr>
      <w:r>
        <w:rPr>
          <w:rFonts w:ascii="Arial" w:cs="Arial" w:eastAsia="Arial" w:hAnsi="Arial"/>
          <w:sz w:val="11"/>
          <w:szCs w:val="11"/>
          <w:color w:val="050505"/>
        </w:rPr>
        <w:t>65</w:t>
      </w:r>
    </w:p>
    <w:p>
      <w:pPr>
        <w:sectPr>
          <w:pgSz w:w="11900" w:h="16838" w:orient="portrait"/>
          <w:cols w:equalWidth="0" w:num="1">
            <w:col w:w="10239"/>
          </w:cols>
          <w:pgMar w:left="220" w:top="354" w:right="1440" w:bottom="1440" w:gutter="0" w:footer="0" w:header="0"/>
        </w:sectPr>
      </w:pPr>
    </w:p>
    <w:bookmarkStart w:id="70" w:name="page71"/>
    <w:bookmarkEnd w:id="70"/>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hyperlink w:anchor="page5">
        <w:r>
          <w:rPr>
            <w:rFonts w:ascii="Arial" w:cs="Arial" w:eastAsia="Arial" w:hAnsi="Arial"/>
            <w:sz w:val="12"/>
            <w:szCs w:val="12"/>
            <w:b w:val="1"/>
            <w:bCs w:val="1"/>
            <w:u w:val="single" w:color="auto"/>
            <w:color w:val="0000EE"/>
          </w:rPr>
          <w:t>Table of Contents</w:t>
        </w:r>
      </w:hyperlink>
    </w:p>
    <w:p>
      <w:pPr>
        <w:spacing w:after="0" w:line="216" w:lineRule="exact"/>
        <w:rPr>
          <w:sz w:val="20"/>
          <w:szCs w:val="20"/>
          <w:color w:val="auto"/>
        </w:rPr>
      </w:pPr>
    </w:p>
    <w:p>
      <w:pPr>
        <w:jc w:val="both"/>
        <w:ind w:left="2060" w:right="839"/>
        <w:spacing w:after="0" w:line="242" w:lineRule="auto"/>
        <w:rPr>
          <w:sz w:val="20"/>
          <w:szCs w:val="20"/>
          <w:color w:val="auto"/>
        </w:rPr>
      </w:pPr>
      <w:r>
        <w:rPr>
          <w:rFonts w:ascii="Arial" w:cs="Arial" w:eastAsia="Arial" w:hAnsi="Arial"/>
          <w:sz w:val="11"/>
          <w:szCs w:val="11"/>
          <w:color w:val="050505"/>
        </w:rPr>
        <w:t>To increase affordability and expand our addressable market, we offer attractive financing programs for qualified customers. We report revenue net of third-party financing partner fees. Accordingly, to the extent that these third-party financing partner fees change, or the number of products purchased through our financing programs fluctuates, our revenue and Subscription Contribution Margin will be affected.</w:t>
      </w:r>
    </w:p>
    <w:p>
      <w:pPr>
        <w:spacing w:after="0" w:line="128" w:lineRule="exact"/>
        <w:rPr>
          <w:sz w:val="20"/>
          <w:szCs w:val="20"/>
          <w:color w:val="auto"/>
        </w:rPr>
      </w:pPr>
    </w:p>
    <w:p>
      <w:pPr>
        <w:ind w:left="2060"/>
        <w:spacing w:after="0"/>
        <w:rPr>
          <w:sz w:val="20"/>
          <w:szCs w:val="20"/>
          <w:color w:val="auto"/>
        </w:rPr>
      </w:pPr>
      <w:r>
        <w:rPr>
          <w:rFonts w:ascii="Arial" w:cs="Arial" w:eastAsia="Arial" w:hAnsi="Arial"/>
          <w:sz w:val="11"/>
          <w:szCs w:val="11"/>
          <w:b w:val="1"/>
          <w:bCs w:val="1"/>
          <w:i w:val="1"/>
          <w:iCs w:val="1"/>
          <w:color w:val="auto"/>
        </w:rPr>
        <w:t>Ability to Engage and Retain Our Existing Connected Fitness Subscribers</w:t>
      </w:r>
    </w:p>
    <w:p>
      <w:pPr>
        <w:spacing w:after="0" w:line="12" w:lineRule="exact"/>
        <w:rPr>
          <w:sz w:val="20"/>
          <w:szCs w:val="20"/>
          <w:color w:val="auto"/>
        </w:rPr>
      </w:pPr>
    </w:p>
    <w:p>
      <w:pPr>
        <w:jc w:val="both"/>
        <w:ind w:left="2060" w:right="839"/>
        <w:spacing w:after="0"/>
        <w:rPr>
          <w:sz w:val="20"/>
          <w:szCs w:val="20"/>
          <w:color w:val="auto"/>
        </w:rPr>
      </w:pPr>
      <w:r>
        <w:rPr>
          <w:rFonts w:ascii="Arial" w:cs="Arial" w:eastAsia="Arial" w:hAnsi="Arial"/>
          <w:sz w:val="11"/>
          <w:szCs w:val="11"/>
          <w:color w:val="050505"/>
        </w:rPr>
        <w:t>Our long-term growth will partially depend on our continued ability to retain existing Connected Fitness Subscribers. Engagement is the leading indicator of retention for our Connected Fitness Subscribers, and we must continue to provide an experience that our Members love. We cannot be sure that we will be successful in engaging and retaining Connected Fitness Subscribers, or that retention levels will not materially decline due to any number of factors, such as harm to our brand, or our inability to anticipate and meet consumer preferences and successfully implement new software features and content to meet those demands.</w:t>
      </w:r>
    </w:p>
    <w:p>
      <w:pPr>
        <w:spacing w:after="0" w:line="130" w:lineRule="exact"/>
        <w:rPr>
          <w:sz w:val="20"/>
          <w:szCs w:val="20"/>
          <w:color w:val="auto"/>
        </w:rPr>
      </w:pPr>
    </w:p>
    <w:p>
      <w:pPr>
        <w:ind w:left="2060"/>
        <w:spacing w:after="0"/>
        <w:rPr>
          <w:sz w:val="20"/>
          <w:szCs w:val="20"/>
          <w:color w:val="auto"/>
        </w:rPr>
      </w:pPr>
      <w:r>
        <w:rPr>
          <w:rFonts w:ascii="Arial" w:cs="Arial" w:eastAsia="Arial" w:hAnsi="Arial"/>
          <w:sz w:val="11"/>
          <w:szCs w:val="11"/>
          <w:b w:val="1"/>
          <w:bCs w:val="1"/>
          <w:i w:val="1"/>
          <w:iCs w:val="1"/>
          <w:color w:val="auto"/>
        </w:rPr>
        <w:t>Ability to Invest</w:t>
      </w:r>
    </w:p>
    <w:p>
      <w:pPr>
        <w:spacing w:after="0" w:line="12" w:lineRule="exact"/>
        <w:rPr>
          <w:sz w:val="20"/>
          <w:szCs w:val="20"/>
          <w:color w:val="auto"/>
        </w:rPr>
      </w:pPr>
    </w:p>
    <w:p>
      <w:pPr>
        <w:jc w:val="both"/>
        <w:ind w:left="2060" w:right="839"/>
        <w:spacing w:after="0"/>
        <w:rPr>
          <w:sz w:val="20"/>
          <w:szCs w:val="20"/>
          <w:color w:val="auto"/>
        </w:rPr>
      </w:pPr>
      <w:r>
        <w:rPr>
          <w:rFonts w:ascii="Arial" w:cs="Arial" w:eastAsia="Arial" w:hAnsi="Arial"/>
          <w:sz w:val="11"/>
          <w:szCs w:val="11"/>
          <w:color w:val="050505"/>
        </w:rPr>
        <w:t>We will continue to make investments across our business to drive growth, and therefore we expect expenses to increase. We will continue to invest significant resources in sales and marketing to drive demand for our products and services. We will also continue to invest in research and development to enhance our platform, develop new Connected Fitness Products and software features, update and expand our content offering, and improve our infrastructure. For example, during fiscal 2019, we added eight new instructors and opened a temporary New York City production studio to produce bootcamp and indoor/outdoor running and walking classes. To support our rapid growth, we also intend to continue investing in our supply chain and logistics operations. We have in the past made, and may also in the future make, acquisitions or investments in strategic partnerships to further drive our growth. As cost of revenue, operating expenses, and capital expenditures increase as we invest in our business for long-term growth, we are likely to experience additional losses, delaying our ability to achieve profitability and adversely affecting cash flows.</w:t>
      </w:r>
    </w:p>
    <w:p>
      <w:pPr>
        <w:spacing w:after="0" w:line="129" w:lineRule="exact"/>
        <w:rPr>
          <w:sz w:val="20"/>
          <w:szCs w:val="20"/>
          <w:color w:val="auto"/>
        </w:rPr>
      </w:pPr>
    </w:p>
    <w:p>
      <w:pPr>
        <w:ind w:left="2060"/>
        <w:spacing w:after="0"/>
        <w:rPr>
          <w:sz w:val="20"/>
          <w:szCs w:val="20"/>
          <w:color w:val="auto"/>
        </w:rPr>
      </w:pPr>
      <w:r>
        <w:rPr>
          <w:rFonts w:ascii="Arial" w:cs="Arial" w:eastAsia="Arial" w:hAnsi="Arial"/>
          <w:sz w:val="11"/>
          <w:szCs w:val="11"/>
          <w:b w:val="1"/>
          <w:bCs w:val="1"/>
          <w:i w:val="1"/>
          <w:iCs w:val="1"/>
          <w:color w:val="auto"/>
        </w:rPr>
        <w:t>Ability to Grow in New Geographies</w:t>
      </w:r>
    </w:p>
    <w:p>
      <w:pPr>
        <w:spacing w:after="0" w:line="12" w:lineRule="exact"/>
        <w:rPr>
          <w:sz w:val="20"/>
          <w:szCs w:val="20"/>
          <w:color w:val="auto"/>
        </w:rPr>
      </w:pPr>
    </w:p>
    <w:p>
      <w:pPr>
        <w:jc w:val="both"/>
        <w:ind w:left="2060" w:right="839"/>
        <w:spacing w:after="0"/>
        <w:rPr>
          <w:sz w:val="20"/>
          <w:szCs w:val="20"/>
          <w:color w:val="auto"/>
        </w:rPr>
      </w:pPr>
      <w:r>
        <w:rPr>
          <w:rFonts w:ascii="Arial" w:cs="Arial" w:eastAsia="Arial" w:hAnsi="Arial"/>
          <w:sz w:val="11"/>
          <w:szCs w:val="11"/>
          <w:color w:val="050505"/>
        </w:rPr>
        <w:t>Entering new geographic markets requires us to invest in sales and marketing, infrastructure, and personnel, including by establishing additional offices, showrooms, and potentially smaller local production studios. Our international growth will depend on our ability to sell Connected Fitness Products and associated Connected Fitness Subscriptions in international markets. Our international expansion has resulted in, and will continue to result in, increased costs and is subject to a variety of risks, including local competition, content localization, multilingual customer support, potentially complex delivery logistics, and compliance with foreign laws and regulations.</w:t>
      </w:r>
    </w:p>
    <w:p>
      <w:pPr>
        <w:spacing w:after="0" w:line="130" w:lineRule="exact"/>
        <w:rPr>
          <w:sz w:val="20"/>
          <w:szCs w:val="20"/>
          <w:color w:val="auto"/>
        </w:rPr>
      </w:pPr>
    </w:p>
    <w:p>
      <w:pPr>
        <w:ind w:left="2060"/>
        <w:spacing w:after="0"/>
        <w:rPr>
          <w:sz w:val="20"/>
          <w:szCs w:val="20"/>
          <w:color w:val="auto"/>
        </w:rPr>
      </w:pPr>
      <w:r>
        <w:rPr>
          <w:rFonts w:ascii="Arial" w:cs="Arial" w:eastAsia="Arial" w:hAnsi="Arial"/>
          <w:sz w:val="11"/>
          <w:szCs w:val="11"/>
          <w:b w:val="1"/>
          <w:bCs w:val="1"/>
          <w:i w:val="1"/>
          <w:iCs w:val="1"/>
          <w:color w:val="auto"/>
        </w:rPr>
        <w:t>Seasonality</w:t>
      </w:r>
    </w:p>
    <w:p>
      <w:pPr>
        <w:spacing w:after="0" w:line="12" w:lineRule="exact"/>
        <w:rPr>
          <w:sz w:val="20"/>
          <w:szCs w:val="20"/>
          <w:color w:val="auto"/>
        </w:rPr>
      </w:pPr>
    </w:p>
    <w:p>
      <w:pPr>
        <w:jc w:val="both"/>
        <w:ind w:left="2060" w:right="839"/>
        <w:spacing w:after="0" w:line="278" w:lineRule="auto"/>
        <w:rPr>
          <w:sz w:val="20"/>
          <w:szCs w:val="20"/>
          <w:color w:val="auto"/>
        </w:rPr>
      </w:pPr>
      <w:r>
        <w:rPr>
          <w:rFonts w:ascii="Arial" w:cs="Arial" w:eastAsia="Arial" w:hAnsi="Arial"/>
          <w:sz w:val="10"/>
          <w:szCs w:val="10"/>
          <w:color w:val="050505"/>
        </w:rPr>
        <w:t>Historically, we have experienced higher revenue in the second and third quarters of the fiscal year compared to other quarters, due in large part to seasonal holiday demand, New Year’s resolutions, and cold weather. For example, in fiscal 2018 and 2019, our second and third quarters combined each represented 63% and 63% of our total revenue. We also incur higher sales and marketing expenses during these periods, which we expect to continue.</w:t>
      </w:r>
    </w:p>
    <w:p>
      <w:pPr>
        <w:spacing w:after="0" w:line="78" w:lineRule="exact"/>
        <w:rPr>
          <w:sz w:val="20"/>
          <w:szCs w:val="20"/>
          <w:color w:val="auto"/>
        </w:rPr>
      </w:pPr>
    </w:p>
    <w:p>
      <w:pPr>
        <w:ind w:left="5680"/>
        <w:spacing w:after="0"/>
        <w:rPr>
          <w:sz w:val="20"/>
          <w:szCs w:val="20"/>
          <w:color w:val="auto"/>
        </w:rPr>
      </w:pPr>
      <w:r>
        <w:rPr>
          <w:rFonts w:ascii="Arial" w:cs="Arial" w:eastAsia="Arial" w:hAnsi="Arial"/>
          <w:sz w:val="11"/>
          <w:szCs w:val="11"/>
          <w:color w:val="050505"/>
        </w:rPr>
        <w:t>66</w:t>
      </w:r>
    </w:p>
    <w:p>
      <w:pPr>
        <w:sectPr>
          <w:pgSz w:w="11900" w:h="16838" w:orient="portrait"/>
          <w:cols w:equalWidth="0" w:num="1">
            <w:col w:w="10239"/>
          </w:cols>
          <w:pgMar w:left="220" w:top="354" w:right="1440" w:bottom="1440" w:gutter="0" w:footer="0" w:header="0"/>
        </w:sectPr>
      </w:pPr>
    </w:p>
    <w:bookmarkStart w:id="71" w:name="page72"/>
    <w:bookmarkEnd w:id="71"/>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hyperlink w:anchor="page5">
        <w:r>
          <w:rPr>
            <w:rFonts w:ascii="Arial" w:cs="Arial" w:eastAsia="Arial" w:hAnsi="Arial"/>
            <w:sz w:val="12"/>
            <w:szCs w:val="12"/>
            <w:b w:val="1"/>
            <w:bCs w:val="1"/>
            <w:u w:val="single" w:color="auto"/>
            <w:color w:val="0000EE"/>
          </w:rPr>
          <w:t>Table of Contents</w:t>
        </w:r>
      </w:hyperlink>
    </w:p>
    <w:p>
      <w:pPr>
        <w:spacing w:after="0" w:line="204" w:lineRule="exact"/>
        <w:rPr>
          <w:sz w:val="20"/>
          <w:szCs w:val="20"/>
          <w:color w:val="auto"/>
        </w:rPr>
      </w:pPr>
    </w:p>
    <w:p>
      <w:pPr>
        <w:ind w:left="2060"/>
        <w:spacing w:after="0"/>
        <w:rPr>
          <w:sz w:val="20"/>
          <w:szCs w:val="20"/>
          <w:color w:val="auto"/>
        </w:rPr>
      </w:pPr>
      <w:r>
        <w:rPr>
          <w:rFonts w:ascii="Arial" w:cs="Arial" w:eastAsia="Arial" w:hAnsi="Arial"/>
          <w:sz w:val="11"/>
          <w:szCs w:val="11"/>
          <w:b w:val="1"/>
          <w:bCs w:val="1"/>
          <w:u w:val="single" w:color="auto"/>
          <w:color w:val="auto"/>
        </w:rPr>
        <w:t>Key Operational and Business Metrics</w:t>
      </w:r>
    </w:p>
    <w:p>
      <w:pPr>
        <w:spacing w:after="0" w:line="12" w:lineRule="exact"/>
        <w:rPr>
          <w:sz w:val="20"/>
          <w:szCs w:val="20"/>
          <w:color w:val="auto"/>
        </w:rPr>
      </w:pPr>
    </w:p>
    <w:p>
      <w:pPr>
        <w:ind w:left="2060" w:right="839"/>
        <w:spacing w:after="0" w:line="245" w:lineRule="auto"/>
        <w:rPr>
          <w:sz w:val="20"/>
          <w:szCs w:val="20"/>
          <w:color w:val="auto"/>
        </w:rPr>
      </w:pPr>
      <w:r>
        <w:rPr>
          <w:rFonts w:ascii="Arial" w:cs="Arial" w:eastAsia="Arial" w:hAnsi="Arial"/>
          <w:sz w:val="11"/>
          <w:szCs w:val="11"/>
          <w:color w:val="050505"/>
        </w:rPr>
        <w:t>In addition to the measures presented in our consolidated financial statements, we use the following key operational and business metrics to evaluate our business, measure our performance, develop financial forecasts, and make strategic decisions.</w:t>
      </w:r>
    </w:p>
    <w:p>
      <w:pPr>
        <w:spacing w:after="0" w:line="144" w:lineRule="exact"/>
        <w:rPr>
          <w:sz w:val="20"/>
          <w:szCs w:val="20"/>
          <w:color w:val="auto"/>
        </w:rPr>
      </w:pPr>
    </w:p>
    <w:tbl>
      <w:tblPr>
        <w:tblLayout w:type="fixed"/>
        <w:tblInd w:w="2060" w:type="dxa"/>
        <w:tblCellMar>
          <w:top w:w="0" w:type="dxa"/>
          <w:left w:w="0" w:type="dxa"/>
          <w:bottom w:w="0" w:type="dxa"/>
          <w:right w:w="0" w:type="dxa"/>
        </w:tblCellMar>
      </w:tblPr>
      <w:tr>
        <w:trPr>
          <w:trHeight w:val="137"/>
        </w:trPr>
        <w:tc>
          <w:tcPr>
            <w:tcW w:w="3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560" w:type="dxa"/>
            <w:vAlign w:val="bottom"/>
            <w:tcBorders>
              <w:bottom w:val="single" w:sz="8" w:color="auto"/>
            </w:tcBorders>
            <w:gridSpan w:val="4"/>
          </w:tcPr>
          <w:p>
            <w:pPr>
              <w:jc w:val="right"/>
              <w:ind w:right="120"/>
              <w:spacing w:after="0"/>
              <w:rPr>
                <w:sz w:val="20"/>
                <w:szCs w:val="20"/>
                <w:color w:val="auto"/>
              </w:rPr>
            </w:pPr>
            <w:r>
              <w:rPr>
                <w:rFonts w:ascii="Arial" w:cs="Arial" w:eastAsia="Arial" w:hAnsi="Arial"/>
                <w:sz w:val="11"/>
                <w:szCs w:val="11"/>
                <w:b w:val="1"/>
                <w:bCs w:val="1"/>
                <w:color w:val="050505"/>
              </w:rPr>
              <w:t>Fiscal Year Ended June 30,</w:t>
            </w:r>
          </w:p>
        </w:tc>
        <w:tc>
          <w:tcPr>
            <w:tcW w:w="12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160" w:type="dxa"/>
            <w:vAlign w:val="bottom"/>
          </w:tcPr>
          <w:p>
            <w:pPr>
              <w:spacing w:after="0"/>
              <w:rPr>
                <w:sz w:val="11"/>
                <w:szCs w:val="11"/>
                <w:color w:val="auto"/>
              </w:rPr>
            </w:pPr>
          </w:p>
        </w:tc>
      </w:tr>
      <w:tr>
        <w:trPr>
          <w:trHeight w:val="115"/>
        </w:trPr>
        <w:tc>
          <w:tcPr>
            <w:tcW w:w="3440" w:type="dxa"/>
            <w:vAlign w:val="bottom"/>
            <w:tcBorders>
              <w:bottom w:val="single" w:sz="8" w:color="CCEEFF"/>
            </w:tcBorders>
          </w:tcPr>
          <w:p>
            <w:pPr>
              <w:spacing w:after="0"/>
              <w:rPr>
                <w:sz w:val="10"/>
                <w:szCs w:val="10"/>
                <w:color w:val="auto"/>
              </w:rPr>
            </w:pPr>
          </w:p>
        </w:tc>
        <w:tc>
          <w:tcPr>
            <w:tcW w:w="420" w:type="dxa"/>
            <w:vAlign w:val="bottom"/>
            <w:tcBorders>
              <w:bottom w:val="single" w:sz="8" w:color="CCEEFF"/>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jc w:val="right"/>
              <w:ind w:right="206"/>
              <w:spacing w:after="0" w:line="115" w:lineRule="exact"/>
              <w:rPr>
                <w:sz w:val="20"/>
                <w:szCs w:val="20"/>
                <w:color w:val="auto"/>
              </w:rPr>
            </w:pPr>
            <w:r>
              <w:rPr>
                <w:rFonts w:ascii="Arial" w:cs="Arial" w:eastAsia="Arial" w:hAnsi="Arial"/>
                <w:sz w:val="11"/>
                <w:szCs w:val="11"/>
                <w:b w:val="1"/>
                <w:bCs w:val="1"/>
                <w:color w:val="050505"/>
              </w:rPr>
              <w:t>2017</w:t>
            </w:r>
          </w:p>
        </w:tc>
        <w:tc>
          <w:tcPr>
            <w:tcW w:w="180" w:type="dxa"/>
            <w:vAlign w:val="bottom"/>
            <w:tcBorders>
              <w:bottom w:val="single" w:sz="8" w:color="CCEEFF"/>
            </w:tcBorders>
          </w:tcPr>
          <w:p>
            <w:pPr>
              <w:spacing w:after="0"/>
              <w:rPr>
                <w:sz w:val="10"/>
                <w:szCs w:val="10"/>
                <w:color w:val="auto"/>
              </w:rPr>
            </w:pPr>
          </w:p>
        </w:tc>
        <w:tc>
          <w:tcPr>
            <w:tcW w:w="380" w:type="dxa"/>
            <w:vAlign w:val="bottom"/>
            <w:tcBorders>
              <w:bottom w:val="single" w:sz="8" w:color="CCEEFF"/>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jc w:val="right"/>
              <w:ind w:right="206"/>
              <w:spacing w:after="0" w:line="115" w:lineRule="exact"/>
              <w:rPr>
                <w:sz w:val="20"/>
                <w:szCs w:val="20"/>
                <w:color w:val="auto"/>
              </w:rPr>
            </w:pPr>
            <w:r>
              <w:rPr>
                <w:rFonts w:ascii="Arial" w:cs="Arial" w:eastAsia="Arial" w:hAnsi="Arial"/>
                <w:sz w:val="11"/>
                <w:szCs w:val="11"/>
                <w:b w:val="1"/>
                <w:bCs w:val="1"/>
                <w:color w:val="050505"/>
              </w:rPr>
              <w:t>2018</w:t>
            </w:r>
          </w:p>
        </w:tc>
        <w:tc>
          <w:tcPr>
            <w:tcW w:w="440" w:type="dxa"/>
            <w:vAlign w:val="bottom"/>
            <w:tcBorders>
              <w:bottom w:val="single" w:sz="8" w:color="CCEEFF"/>
            </w:tcBorders>
          </w:tcPr>
          <w:p>
            <w:pPr>
              <w:spacing w:after="0"/>
              <w:rPr>
                <w:sz w:val="10"/>
                <w:szCs w:val="10"/>
                <w:color w:val="auto"/>
              </w:rPr>
            </w:pPr>
          </w:p>
        </w:tc>
        <w:tc>
          <w:tcPr>
            <w:tcW w:w="120" w:type="dxa"/>
            <w:vAlign w:val="bottom"/>
            <w:tcBorders>
              <w:bottom w:val="single" w:sz="8" w:color="CCEEFF"/>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jc w:val="right"/>
              <w:ind w:right="206"/>
              <w:spacing w:after="0" w:line="115" w:lineRule="exact"/>
              <w:rPr>
                <w:sz w:val="20"/>
                <w:szCs w:val="20"/>
                <w:color w:val="auto"/>
              </w:rPr>
            </w:pPr>
            <w:r>
              <w:rPr>
                <w:rFonts w:ascii="Arial" w:cs="Arial" w:eastAsia="Arial" w:hAnsi="Arial"/>
                <w:sz w:val="11"/>
                <w:szCs w:val="11"/>
                <w:b w:val="1"/>
                <w:bCs w:val="1"/>
                <w:color w:val="050505"/>
              </w:rPr>
              <w:t>2019</w:t>
            </w:r>
          </w:p>
        </w:tc>
        <w:tc>
          <w:tcPr>
            <w:tcW w:w="160" w:type="dxa"/>
            <w:vAlign w:val="bottom"/>
            <w:tcBorders>
              <w:bottom w:val="single" w:sz="8" w:color="CCEEFF"/>
            </w:tcBorders>
          </w:tcPr>
          <w:p>
            <w:pPr>
              <w:spacing w:after="0"/>
              <w:rPr>
                <w:sz w:val="10"/>
                <w:szCs w:val="10"/>
                <w:color w:val="auto"/>
              </w:rPr>
            </w:pPr>
          </w:p>
        </w:tc>
      </w:tr>
      <w:tr>
        <w:trPr>
          <w:trHeight w:val="115"/>
        </w:trPr>
        <w:tc>
          <w:tcPr>
            <w:tcW w:w="3440" w:type="dxa"/>
            <w:vAlign w:val="bottom"/>
            <w:shd w:val="clear" w:color="auto" w:fill="CCEEFF"/>
          </w:tcPr>
          <w:p>
            <w:pPr>
              <w:ind w:left="40"/>
              <w:spacing w:after="0" w:line="111" w:lineRule="exact"/>
              <w:rPr>
                <w:sz w:val="20"/>
                <w:szCs w:val="20"/>
                <w:color w:val="auto"/>
              </w:rPr>
            </w:pPr>
            <w:r>
              <w:rPr>
                <w:rFonts w:ascii="Arial" w:cs="Arial" w:eastAsia="Arial" w:hAnsi="Arial"/>
                <w:sz w:val="11"/>
                <w:szCs w:val="11"/>
                <w:color w:val="050505"/>
              </w:rPr>
              <w:t>Connected Fitness Subscribers</w:t>
            </w:r>
          </w:p>
        </w:tc>
        <w:tc>
          <w:tcPr>
            <w:tcW w:w="4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80" w:type="dxa"/>
            <w:vAlign w:val="bottom"/>
            <w:shd w:val="clear" w:color="auto" w:fill="CCEEFF"/>
          </w:tcPr>
          <w:p>
            <w:pPr>
              <w:jc w:val="right"/>
              <w:spacing w:after="0" w:line="115" w:lineRule="exact"/>
              <w:rPr>
                <w:sz w:val="20"/>
                <w:szCs w:val="20"/>
                <w:color w:val="auto"/>
              </w:rPr>
            </w:pPr>
            <w:r>
              <w:rPr>
                <w:rFonts w:ascii="Arial" w:cs="Arial" w:eastAsia="Arial" w:hAnsi="Arial"/>
                <w:sz w:val="11"/>
                <w:szCs w:val="11"/>
                <w:color w:val="050505"/>
              </w:rPr>
              <w:t>107,708</w:t>
            </w:r>
          </w:p>
        </w:tc>
        <w:tc>
          <w:tcPr>
            <w:tcW w:w="18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80" w:type="dxa"/>
            <w:vAlign w:val="bottom"/>
            <w:shd w:val="clear" w:color="auto" w:fill="CCEEFF"/>
          </w:tcPr>
          <w:p>
            <w:pPr>
              <w:jc w:val="right"/>
              <w:spacing w:after="0" w:line="115" w:lineRule="exact"/>
              <w:rPr>
                <w:sz w:val="20"/>
                <w:szCs w:val="20"/>
                <w:color w:val="auto"/>
              </w:rPr>
            </w:pPr>
            <w:r>
              <w:rPr>
                <w:rFonts w:ascii="Arial" w:cs="Arial" w:eastAsia="Arial" w:hAnsi="Arial"/>
                <w:sz w:val="11"/>
                <w:szCs w:val="11"/>
                <w:color w:val="050505"/>
              </w:rPr>
              <w:t>245,667</w:t>
            </w:r>
          </w:p>
        </w:tc>
        <w:tc>
          <w:tcPr>
            <w:tcW w:w="4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00" w:type="dxa"/>
            <w:vAlign w:val="bottom"/>
            <w:shd w:val="clear" w:color="auto" w:fill="CCEEFF"/>
          </w:tcPr>
          <w:p>
            <w:pPr>
              <w:jc w:val="right"/>
              <w:spacing w:after="0" w:line="115" w:lineRule="exact"/>
              <w:rPr>
                <w:sz w:val="20"/>
                <w:szCs w:val="20"/>
                <w:color w:val="auto"/>
              </w:rPr>
            </w:pPr>
            <w:r>
              <w:rPr>
                <w:rFonts w:ascii="Arial" w:cs="Arial" w:eastAsia="Arial" w:hAnsi="Arial"/>
                <w:sz w:val="11"/>
                <w:szCs w:val="11"/>
                <w:color w:val="050505"/>
              </w:rPr>
              <w:t>511,202</w:t>
            </w:r>
          </w:p>
        </w:tc>
        <w:tc>
          <w:tcPr>
            <w:tcW w:w="160" w:type="dxa"/>
            <w:vAlign w:val="bottom"/>
            <w:shd w:val="clear" w:color="auto" w:fill="CCEEFF"/>
          </w:tcPr>
          <w:p>
            <w:pPr>
              <w:spacing w:after="0"/>
              <w:rPr>
                <w:sz w:val="10"/>
                <w:szCs w:val="10"/>
                <w:color w:val="auto"/>
              </w:rPr>
            </w:pPr>
          </w:p>
        </w:tc>
      </w:tr>
      <w:tr>
        <w:trPr>
          <w:trHeight w:val="126"/>
        </w:trPr>
        <w:tc>
          <w:tcPr>
            <w:tcW w:w="3440" w:type="dxa"/>
            <w:vAlign w:val="bottom"/>
          </w:tcPr>
          <w:p>
            <w:pPr>
              <w:ind w:left="40"/>
              <w:spacing w:after="0"/>
              <w:rPr>
                <w:sz w:val="20"/>
                <w:szCs w:val="20"/>
                <w:color w:val="auto"/>
              </w:rPr>
            </w:pPr>
            <w:r>
              <w:rPr>
                <w:rFonts w:ascii="Arial" w:cs="Arial" w:eastAsia="Arial" w:hAnsi="Arial"/>
                <w:sz w:val="11"/>
                <w:szCs w:val="11"/>
                <w:color w:val="050505"/>
              </w:rPr>
              <w:t>Average Net Monthly Connected Fitness Churn</w:t>
            </w:r>
          </w:p>
        </w:tc>
        <w:tc>
          <w:tcPr>
            <w:tcW w:w="4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1"/>
                <w:szCs w:val="11"/>
                <w:color w:val="050505"/>
              </w:rPr>
              <w:t>0.70%</w:t>
            </w:r>
          </w:p>
        </w:tc>
        <w:tc>
          <w:tcPr>
            <w:tcW w:w="3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1"/>
                <w:szCs w:val="11"/>
                <w:color w:val="050505"/>
              </w:rPr>
              <w:t>0.64%</w:t>
            </w: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1"/>
                <w:szCs w:val="11"/>
                <w:color w:val="050505"/>
              </w:rPr>
              <w:t>0.65%</w:t>
            </w:r>
          </w:p>
        </w:tc>
      </w:tr>
      <w:tr>
        <w:trPr>
          <w:trHeight w:val="126"/>
        </w:trPr>
        <w:tc>
          <w:tcPr>
            <w:tcW w:w="3440" w:type="dxa"/>
            <w:vAlign w:val="bottom"/>
            <w:shd w:val="clear" w:color="auto" w:fill="CCEEFF"/>
          </w:tcPr>
          <w:p>
            <w:pPr>
              <w:ind w:left="40"/>
              <w:spacing w:after="0"/>
              <w:rPr>
                <w:sz w:val="20"/>
                <w:szCs w:val="20"/>
                <w:color w:val="auto"/>
              </w:rPr>
            </w:pPr>
            <w:r>
              <w:rPr>
                <w:rFonts w:ascii="Arial" w:cs="Arial" w:eastAsia="Arial" w:hAnsi="Arial"/>
                <w:sz w:val="11"/>
                <w:szCs w:val="11"/>
                <w:color w:val="050505"/>
              </w:rPr>
              <w:t>Total Workouts (in thousands)</w:t>
            </w:r>
          </w:p>
        </w:tc>
        <w:tc>
          <w:tcPr>
            <w:tcW w:w="4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1"/>
                <w:szCs w:val="11"/>
                <w:color w:val="050505"/>
              </w:rPr>
              <w:t>6,157</w:t>
            </w:r>
          </w:p>
        </w:tc>
        <w:tc>
          <w:tcPr>
            <w:tcW w:w="18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1"/>
                <w:szCs w:val="11"/>
                <w:color w:val="050505"/>
              </w:rPr>
              <w:t>17,856</w:t>
            </w:r>
          </w:p>
        </w:tc>
        <w:tc>
          <w:tcPr>
            <w:tcW w:w="4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1"/>
                <w:szCs w:val="11"/>
                <w:color w:val="050505"/>
              </w:rPr>
              <w:t>52,151</w:t>
            </w:r>
          </w:p>
        </w:tc>
        <w:tc>
          <w:tcPr>
            <w:tcW w:w="160" w:type="dxa"/>
            <w:vAlign w:val="bottom"/>
            <w:shd w:val="clear" w:color="auto" w:fill="CCEEFF"/>
          </w:tcPr>
          <w:p>
            <w:pPr>
              <w:spacing w:after="0"/>
              <w:rPr>
                <w:sz w:val="10"/>
                <w:szCs w:val="10"/>
                <w:color w:val="auto"/>
              </w:rPr>
            </w:pPr>
          </w:p>
        </w:tc>
      </w:tr>
      <w:tr>
        <w:trPr>
          <w:trHeight w:val="126"/>
        </w:trPr>
        <w:tc>
          <w:tcPr>
            <w:tcW w:w="3440" w:type="dxa"/>
            <w:vAlign w:val="bottom"/>
          </w:tcPr>
          <w:p>
            <w:pPr>
              <w:ind w:left="40"/>
              <w:spacing w:after="0"/>
              <w:rPr>
                <w:sz w:val="20"/>
                <w:szCs w:val="20"/>
                <w:color w:val="auto"/>
              </w:rPr>
            </w:pPr>
            <w:r>
              <w:rPr>
                <w:rFonts w:ascii="Arial" w:cs="Arial" w:eastAsia="Arial" w:hAnsi="Arial"/>
                <w:sz w:val="11"/>
                <w:szCs w:val="11"/>
                <w:color w:val="050505"/>
              </w:rPr>
              <w:t>Average Monthly Workouts per Connected Fitness Subscriber</w:t>
            </w:r>
          </w:p>
        </w:tc>
        <w:tc>
          <w:tcPr>
            <w:tcW w:w="4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050505"/>
              </w:rPr>
              <w:t>7.5</w:t>
            </w:r>
          </w:p>
        </w:tc>
        <w:tc>
          <w:tcPr>
            <w:tcW w:w="1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050505"/>
              </w:rPr>
              <w:t>8.4</w:t>
            </w:r>
          </w:p>
        </w:tc>
        <w:tc>
          <w:tcPr>
            <w:tcW w:w="4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050505"/>
              </w:rPr>
              <w:t>11.5</w:t>
            </w:r>
          </w:p>
        </w:tc>
        <w:tc>
          <w:tcPr>
            <w:tcW w:w="160" w:type="dxa"/>
            <w:vAlign w:val="bottom"/>
          </w:tcPr>
          <w:p>
            <w:pPr>
              <w:spacing w:after="0"/>
              <w:rPr>
                <w:sz w:val="10"/>
                <w:szCs w:val="10"/>
                <w:color w:val="auto"/>
              </w:rPr>
            </w:pPr>
          </w:p>
        </w:tc>
      </w:tr>
      <w:tr>
        <w:trPr>
          <w:trHeight w:val="126"/>
        </w:trPr>
        <w:tc>
          <w:tcPr>
            <w:tcW w:w="3440" w:type="dxa"/>
            <w:vAlign w:val="bottom"/>
            <w:shd w:val="clear" w:color="auto" w:fill="CCEEFF"/>
          </w:tcPr>
          <w:p>
            <w:pPr>
              <w:ind w:left="40"/>
              <w:spacing w:after="0"/>
              <w:rPr>
                <w:sz w:val="20"/>
                <w:szCs w:val="20"/>
                <w:color w:val="auto"/>
              </w:rPr>
            </w:pPr>
            <w:r>
              <w:rPr>
                <w:rFonts w:ascii="Arial" w:cs="Arial" w:eastAsia="Arial" w:hAnsi="Arial"/>
                <w:sz w:val="11"/>
                <w:szCs w:val="11"/>
                <w:color w:val="050505"/>
              </w:rPr>
              <w:t>Subscription Gross Profit (in millions)</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050505"/>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1"/>
                <w:szCs w:val="11"/>
                <w:color w:val="050505"/>
              </w:rPr>
              <w:t>3.2</w:t>
            </w:r>
          </w:p>
        </w:tc>
        <w:tc>
          <w:tcPr>
            <w:tcW w:w="180" w:type="dxa"/>
            <w:vAlign w:val="bottom"/>
            <w:shd w:val="clear" w:color="auto" w:fill="CCEEFF"/>
          </w:tcPr>
          <w:p>
            <w:pPr>
              <w:spacing w:after="0"/>
              <w:rPr>
                <w:sz w:val="10"/>
                <w:szCs w:val="10"/>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050505"/>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1"/>
                <w:szCs w:val="11"/>
                <w:color w:val="050505"/>
              </w:rPr>
              <w:t>34.7</w:t>
            </w:r>
          </w:p>
        </w:tc>
        <w:tc>
          <w:tcPr>
            <w:tcW w:w="440" w:type="dxa"/>
            <w:vAlign w:val="bottom"/>
            <w:shd w:val="clear" w:color="auto" w:fill="CCEEFF"/>
          </w:tcPr>
          <w:p>
            <w:pPr>
              <w:spacing w:after="0"/>
              <w:rPr>
                <w:sz w:val="10"/>
                <w:szCs w:val="10"/>
                <w:color w:val="auto"/>
              </w:rPr>
            </w:pP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050505"/>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1"/>
                <w:szCs w:val="11"/>
                <w:color w:val="050505"/>
              </w:rPr>
              <w:t>77.4</w:t>
            </w:r>
          </w:p>
        </w:tc>
        <w:tc>
          <w:tcPr>
            <w:tcW w:w="160" w:type="dxa"/>
            <w:vAlign w:val="bottom"/>
            <w:shd w:val="clear" w:color="auto" w:fill="CCEEFF"/>
          </w:tcPr>
          <w:p>
            <w:pPr>
              <w:spacing w:after="0"/>
              <w:rPr>
                <w:sz w:val="10"/>
                <w:szCs w:val="10"/>
                <w:color w:val="auto"/>
              </w:rPr>
            </w:pPr>
          </w:p>
        </w:tc>
      </w:tr>
      <w:tr>
        <w:trPr>
          <w:trHeight w:val="126"/>
        </w:trPr>
        <w:tc>
          <w:tcPr>
            <w:tcW w:w="3440" w:type="dxa"/>
            <w:vAlign w:val="bottom"/>
          </w:tcPr>
          <w:p>
            <w:pPr>
              <w:ind w:left="40"/>
              <w:spacing w:after="0" w:line="126" w:lineRule="exact"/>
              <w:rPr>
                <w:sz w:val="20"/>
                <w:szCs w:val="20"/>
                <w:color w:val="auto"/>
              </w:rPr>
            </w:pPr>
            <w:r>
              <w:rPr>
                <w:rFonts w:ascii="Arial" w:cs="Arial" w:eastAsia="Arial" w:hAnsi="Arial"/>
                <w:sz w:val="9"/>
                <w:szCs w:val="9"/>
                <w:color w:val="050505"/>
              </w:rPr>
              <w:t>Subscription Contribution (in millions)</w:t>
            </w:r>
            <w:r>
              <w:rPr>
                <w:rFonts w:ascii="Arial" w:cs="Arial" w:eastAsia="Arial" w:hAnsi="Arial"/>
                <w:sz w:val="14"/>
                <w:szCs w:val="14"/>
                <w:color w:val="050505"/>
                <w:vertAlign w:val="superscript"/>
              </w:rPr>
              <w:t>(1)</w:t>
            </w:r>
          </w:p>
        </w:tc>
        <w:tc>
          <w:tcPr>
            <w:tcW w:w="580" w:type="dxa"/>
            <w:vAlign w:val="bottom"/>
            <w:gridSpan w:val="2"/>
          </w:tcPr>
          <w:p>
            <w:pPr>
              <w:jc w:val="right"/>
              <w:ind w:right="100"/>
              <w:spacing w:after="0"/>
              <w:rPr>
                <w:sz w:val="20"/>
                <w:szCs w:val="20"/>
                <w:color w:val="auto"/>
              </w:rPr>
            </w:pPr>
            <w:r>
              <w:rPr>
                <w:rFonts w:ascii="Arial" w:cs="Arial" w:eastAsia="Arial" w:hAnsi="Arial"/>
                <w:sz w:val="11"/>
                <w:szCs w:val="11"/>
                <w:color w:val="050505"/>
              </w:rPr>
              <w:t>$</w:t>
            </w:r>
          </w:p>
        </w:tc>
        <w:tc>
          <w:tcPr>
            <w:tcW w:w="580" w:type="dxa"/>
            <w:vAlign w:val="bottom"/>
          </w:tcPr>
          <w:p>
            <w:pPr>
              <w:jc w:val="right"/>
              <w:spacing w:after="0"/>
              <w:rPr>
                <w:sz w:val="20"/>
                <w:szCs w:val="20"/>
                <w:color w:val="auto"/>
              </w:rPr>
            </w:pPr>
            <w:r>
              <w:rPr>
                <w:rFonts w:ascii="Arial" w:cs="Arial" w:eastAsia="Arial" w:hAnsi="Arial"/>
                <w:sz w:val="11"/>
                <w:szCs w:val="11"/>
                <w:color w:val="050505"/>
              </w:rPr>
              <w:t>4.4</w:t>
            </w:r>
          </w:p>
        </w:tc>
        <w:tc>
          <w:tcPr>
            <w:tcW w:w="180" w:type="dxa"/>
            <w:vAlign w:val="bottom"/>
          </w:tcPr>
          <w:p>
            <w:pPr>
              <w:spacing w:after="0"/>
              <w:rPr>
                <w:sz w:val="10"/>
                <w:szCs w:val="10"/>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1"/>
                <w:szCs w:val="11"/>
                <w:color w:val="050505"/>
              </w:rPr>
              <w:t>$</w:t>
            </w:r>
          </w:p>
        </w:tc>
        <w:tc>
          <w:tcPr>
            <w:tcW w:w="580" w:type="dxa"/>
            <w:vAlign w:val="bottom"/>
          </w:tcPr>
          <w:p>
            <w:pPr>
              <w:jc w:val="right"/>
              <w:spacing w:after="0"/>
              <w:rPr>
                <w:sz w:val="20"/>
                <w:szCs w:val="20"/>
                <w:color w:val="auto"/>
              </w:rPr>
            </w:pPr>
            <w:r>
              <w:rPr>
                <w:rFonts w:ascii="Arial" w:cs="Arial" w:eastAsia="Arial" w:hAnsi="Arial"/>
                <w:sz w:val="11"/>
                <w:szCs w:val="11"/>
                <w:color w:val="050505"/>
              </w:rPr>
              <w:t>38.0</w:t>
            </w:r>
          </w:p>
        </w:tc>
        <w:tc>
          <w:tcPr>
            <w:tcW w:w="440" w:type="dxa"/>
            <w:vAlign w:val="bottom"/>
          </w:tcPr>
          <w:p>
            <w:pPr>
              <w:spacing w:after="0"/>
              <w:rPr>
                <w:sz w:val="10"/>
                <w:szCs w:val="10"/>
                <w:color w:val="auto"/>
              </w:rPr>
            </w:pPr>
          </w:p>
        </w:tc>
        <w:tc>
          <w:tcPr>
            <w:tcW w:w="260" w:type="dxa"/>
            <w:vAlign w:val="bottom"/>
            <w:gridSpan w:val="2"/>
          </w:tcPr>
          <w:p>
            <w:pPr>
              <w:jc w:val="right"/>
              <w:ind w:right="80"/>
              <w:spacing w:after="0"/>
              <w:rPr>
                <w:sz w:val="20"/>
                <w:szCs w:val="20"/>
                <w:color w:val="auto"/>
              </w:rPr>
            </w:pPr>
            <w:r>
              <w:rPr>
                <w:rFonts w:ascii="Arial" w:cs="Arial" w:eastAsia="Arial" w:hAnsi="Arial"/>
                <w:sz w:val="11"/>
                <w:szCs w:val="11"/>
                <w:color w:val="050505"/>
              </w:rPr>
              <w:t>$</w:t>
            </w:r>
          </w:p>
        </w:tc>
        <w:tc>
          <w:tcPr>
            <w:tcW w:w="600" w:type="dxa"/>
            <w:vAlign w:val="bottom"/>
          </w:tcPr>
          <w:p>
            <w:pPr>
              <w:jc w:val="right"/>
              <w:spacing w:after="0"/>
              <w:rPr>
                <w:sz w:val="20"/>
                <w:szCs w:val="20"/>
                <w:color w:val="auto"/>
              </w:rPr>
            </w:pPr>
            <w:r>
              <w:rPr>
                <w:rFonts w:ascii="Arial" w:cs="Arial" w:eastAsia="Arial" w:hAnsi="Arial"/>
                <w:sz w:val="11"/>
                <w:szCs w:val="11"/>
                <w:color w:val="050505"/>
              </w:rPr>
              <w:t>91.9</w:t>
            </w:r>
          </w:p>
        </w:tc>
        <w:tc>
          <w:tcPr>
            <w:tcW w:w="160" w:type="dxa"/>
            <w:vAlign w:val="bottom"/>
          </w:tcPr>
          <w:p>
            <w:pPr>
              <w:spacing w:after="0"/>
              <w:rPr>
                <w:sz w:val="10"/>
                <w:szCs w:val="10"/>
                <w:color w:val="auto"/>
              </w:rPr>
            </w:pPr>
          </w:p>
        </w:tc>
      </w:tr>
      <w:tr>
        <w:trPr>
          <w:trHeight w:val="126"/>
        </w:trPr>
        <w:tc>
          <w:tcPr>
            <w:tcW w:w="3440" w:type="dxa"/>
            <w:vAlign w:val="bottom"/>
            <w:shd w:val="clear" w:color="auto" w:fill="CCEEFF"/>
          </w:tcPr>
          <w:p>
            <w:pPr>
              <w:ind w:left="40"/>
              <w:spacing w:after="0"/>
              <w:rPr>
                <w:sz w:val="20"/>
                <w:szCs w:val="20"/>
                <w:color w:val="auto"/>
              </w:rPr>
            </w:pPr>
            <w:r>
              <w:rPr>
                <w:rFonts w:ascii="Arial" w:cs="Arial" w:eastAsia="Arial" w:hAnsi="Arial"/>
                <w:sz w:val="11"/>
                <w:szCs w:val="11"/>
                <w:color w:val="050505"/>
              </w:rPr>
              <w:t>Subscription Gross Margin</w:t>
            </w:r>
          </w:p>
        </w:tc>
        <w:tc>
          <w:tcPr>
            <w:tcW w:w="4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050505"/>
              </w:rPr>
              <w:t>9.7%</w:t>
            </w:r>
          </w:p>
        </w:tc>
        <w:tc>
          <w:tcPr>
            <w:tcW w:w="3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1"/>
                <w:szCs w:val="11"/>
                <w:color w:val="050505"/>
              </w:rPr>
              <w:t>43.3%</w:t>
            </w:r>
          </w:p>
        </w:tc>
        <w:tc>
          <w:tcPr>
            <w:tcW w:w="1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050505"/>
              </w:rPr>
              <w:t>42.7%</w:t>
            </w:r>
          </w:p>
        </w:tc>
      </w:tr>
      <w:tr>
        <w:trPr>
          <w:trHeight w:val="126"/>
        </w:trPr>
        <w:tc>
          <w:tcPr>
            <w:tcW w:w="3440" w:type="dxa"/>
            <w:vAlign w:val="bottom"/>
          </w:tcPr>
          <w:p>
            <w:pPr>
              <w:ind w:left="40"/>
              <w:spacing w:after="0" w:line="126" w:lineRule="exact"/>
              <w:rPr>
                <w:sz w:val="20"/>
                <w:szCs w:val="20"/>
                <w:color w:val="auto"/>
              </w:rPr>
            </w:pPr>
            <w:r>
              <w:rPr>
                <w:rFonts w:ascii="Arial" w:cs="Arial" w:eastAsia="Arial" w:hAnsi="Arial"/>
                <w:sz w:val="9"/>
                <w:szCs w:val="9"/>
                <w:color w:val="050505"/>
              </w:rPr>
              <w:t>Subscription Contribution Margin</w:t>
            </w:r>
            <w:r>
              <w:rPr>
                <w:rFonts w:ascii="Arial" w:cs="Arial" w:eastAsia="Arial" w:hAnsi="Arial"/>
                <w:sz w:val="14"/>
                <w:szCs w:val="14"/>
                <w:color w:val="050505"/>
                <w:vertAlign w:val="superscript"/>
              </w:rPr>
              <w:t>(1)</w:t>
            </w:r>
          </w:p>
        </w:tc>
        <w:tc>
          <w:tcPr>
            <w:tcW w:w="4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1"/>
                <w:szCs w:val="11"/>
                <w:color w:val="050505"/>
              </w:rPr>
              <w:t>13.5%</w:t>
            </w:r>
          </w:p>
        </w:tc>
        <w:tc>
          <w:tcPr>
            <w:tcW w:w="3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1"/>
                <w:szCs w:val="11"/>
                <w:color w:val="050505"/>
              </w:rPr>
              <w:t>47.5%</w:t>
            </w: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1"/>
                <w:szCs w:val="11"/>
                <w:color w:val="050505"/>
              </w:rPr>
              <w:t>50.8%</w:t>
            </w:r>
          </w:p>
        </w:tc>
      </w:tr>
      <w:tr>
        <w:trPr>
          <w:trHeight w:val="126"/>
        </w:trPr>
        <w:tc>
          <w:tcPr>
            <w:tcW w:w="3440" w:type="dxa"/>
            <w:vAlign w:val="bottom"/>
            <w:shd w:val="clear" w:color="auto" w:fill="CCEEFF"/>
          </w:tcPr>
          <w:p>
            <w:pPr>
              <w:ind w:left="40"/>
              <w:spacing w:after="0"/>
              <w:rPr>
                <w:sz w:val="20"/>
                <w:szCs w:val="20"/>
                <w:color w:val="auto"/>
              </w:rPr>
            </w:pPr>
            <w:r>
              <w:rPr>
                <w:rFonts w:ascii="Arial" w:cs="Arial" w:eastAsia="Arial" w:hAnsi="Arial"/>
                <w:sz w:val="11"/>
                <w:szCs w:val="11"/>
                <w:color w:val="050505"/>
              </w:rPr>
              <w:t>Net Loss (in millions)</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050505"/>
              </w:rPr>
              <w:t>$</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050505"/>
              </w:rPr>
              <w:t>(71.1)</w:t>
            </w: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050505"/>
              </w:rPr>
              <w:t>$</w:t>
            </w:r>
          </w:p>
        </w:tc>
        <w:tc>
          <w:tcPr>
            <w:tcW w:w="1020" w:type="dxa"/>
            <w:vAlign w:val="bottom"/>
            <w:gridSpan w:val="2"/>
            <w:shd w:val="clear" w:color="auto" w:fill="CCEEFF"/>
          </w:tcPr>
          <w:p>
            <w:pPr>
              <w:jc w:val="right"/>
              <w:ind w:right="420"/>
              <w:spacing w:after="0"/>
              <w:rPr>
                <w:sz w:val="20"/>
                <w:szCs w:val="20"/>
                <w:color w:val="auto"/>
              </w:rPr>
            </w:pPr>
            <w:r>
              <w:rPr>
                <w:rFonts w:ascii="Arial" w:cs="Arial" w:eastAsia="Arial" w:hAnsi="Arial"/>
                <w:sz w:val="11"/>
                <w:szCs w:val="11"/>
                <w:color w:val="050505"/>
              </w:rPr>
              <w:t>(47.9)</w:t>
            </w: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050505"/>
              </w:rPr>
              <w:t>$</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050505"/>
              </w:rPr>
              <w:t>(195.6)</w:t>
            </w:r>
          </w:p>
        </w:tc>
      </w:tr>
      <w:tr>
        <w:trPr>
          <w:trHeight w:val="126"/>
        </w:trPr>
        <w:tc>
          <w:tcPr>
            <w:tcW w:w="3440" w:type="dxa"/>
            <w:vAlign w:val="bottom"/>
          </w:tcPr>
          <w:p>
            <w:pPr>
              <w:ind w:left="40"/>
              <w:spacing w:after="0" w:line="126" w:lineRule="exact"/>
              <w:rPr>
                <w:sz w:val="20"/>
                <w:szCs w:val="20"/>
                <w:color w:val="auto"/>
              </w:rPr>
            </w:pPr>
            <w:r>
              <w:rPr>
                <w:rFonts w:ascii="Arial" w:cs="Arial" w:eastAsia="Arial" w:hAnsi="Arial"/>
                <w:sz w:val="9"/>
                <w:szCs w:val="9"/>
                <w:color w:val="050505"/>
              </w:rPr>
              <w:t>Adjusted EBITDA (in millions)</w:t>
            </w:r>
            <w:r>
              <w:rPr>
                <w:rFonts w:ascii="Arial" w:cs="Arial" w:eastAsia="Arial" w:hAnsi="Arial"/>
                <w:sz w:val="14"/>
                <w:szCs w:val="14"/>
                <w:color w:val="050505"/>
                <w:vertAlign w:val="superscript"/>
              </w:rPr>
              <w:t>(2)</w:t>
            </w:r>
          </w:p>
        </w:tc>
        <w:tc>
          <w:tcPr>
            <w:tcW w:w="580" w:type="dxa"/>
            <w:vAlign w:val="bottom"/>
            <w:gridSpan w:val="2"/>
          </w:tcPr>
          <w:p>
            <w:pPr>
              <w:jc w:val="right"/>
              <w:ind w:right="100"/>
              <w:spacing w:after="0"/>
              <w:rPr>
                <w:sz w:val="20"/>
                <w:szCs w:val="20"/>
                <w:color w:val="auto"/>
              </w:rPr>
            </w:pPr>
            <w:r>
              <w:rPr>
                <w:rFonts w:ascii="Arial" w:cs="Arial" w:eastAsia="Arial" w:hAnsi="Arial"/>
                <w:sz w:val="11"/>
                <w:szCs w:val="11"/>
                <w:color w:val="050505"/>
              </w:rPr>
              <w:t>$</w:t>
            </w:r>
          </w:p>
        </w:tc>
        <w:tc>
          <w:tcPr>
            <w:tcW w:w="760" w:type="dxa"/>
            <w:vAlign w:val="bottom"/>
            <w:gridSpan w:val="2"/>
          </w:tcPr>
          <w:p>
            <w:pPr>
              <w:jc w:val="right"/>
              <w:ind w:right="160"/>
              <w:spacing w:after="0"/>
              <w:rPr>
                <w:sz w:val="20"/>
                <w:szCs w:val="20"/>
                <w:color w:val="auto"/>
              </w:rPr>
            </w:pPr>
            <w:r>
              <w:rPr>
                <w:rFonts w:ascii="Arial" w:cs="Arial" w:eastAsia="Arial" w:hAnsi="Arial"/>
                <w:sz w:val="11"/>
                <w:szCs w:val="11"/>
                <w:color w:val="050505"/>
              </w:rPr>
              <w:t>(51.8)</w:t>
            </w:r>
          </w:p>
        </w:tc>
        <w:tc>
          <w:tcPr>
            <w:tcW w:w="540" w:type="dxa"/>
            <w:vAlign w:val="bottom"/>
            <w:gridSpan w:val="2"/>
          </w:tcPr>
          <w:p>
            <w:pPr>
              <w:jc w:val="right"/>
              <w:ind w:right="100"/>
              <w:spacing w:after="0"/>
              <w:rPr>
                <w:sz w:val="20"/>
                <w:szCs w:val="20"/>
                <w:color w:val="auto"/>
              </w:rPr>
            </w:pPr>
            <w:r>
              <w:rPr>
                <w:rFonts w:ascii="Arial" w:cs="Arial" w:eastAsia="Arial" w:hAnsi="Arial"/>
                <w:sz w:val="11"/>
                <w:szCs w:val="11"/>
                <w:color w:val="050505"/>
              </w:rPr>
              <w:t>$</w:t>
            </w:r>
          </w:p>
        </w:tc>
        <w:tc>
          <w:tcPr>
            <w:tcW w:w="1020" w:type="dxa"/>
            <w:vAlign w:val="bottom"/>
            <w:gridSpan w:val="2"/>
          </w:tcPr>
          <w:p>
            <w:pPr>
              <w:jc w:val="right"/>
              <w:ind w:right="420"/>
              <w:spacing w:after="0"/>
              <w:rPr>
                <w:sz w:val="20"/>
                <w:szCs w:val="20"/>
                <w:color w:val="auto"/>
              </w:rPr>
            </w:pPr>
            <w:r>
              <w:rPr>
                <w:rFonts w:ascii="Arial" w:cs="Arial" w:eastAsia="Arial" w:hAnsi="Arial"/>
                <w:sz w:val="11"/>
                <w:szCs w:val="11"/>
                <w:color w:val="050505"/>
              </w:rPr>
              <w:t>(30.4)</w:t>
            </w:r>
          </w:p>
        </w:tc>
        <w:tc>
          <w:tcPr>
            <w:tcW w:w="260" w:type="dxa"/>
            <w:vAlign w:val="bottom"/>
            <w:gridSpan w:val="2"/>
          </w:tcPr>
          <w:p>
            <w:pPr>
              <w:jc w:val="right"/>
              <w:ind w:right="80"/>
              <w:spacing w:after="0"/>
              <w:rPr>
                <w:sz w:val="20"/>
                <w:szCs w:val="20"/>
                <w:color w:val="auto"/>
              </w:rPr>
            </w:pPr>
            <w:r>
              <w:rPr>
                <w:rFonts w:ascii="Arial" w:cs="Arial" w:eastAsia="Arial" w:hAnsi="Arial"/>
                <w:sz w:val="11"/>
                <w:szCs w:val="11"/>
                <w:color w:val="050505"/>
              </w:rPr>
              <w:t>$</w:t>
            </w:r>
          </w:p>
        </w:tc>
        <w:tc>
          <w:tcPr>
            <w:tcW w:w="760" w:type="dxa"/>
            <w:vAlign w:val="bottom"/>
            <w:gridSpan w:val="2"/>
          </w:tcPr>
          <w:p>
            <w:pPr>
              <w:jc w:val="right"/>
              <w:ind w:right="140"/>
              <w:spacing w:after="0"/>
              <w:rPr>
                <w:sz w:val="20"/>
                <w:szCs w:val="20"/>
                <w:color w:val="auto"/>
              </w:rPr>
            </w:pPr>
            <w:r>
              <w:rPr>
                <w:rFonts w:ascii="Arial" w:cs="Arial" w:eastAsia="Arial" w:hAnsi="Arial"/>
                <w:sz w:val="11"/>
                <w:szCs w:val="11"/>
                <w:color w:val="050505"/>
              </w:rPr>
              <w:t>(71.3)</w:t>
            </w:r>
          </w:p>
        </w:tc>
      </w:tr>
      <w:tr>
        <w:trPr>
          <w:trHeight w:val="126"/>
        </w:trPr>
        <w:tc>
          <w:tcPr>
            <w:tcW w:w="3440" w:type="dxa"/>
            <w:vAlign w:val="bottom"/>
            <w:shd w:val="clear" w:color="auto" w:fill="CCEEFF"/>
          </w:tcPr>
          <w:p>
            <w:pPr>
              <w:ind w:left="40"/>
              <w:spacing w:after="0" w:line="126" w:lineRule="exact"/>
              <w:rPr>
                <w:sz w:val="20"/>
                <w:szCs w:val="20"/>
                <w:color w:val="auto"/>
              </w:rPr>
            </w:pPr>
            <w:r>
              <w:rPr>
                <w:rFonts w:ascii="Arial" w:cs="Arial" w:eastAsia="Arial" w:hAnsi="Arial"/>
                <w:sz w:val="9"/>
                <w:szCs w:val="9"/>
                <w:color w:val="050505"/>
              </w:rPr>
              <w:t>Adjusted EBITDA Margin</w:t>
            </w:r>
            <w:r>
              <w:rPr>
                <w:rFonts w:ascii="Arial" w:cs="Arial" w:eastAsia="Arial" w:hAnsi="Arial"/>
                <w:sz w:val="14"/>
                <w:szCs w:val="14"/>
                <w:color w:val="050505"/>
                <w:vertAlign w:val="superscript"/>
              </w:rPr>
              <w:t>(2)</w:t>
            </w:r>
          </w:p>
        </w:tc>
        <w:tc>
          <w:tcPr>
            <w:tcW w:w="4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050505"/>
              </w:rPr>
              <w:t>(23.7)%</w:t>
            </w:r>
          </w:p>
        </w:tc>
        <w:tc>
          <w:tcPr>
            <w:tcW w:w="3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1"/>
                <w:szCs w:val="11"/>
                <w:color w:val="050505"/>
              </w:rPr>
              <w:t>(7.0)%</w:t>
            </w:r>
          </w:p>
        </w:tc>
        <w:tc>
          <w:tcPr>
            <w:tcW w:w="1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050505"/>
              </w:rPr>
              <w:t>(7.8)%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1310640</wp:posOffset>
            </wp:positionH>
            <wp:positionV relativeFrom="paragraph">
              <wp:posOffset>57150</wp:posOffset>
            </wp:positionV>
            <wp:extent cx="1212215" cy="571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212215" cy="5715"/>
                    </a:xfrm>
                    <a:prstGeom prst="rect">
                      <a:avLst/>
                    </a:prstGeom>
                    <a:noFill/>
                  </pic:spPr>
                </pic:pic>
              </a:graphicData>
            </a:graphic>
          </wp:anchor>
        </w:drawing>
      </w:r>
    </w:p>
    <w:p>
      <w:pPr>
        <w:spacing w:after="0" w:line="102" w:lineRule="exact"/>
        <w:rPr>
          <w:sz w:val="20"/>
          <w:szCs w:val="20"/>
          <w:color w:val="auto"/>
        </w:rPr>
      </w:pPr>
    </w:p>
    <w:p>
      <w:pPr>
        <w:ind w:left="2280" w:right="839" w:hanging="221"/>
        <w:spacing w:after="0" w:line="256" w:lineRule="auto"/>
        <w:tabs>
          <w:tab w:leader="none" w:pos="2280" w:val="left"/>
        </w:tabs>
        <w:numPr>
          <w:ilvl w:val="0"/>
          <w:numId w:val="47"/>
        </w:numPr>
        <w:rPr>
          <w:rFonts w:ascii="Arial" w:cs="Arial" w:eastAsia="Arial" w:hAnsi="Arial"/>
          <w:sz w:val="8"/>
          <w:szCs w:val="8"/>
          <w:color w:val="050505"/>
        </w:rPr>
      </w:pPr>
      <w:r>
        <w:rPr>
          <w:rFonts w:ascii="Arial" w:cs="Arial" w:eastAsia="Arial" w:hAnsi="Arial"/>
          <w:sz w:val="8"/>
          <w:szCs w:val="8"/>
          <w:color w:val="050505"/>
        </w:rPr>
        <w:t>Please see the section titled “Selected Consolidated Financial and Other Data—Non-GAAP Financial Measures” for a reconciliation of gross profit to Subscription Contribution and an explanation for why we consider Subscription Contribution to be a helpful metric for investors.</w:t>
      </w:r>
    </w:p>
    <w:p>
      <w:pPr>
        <w:spacing w:after="0" w:line="28" w:lineRule="exact"/>
        <w:rPr>
          <w:rFonts w:ascii="Arial" w:cs="Arial" w:eastAsia="Arial" w:hAnsi="Arial"/>
          <w:sz w:val="8"/>
          <w:szCs w:val="8"/>
          <w:color w:val="050505"/>
        </w:rPr>
      </w:pPr>
    </w:p>
    <w:p>
      <w:pPr>
        <w:ind w:left="2280" w:right="839" w:hanging="221"/>
        <w:spacing w:after="0" w:line="256" w:lineRule="auto"/>
        <w:tabs>
          <w:tab w:leader="none" w:pos="2280" w:val="left"/>
        </w:tabs>
        <w:numPr>
          <w:ilvl w:val="0"/>
          <w:numId w:val="47"/>
        </w:numPr>
        <w:rPr>
          <w:rFonts w:ascii="Arial" w:cs="Arial" w:eastAsia="Arial" w:hAnsi="Arial"/>
          <w:sz w:val="8"/>
          <w:szCs w:val="8"/>
          <w:color w:val="050505"/>
        </w:rPr>
      </w:pPr>
      <w:r>
        <w:rPr>
          <w:rFonts w:ascii="Arial" w:cs="Arial" w:eastAsia="Arial" w:hAnsi="Arial"/>
          <w:sz w:val="8"/>
          <w:szCs w:val="8"/>
          <w:color w:val="050505"/>
        </w:rPr>
        <w:t>Please see the section titled “Selected Consolidated Financial and Other Data—Non-GAAP Financial Measures” for a reconciliation of net loss to Adjusted EBITDA and an explanation for why we consider Adjusted EBITDA to be a helpful metric for investors.</w:t>
      </w:r>
    </w:p>
    <w:p>
      <w:pPr>
        <w:spacing w:after="0" w:line="121" w:lineRule="exact"/>
        <w:rPr>
          <w:sz w:val="20"/>
          <w:szCs w:val="20"/>
          <w:color w:val="auto"/>
        </w:rPr>
      </w:pPr>
    </w:p>
    <w:p>
      <w:pPr>
        <w:ind w:left="2060"/>
        <w:spacing w:after="0"/>
        <w:rPr>
          <w:sz w:val="20"/>
          <w:szCs w:val="20"/>
          <w:color w:val="auto"/>
        </w:rPr>
      </w:pPr>
      <w:r>
        <w:rPr>
          <w:rFonts w:ascii="Arial" w:cs="Arial" w:eastAsia="Arial" w:hAnsi="Arial"/>
          <w:sz w:val="11"/>
          <w:szCs w:val="11"/>
          <w:b w:val="1"/>
          <w:bCs w:val="1"/>
          <w:i w:val="1"/>
          <w:iCs w:val="1"/>
          <w:color w:val="auto"/>
        </w:rPr>
        <w:t>Connected Fitness Subscribers</w:t>
      </w:r>
    </w:p>
    <w:p>
      <w:pPr>
        <w:spacing w:after="0" w:line="12" w:lineRule="exact"/>
        <w:rPr>
          <w:sz w:val="20"/>
          <w:szCs w:val="20"/>
          <w:color w:val="auto"/>
        </w:rPr>
      </w:pPr>
    </w:p>
    <w:p>
      <w:pPr>
        <w:jc w:val="both"/>
        <w:ind w:left="2060" w:right="839"/>
        <w:spacing w:after="0" w:line="245" w:lineRule="auto"/>
        <w:rPr>
          <w:sz w:val="20"/>
          <w:szCs w:val="20"/>
          <w:color w:val="auto"/>
        </w:rPr>
      </w:pPr>
      <w:r>
        <w:rPr>
          <w:rFonts w:ascii="Arial" w:cs="Arial" w:eastAsia="Arial" w:hAnsi="Arial"/>
          <w:sz w:val="11"/>
          <w:szCs w:val="11"/>
          <w:color w:val="050505"/>
        </w:rPr>
        <w:t>Our ability to expand the number of Connected Fitness Subscribers is an indicator of our market penetration and growth. A Connected Fitness Subscriber can represent a person, household or commercial property, such as a hotel or residential building.</w:t>
      </w:r>
    </w:p>
    <w:p>
      <w:pPr>
        <w:spacing w:after="0" w:line="138" w:lineRule="exact"/>
        <w:rPr>
          <w:sz w:val="20"/>
          <w:szCs w:val="20"/>
          <w:color w:val="auto"/>
        </w:rPr>
      </w:pPr>
    </w:p>
    <w:p>
      <w:pPr>
        <w:jc w:val="both"/>
        <w:ind w:left="2060" w:right="839"/>
        <w:spacing w:after="0" w:line="241" w:lineRule="auto"/>
        <w:rPr>
          <w:sz w:val="20"/>
          <w:szCs w:val="20"/>
          <w:color w:val="auto"/>
        </w:rPr>
      </w:pPr>
      <w:r>
        <w:rPr>
          <w:rFonts w:ascii="Arial" w:cs="Arial" w:eastAsia="Arial" w:hAnsi="Arial"/>
          <w:sz w:val="11"/>
          <w:szCs w:val="11"/>
          <w:color w:val="050505"/>
        </w:rPr>
        <w:t>A Connected Fitness Subscription is either a paid Connected Fitness Subscriber (a Connected Fitness Subscription with a successful credit card billing or with prepaid subscription credits or waivers) or paused Connected Fitness Subscriber (a Connected Fitness Subscription where the Subscriber has requested to “Pause” for up to 3 months). We do not include canceled or unpaid Connected Fitness Subscriptions in the Connected Fitness Subscriber count.</w:t>
      </w:r>
    </w:p>
    <w:p>
      <w:pPr>
        <w:spacing w:after="0" w:line="128" w:lineRule="exact"/>
        <w:rPr>
          <w:sz w:val="20"/>
          <w:szCs w:val="20"/>
          <w:color w:val="auto"/>
        </w:rPr>
      </w:pPr>
    </w:p>
    <w:p>
      <w:pPr>
        <w:ind w:left="2060"/>
        <w:spacing w:after="0"/>
        <w:rPr>
          <w:sz w:val="20"/>
          <w:szCs w:val="20"/>
          <w:color w:val="auto"/>
        </w:rPr>
      </w:pPr>
      <w:r>
        <w:rPr>
          <w:rFonts w:ascii="Arial" w:cs="Arial" w:eastAsia="Arial" w:hAnsi="Arial"/>
          <w:sz w:val="11"/>
          <w:szCs w:val="11"/>
          <w:b w:val="1"/>
          <w:bCs w:val="1"/>
          <w:i w:val="1"/>
          <w:iCs w:val="1"/>
          <w:color w:val="auto"/>
        </w:rPr>
        <w:t>Average Net Monthly Connected Fitness Churn</w:t>
      </w:r>
    </w:p>
    <w:p>
      <w:pPr>
        <w:spacing w:after="0" w:line="12" w:lineRule="exact"/>
        <w:rPr>
          <w:sz w:val="20"/>
          <w:szCs w:val="20"/>
          <w:color w:val="auto"/>
        </w:rPr>
      </w:pPr>
    </w:p>
    <w:p>
      <w:pPr>
        <w:jc w:val="both"/>
        <w:ind w:left="2060" w:right="839"/>
        <w:spacing w:after="0" w:line="278" w:lineRule="auto"/>
        <w:rPr>
          <w:sz w:val="20"/>
          <w:szCs w:val="20"/>
          <w:color w:val="auto"/>
        </w:rPr>
      </w:pPr>
      <w:r>
        <w:rPr>
          <w:rFonts w:ascii="Arial" w:cs="Arial" w:eastAsia="Arial" w:hAnsi="Arial"/>
          <w:sz w:val="10"/>
          <w:szCs w:val="10"/>
          <w:color w:val="050505"/>
        </w:rPr>
        <w:t>We use Average Net Monthly Connected Fitness Churn to measure the retention of our Connected Fitness Subscribers. We define Average Net Monthly Connected Fitness Churn as Connected Fitness Subscriber cancellations, net of reactivations, in the quarter, divided by the average number of beginning Connected Fitness Subscribers in each month, divided by three months. This metric does not include data related to our Digital Subscribers.</w:t>
      </w:r>
    </w:p>
    <w:p>
      <w:pPr>
        <w:spacing w:after="0" w:line="111" w:lineRule="exact"/>
        <w:rPr>
          <w:sz w:val="20"/>
          <w:szCs w:val="20"/>
          <w:color w:val="auto"/>
        </w:rPr>
      </w:pPr>
    </w:p>
    <w:p>
      <w:pPr>
        <w:ind w:left="2060"/>
        <w:spacing w:after="0"/>
        <w:rPr>
          <w:sz w:val="20"/>
          <w:szCs w:val="20"/>
          <w:color w:val="auto"/>
        </w:rPr>
      </w:pPr>
      <w:r>
        <w:rPr>
          <w:rFonts w:ascii="Arial" w:cs="Arial" w:eastAsia="Arial" w:hAnsi="Arial"/>
          <w:sz w:val="11"/>
          <w:szCs w:val="11"/>
          <w:b w:val="1"/>
          <w:bCs w:val="1"/>
          <w:i w:val="1"/>
          <w:iCs w:val="1"/>
          <w:color w:val="auto"/>
        </w:rPr>
        <w:t>Total Workouts and Average Monthly Workouts per Connected Fitness Subscriber</w:t>
      </w:r>
    </w:p>
    <w:p>
      <w:pPr>
        <w:spacing w:after="0" w:line="12" w:lineRule="exact"/>
        <w:rPr>
          <w:sz w:val="20"/>
          <w:szCs w:val="20"/>
          <w:color w:val="auto"/>
        </w:rPr>
      </w:pPr>
    </w:p>
    <w:p>
      <w:pPr>
        <w:jc w:val="both"/>
        <w:ind w:left="2060" w:right="839"/>
        <w:spacing w:after="0"/>
        <w:rPr>
          <w:sz w:val="20"/>
          <w:szCs w:val="20"/>
          <w:color w:val="auto"/>
        </w:rPr>
      </w:pPr>
      <w:r>
        <w:rPr>
          <w:rFonts w:ascii="Arial" w:cs="Arial" w:eastAsia="Arial" w:hAnsi="Arial"/>
          <w:sz w:val="11"/>
          <w:szCs w:val="11"/>
          <w:color w:val="050505"/>
        </w:rPr>
        <w:t>We review Total Workouts and Average Monthly Workouts per Connected Fitness Subscriber to measure engagement, which is the leading indicator of retention for our Connected Fitness Subscribers. We define Total Workouts as all workouts completed during a given period. We define a Workout as a Connected Fitness Subscriber either completing at least 50% of an instructor-led or scenic ride or run or ten or more minutes of “Just Ride” or “Just Run” mode. We define Average Monthly Workouts per Connected Fitness Subscriber as the Total Workouts completed in the quarter divided by the average number of Connected Fitness Subscribers in each month, divided by three months.</w:t>
      </w:r>
    </w:p>
    <w:p>
      <w:pPr>
        <w:spacing w:after="0" w:line="130" w:lineRule="exact"/>
        <w:rPr>
          <w:sz w:val="20"/>
          <w:szCs w:val="20"/>
          <w:color w:val="auto"/>
        </w:rPr>
      </w:pPr>
    </w:p>
    <w:p>
      <w:pPr>
        <w:ind w:left="2060"/>
        <w:spacing w:after="0"/>
        <w:rPr>
          <w:sz w:val="20"/>
          <w:szCs w:val="20"/>
          <w:color w:val="auto"/>
        </w:rPr>
      </w:pPr>
      <w:r>
        <w:rPr>
          <w:rFonts w:ascii="Arial" w:cs="Arial" w:eastAsia="Arial" w:hAnsi="Arial"/>
          <w:sz w:val="11"/>
          <w:szCs w:val="11"/>
          <w:b w:val="1"/>
          <w:bCs w:val="1"/>
          <w:i w:val="1"/>
          <w:iCs w:val="1"/>
          <w:color w:val="auto"/>
        </w:rPr>
        <w:t>Subscription Contribution and Subscription Contribution Margin</w:t>
      </w:r>
    </w:p>
    <w:p>
      <w:pPr>
        <w:spacing w:after="0" w:line="12" w:lineRule="exact"/>
        <w:rPr>
          <w:sz w:val="20"/>
          <w:szCs w:val="20"/>
          <w:color w:val="auto"/>
        </w:rPr>
      </w:pPr>
    </w:p>
    <w:p>
      <w:pPr>
        <w:jc w:val="both"/>
        <w:ind w:left="2060" w:right="839"/>
        <w:spacing w:after="0" w:line="242" w:lineRule="auto"/>
        <w:rPr>
          <w:sz w:val="20"/>
          <w:szCs w:val="20"/>
          <w:color w:val="auto"/>
        </w:rPr>
      </w:pPr>
      <w:r>
        <w:rPr>
          <w:rFonts w:ascii="Arial" w:cs="Arial" w:eastAsia="Arial" w:hAnsi="Arial"/>
          <w:sz w:val="11"/>
          <w:szCs w:val="11"/>
          <w:color w:val="050505"/>
        </w:rPr>
        <w:t>We use Subscription Contribution and Subscription Contribution Margin to measure our ability to scale and leverage the costs of our Connected Fitness Subscriptions and measure Connected Fitness Subscriber Lifetime Value. The continued growth of our Connected Fitness Subscriber base will allow us to improve our Subscription Contribution Margin and</w:t>
      </w:r>
    </w:p>
    <w:p>
      <w:pPr>
        <w:spacing w:after="0" w:line="95" w:lineRule="exact"/>
        <w:rPr>
          <w:sz w:val="20"/>
          <w:szCs w:val="20"/>
          <w:color w:val="auto"/>
        </w:rPr>
      </w:pPr>
    </w:p>
    <w:p>
      <w:pPr>
        <w:ind w:left="5680"/>
        <w:spacing w:after="0"/>
        <w:rPr>
          <w:sz w:val="20"/>
          <w:szCs w:val="20"/>
          <w:color w:val="auto"/>
        </w:rPr>
      </w:pPr>
      <w:r>
        <w:rPr>
          <w:rFonts w:ascii="Arial" w:cs="Arial" w:eastAsia="Arial" w:hAnsi="Arial"/>
          <w:sz w:val="11"/>
          <w:szCs w:val="11"/>
          <w:color w:val="050505"/>
        </w:rPr>
        <w:t>67</w:t>
      </w:r>
    </w:p>
    <w:p>
      <w:pPr>
        <w:sectPr>
          <w:pgSz w:w="11900" w:h="16838" w:orient="portrait"/>
          <w:cols w:equalWidth="0" w:num="1">
            <w:col w:w="10239"/>
          </w:cols>
          <w:pgMar w:left="220" w:top="354" w:right="1440" w:bottom="1440" w:gutter="0" w:footer="0" w:header="0"/>
        </w:sectPr>
      </w:pPr>
    </w:p>
    <w:bookmarkStart w:id="72" w:name="page73"/>
    <w:bookmarkEnd w:id="72"/>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hyperlink w:anchor="page5">
        <w:r>
          <w:rPr>
            <w:rFonts w:ascii="Arial" w:cs="Arial" w:eastAsia="Arial" w:hAnsi="Arial"/>
            <w:sz w:val="12"/>
            <w:szCs w:val="12"/>
            <w:b w:val="1"/>
            <w:bCs w:val="1"/>
            <w:u w:val="single" w:color="auto"/>
            <w:color w:val="0000EE"/>
          </w:rPr>
          <w:t>Table of Contents</w:t>
        </w:r>
      </w:hyperlink>
    </w:p>
    <w:p>
      <w:pPr>
        <w:spacing w:after="0" w:line="216" w:lineRule="exact"/>
        <w:rPr>
          <w:sz w:val="20"/>
          <w:szCs w:val="20"/>
          <w:color w:val="auto"/>
        </w:rPr>
      </w:pPr>
    </w:p>
    <w:p>
      <w:pPr>
        <w:jc w:val="both"/>
        <w:ind w:left="2060" w:right="839"/>
        <w:spacing w:after="0" w:line="242" w:lineRule="auto"/>
        <w:rPr>
          <w:sz w:val="20"/>
          <w:szCs w:val="20"/>
          <w:color w:val="auto"/>
        </w:rPr>
      </w:pPr>
      <w:r>
        <w:rPr>
          <w:rFonts w:ascii="Arial" w:cs="Arial" w:eastAsia="Arial" w:hAnsi="Arial"/>
          <w:sz w:val="11"/>
          <w:szCs w:val="11"/>
          <w:color w:val="050505"/>
        </w:rPr>
        <w:t>aggregate Connected Fitness Subscriber Lifetime Value. While there are variable costs, including music royalties, associated with our Connected Fitness Subscriptions, a significant portion of our content creation costs are fixed given that we operate with a limited number of production studios and instructors. The fixed nature of those expenses should scale over time as we grow our Connected Fitness Subscriber base.</w:t>
      </w:r>
    </w:p>
    <w:p>
      <w:pPr>
        <w:spacing w:after="0" w:line="140" w:lineRule="exact"/>
        <w:rPr>
          <w:sz w:val="20"/>
          <w:szCs w:val="20"/>
          <w:color w:val="auto"/>
        </w:rPr>
      </w:pPr>
    </w:p>
    <w:p>
      <w:pPr>
        <w:jc w:val="both"/>
        <w:ind w:left="2060" w:right="839"/>
        <w:spacing w:after="0"/>
        <w:rPr>
          <w:sz w:val="20"/>
          <w:szCs w:val="20"/>
          <w:color w:val="auto"/>
        </w:rPr>
      </w:pPr>
      <w:r>
        <w:rPr>
          <w:rFonts w:ascii="Arial" w:cs="Arial" w:eastAsia="Arial" w:hAnsi="Arial"/>
          <w:sz w:val="11"/>
          <w:szCs w:val="11"/>
          <w:color w:val="050505"/>
        </w:rPr>
        <w:t>We define Subscription Contribution as subscription revenue less cost of subscription revenue, adjusted to exclude depreciation and amortization expense, and stock-based compensation expense. Subscription Contribution Margin is calculated by dividing Subscription Contribution by subscription revenue. See the section titled “Selected Consolidated Financial and Other Data—Subscription Contribution and Subscription Contribution Margin” for information regarding our use of Subscription Contribution and Subscription Contribution Margin and a reconciliation of Subscription Contribution to subscription gross profit.</w:t>
      </w:r>
    </w:p>
    <w:p>
      <w:pPr>
        <w:spacing w:after="0" w:line="130" w:lineRule="exact"/>
        <w:rPr>
          <w:sz w:val="20"/>
          <w:szCs w:val="20"/>
          <w:color w:val="auto"/>
        </w:rPr>
      </w:pPr>
    </w:p>
    <w:p>
      <w:pPr>
        <w:ind w:left="2060"/>
        <w:spacing w:after="0"/>
        <w:rPr>
          <w:sz w:val="20"/>
          <w:szCs w:val="20"/>
          <w:color w:val="auto"/>
        </w:rPr>
      </w:pPr>
      <w:r>
        <w:rPr>
          <w:rFonts w:ascii="Arial" w:cs="Arial" w:eastAsia="Arial" w:hAnsi="Arial"/>
          <w:sz w:val="11"/>
          <w:szCs w:val="11"/>
          <w:b w:val="1"/>
          <w:bCs w:val="1"/>
          <w:i w:val="1"/>
          <w:iCs w:val="1"/>
          <w:color w:val="auto"/>
        </w:rPr>
        <w:t>Adjusted EBITDA and Adjusted EBITDA Margin</w:t>
      </w:r>
    </w:p>
    <w:p>
      <w:pPr>
        <w:spacing w:after="0" w:line="12" w:lineRule="exact"/>
        <w:rPr>
          <w:sz w:val="20"/>
          <w:szCs w:val="20"/>
          <w:color w:val="auto"/>
        </w:rPr>
      </w:pPr>
    </w:p>
    <w:p>
      <w:pPr>
        <w:jc w:val="both"/>
        <w:ind w:left="2060" w:right="839"/>
        <w:spacing w:after="0"/>
        <w:rPr>
          <w:sz w:val="20"/>
          <w:szCs w:val="20"/>
          <w:color w:val="auto"/>
        </w:rPr>
      </w:pPr>
      <w:r>
        <w:rPr>
          <w:rFonts w:ascii="Arial" w:cs="Arial" w:eastAsia="Arial" w:hAnsi="Arial"/>
          <w:sz w:val="11"/>
          <w:szCs w:val="11"/>
          <w:color w:val="050505"/>
        </w:rPr>
        <w:t>Adjusted EBITDA and Adjusted EBITDA Margin are key performance measures that our management uses to assess our operating performance and the operating leverage in our business. Because Adjusted EBITDA and Adjusted EBITDA Margin facilitate internal comparisons of our historical operating performance on a more consistent basis, we use these measures for business planning purposes. We also believe this information will be useful for investors to facilitate comparisons of our operating performance and better identify trends in our business. We expect Adjusted EBITDA Margin to increase over the long-term as we continue to scale our business and achieve greater leverage in our operating expenses.</w:t>
      </w:r>
    </w:p>
    <w:p>
      <w:pPr>
        <w:spacing w:after="0" w:line="142" w:lineRule="exact"/>
        <w:rPr>
          <w:sz w:val="20"/>
          <w:szCs w:val="20"/>
          <w:color w:val="auto"/>
        </w:rPr>
      </w:pPr>
    </w:p>
    <w:p>
      <w:pPr>
        <w:jc w:val="both"/>
        <w:ind w:left="2060" w:right="839"/>
        <w:spacing w:after="0"/>
        <w:rPr>
          <w:sz w:val="20"/>
          <w:szCs w:val="20"/>
          <w:color w:val="auto"/>
        </w:rPr>
      </w:pPr>
      <w:r>
        <w:rPr>
          <w:rFonts w:ascii="Arial" w:cs="Arial" w:eastAsia="Arial" w:hAnsi="Arial"/>
          <w:sz w:val="11"/>
          <w:szCs w:val="11"/>
          <w:color w:val="050505"/>
        </w:rPr>
        <w:t>We calculate Adjusted EBITDA as net loss adjusted to exclude other (expense) income, provision for (benefit from) income taxes, depreciation and amortization expense, stock-based compensation expense, transaction costs, certain litigation expenses, consisting of legal settlements and related fees for specific proceedings that arise outside of the ordinary course of our business, and non-cash ground lease expense related to build-to-suit obligations. Adjusted EBITDA Margin is calculated by dividing Adjusted EBITDA by total revenue. See the section titled “Selected Consolidated Financial and Other Data—Adjusted EBITDA and Adjusted EBITDA Margin” for information regarding our use of Adjusted EBITDA and a reconciliation of Adjusted EBITDA to net loss.</w:t>
      </w:r>
    </w:p>
    <w:p>
      <w:pPr>
        <w:spacing w:after="0" w:line="130" w:lineRule="exact"/>
        <w:rPr>
          <w:sz w:val="20"/>
          <w:szCs w:val="20"/>
          <w:color w:val="auto"/>
        </w:rPr>
      </w:pPr>
    </w:p>
    <w:p>
      <w:pPr>
        <w:ind w:left="2060"/>
        <w:spacing w:after="0"/>
        <w:rPr>
          <w:sz w:val="20"/>
          <w:szCs w:val="20"/>
          <w:color w:val="auto"/>
        </w:rPr>
      </w:pPr>
      <w:r>
        <w:rPr>
          <w:rFonts w:ascii="Arial" w:cs="Arial" w:eastAsia="Arial" w:hAnsi="Arial"/>
          <w:sz w:val="11"/>
          <w:szCs w:val="11"/>
          <w:b w:val="1"/>
          <w:bCs w:val="1"/>
          <w:u w:val="single" w:color="auto"/>
          <w:color w:val="auto"/>
        </w:rPr>
        <w:t>Components of our Operating Results</w:t>
      </w:r>
    </w:p>
    <w:p>
      <w:pPr>
        <w:spacing w:after="0" w:line="12" w:lineRule="exact"/>
        <w:rPr>
          <w:sz w:val="20"/>
          <w:szCs w:val="20"/>
          <w:color w:val="auto"/>
        </w:rPr>
      </w:pPr>
    </w:p>
    <w:p>
      <w:pPr>
        <w:jc w:val="both"/>
        <w:ind w:left="2060" w:right="839"/>
        <w:spacing w:after="0" w:line="242" w:lineRule="auto"/>
        <w:rPr>
          <w:sz w:val="20"/>
          <w:szCs w:val="20"/>
          <w:color w:val="auto"/>
        </w:rPr>
      </w:pPr>
      <w:r>
        <w:rPr>
          <w:rFonts w:ascii="Arial" w:cs="Arial" w:eastAsia="Arial" w:hAnsi="Arial"/>
          <w:sz w:val="11"/>
          <w:szCs w:val="11"/>
          <w:color w:val="050505"/>
        </w:rPr>
        <w:t>We operate and manage our business in three reportable segments: Connected Fitness Products, Subscription, and Other. We identify our reportable segments based on the information used by management to monitor performance and make operating decisions. See Note 17 of the notes to our consolidated financial statements included elsewhere in this prospectus for additional information regarding our reportable segments.</w:t>
      </w:r>
    </w:p>
    <w:p>
      <w:pPr>
        <w:spacing w:after="0" w:line="128" w:lineRule="exact"/>
        <w:rPr>
          <w:sz w:val="20"/>
          <w:szCs w:val="20"/>
          <w:color w:val="auto"/>
        </w:rPr>
      </w:pPr>
    </w:p>
    <w:p>
      <w:pPr>
        <w:ind w:left="2060"/>
        <w:spacing w:after="0"/>
        <w:rPr>
          <w:sz w:val="20"/>
          <w:szCs w:val="20"/>
          <w:color w:val="auto"/>
        </w:rPr>
      </w:pPr>
      <w:r>
        <w:rPr>
          <w:rFonts w:ascii="Arial" w:cs="Arial" w:eastAsia="Arial" w:hAnsi="Arial"/>
          <w:sz w:val="11"/>
          <w:szCs w:val="11"/>
          <w:b w:val="1"/>
          <w:bCs w:val="1"/>
          <w:i w:val="1"/>
          <w:iCs w:val="1"/>
          <w:color w:val="auto"/>
        </w:rPr>
        <w:t>Revenue</w:t>
      </w:r>
    </w:p>
    <w:p>
      <w:pPr>
        <w:spacing w:after="0" w:line="144" w:lineRule="exact"/>
        <w:rPr>
          <w:sz w:val="20"/>
          <w:szCs w:val="20"/>
          <w:color w:val="auto"/>
        </w:rPr>
      </w:pPr>
    </w:p>
    <w:p>
      <w:pPr>
        <w:ind w:left="2060"/>
        <w:spacing w:after="0"/>
        <w:rPr>
          <w:sz w:val="20"/>
          <w:szCs w:val="20"/>
          <w:color w:val="auto"/>
        </w:rPr>
      </w:pPr>
      <w:r>
        <w:rPr>
          <w:rFonts w:ascii="Arial" w:cs="Arial" w:eastAsia="Arial" w:hAnsi="Arial"/>
          <w:sz w:val="11"/>
          <w:szCs w:val="11"/>
          <w:b w:val="1"/>
          <w:bCs w:val="1"/>
          <w:color w:val="auto"/>
        </w:rPr>
        <w:t>Connected Fitness Products</w:t>
      </w:r>
    </w:p>
    <w:p>
      <w:pPr>
        <w:spacing w:after="0" w:line="12" w:lineRule="exact"/>
        <w:rPr>
          <w:sz w:val="20"/>
          <w:szCs w:val="20"/>
          <w:color w:val="auto"/>
        </w:rPr>
      </w:pPr>
    </w:p>
    <w:p>
      <w:pPr>
        <w:jc w:val="both"/>
        <w:ind w:left="2060" w:right="839"/>
        <w:spacing w:after="0" w:line="242" w:lineRule="auto"/>
        <w:rPr>
          <w:sz w:val="20"/>
          <w:szCs w:val="20"/>
          <w:color w:val="auto"/>
        </w:rPr>
      </w:pPr>
      <w:r>
        <w:rPr>
          <w:rFonts w:ascii="Arial" w:cs="Arial" w:eastAsia="Arial" w:hAnsi="Arial"/>
          <w:sz w:val="11"/>
          <w:szCs w:val="11"/>
          <w:color w:val="050505"/>
        </w:rPr>
        <w:t>Connected Fitness Product revenue consists of sales of our Bike and Tread and related accessories, associated fees for delivery and installation, and extended warranty agreements. Connected Fitness Product revenue is recognized at the time of delivery and is recorded net of returns and discounts and third-party financing program fees.</w:t>
      </w:r>
    </w:p>
    <w:p>
      <w:pPr>
        <w:spacing w:after="0" w:line="200" w:lineRule="exact"/>
        <w:rPr>
          <w:sz w:val="20"/>
          <w:szCs w:val="20"/>
          <w:color w:val="auto"/>
        </w:rPr>
      </w:pPr>
    </w:p>
    <w:p>
      <w:pPr>
        <w:ind w:left="2060"/>
        <w:spacing w:after="0"/>
        <w:rPr>
          <w:sz w:val="20"/>
          <w:szCs w:val="20"/>
          <w:color w:val="auto"/>
        </w:rPr>
      </w:pPr>
      <w:r>
        <w:rPr>
          <w:rFonts w:ascii="Arial" w:cs="Arial" w:eastAsia="Arial" w:hAnsi="Arial"/>
          <w:sz w:val="11"/>
          <w:szCs w:val="11"/>
          <w:b w:val="1"/>
          <w:bCs w:val="1"/>
          <w:color w:val="auto"/>
        </w:rPr>
        <w:t>Subscription</w:t>
      </w:r>
    </w:p>
    <w:p>
      <w:pPr>
        <w:spacing w:after="0" w:line="11" w:lineRule="exact"/>
        <w:rPr>
          <w:sz w:val="20"/>
          <w:szCs w:val="20"/>
          <w:color w:val="auto"/>
        </w:rPr>
      </w:pPr>
    </w:p>
    <w:p>
      <w:pPr>
        <w:ind w:left="2060"/>
        <w:spacing w:after="0"/>
        <w:rPr>
          <w:sz w:val="20"/>
          <w:szCs w:val="20"/>
          <w:color w:val="auto"/>
        </w:rPr>
      </w:pPr>
      <w:r>
        <w:rPr>
          <w:rFonts w:ascii="Arial" w:cs="Arial" w:eastAsia="Arial" w:hAnsi="Arial"/>
          <w:sz w:val="11"/>
          <w:szCs w:val="11"/>
          <w:color w:val="050505"/>
        </w:rPr>
        <w:t>Subscription revenue consists of revenue generated from our monthly $39.00 Connected Fitness Subscription and $19.49 Digital Subscription.</w:t>
      </w:r>
    </w:p>
    <w:p>
      <w:pPr>
        <w:ind w:left="2060"/>
        <w:spacing w:after="0"/>
        <w:rPr>
          <w:sz w:val="20"/>
          <w:szCs w:val="20"/>
          <w:color w:val="auto"/>
        </w:rPr>
      </w:pPr>
      <w:r>
        <w:rPr>
          <w:rFonts w:ascii="Arial" w:cs="Arial" w:eastAsia="Arial" w:hAnsi="Arial"/>
          <w:sz w:val="10"/>
          <w:szCs w:val="10"/>
          <w:color w:val="050505"/>
        </w:rPr>
        <w:t>Subscription revenue also includes revenue generated from guests who pay to take a live class in one of our studios, which has been immaterial to date.</w:t>
      </w:r>
    </w:p>
    <w:p>
      <w:pPr>
        <w:spacing w:after="0" w:line="155" w:lineRule="exact"/>
        <w:rPr>
          <w:sz w:val="20"/>
          <w:szCs w:val="20"/>
          <w:color w:val="auto"/>
        </w:rPr>
      </w:pPr>
    </w:p>
    <w:p>
      <w:pPr>
        <w:jc w:val="both"/>
        <w:ind w:left="2060" w:right="839"/>
        <w:spacing w:after="0"/>
        <w:rPr>
          <w:sz w:val="20"/>
          <w:szCs w:val="20"/>
          <w:color w:val="auto"/>
        </w:rPr>
      </w:pPr>
      <w:r>
        <w:rPr>
          <w:rFonts w:ascii="Arial" w:cs="Arial" w:eastAsia="Arial" w:hAnsi="Arial"/>
          <w:sz w:val="11"/>
          <w:szCs w:val="11"/>
          <w:color w:val="050505"/>
        </w:rPr>
        <w:t>Historically, we offered a prepaid subscription option where Members earned one free month or three free months of subscription with the upfront purchase of a 12-month subscription or 24-month subscription, respectively. We also offered Connected Fitness Subscribers the ability to purchase a 12-, 24-, or 39-month prepaid subscription with the purchase of a Connected Fitness Product as part of our financing program, which provides 0% APR financing to qualified customers over a term of up to 39 months. The associated financing fees are paid to our third-party partner at the outset of the arrangement and are recorded as a reduction to Subscription revenue over the contract term. We terminated both offerings by July 2018 at which point all subsequent future subscriptions became month-to-month. As of June 30, 2019, 89% of our Connected Fitness Subscribers were paying month-to-month subscriptions. We will continue to see an impact to subscription revenue until fiscal 2022 as the revenue under legacy prepaid subscriptions is earned ratably over the remaining service period, which extends up to 39 months from the initial date of subscription activation.</w:t>
      </w:r>
    </w:p>
    <w:p>
      <w:pPr>
        <w:spacing w:after="0" w:line="96" w:lineRule="exact"/>
        <w:rPr>
          <w:sz w:val="20"/>
          <w:szCs w:val="20"/>
          <w:color w:val="auto"/>
        </w:rPr>
      </w:pPr>
    </w:p>
    <w:p>
      <w:pPr>
        <w:ind w:left="5680"/>
        <w:spacing w:after="0"/>
        <w:rPr>
          <w:sz w:val="20"/>
          <w:szCs w:val="20"/>
          <w:color w:val="auto"/>
        </w:rPr>
      </w:pPr>
      <w:r>
        <w:rPr>
          <w:rFonts w:ascii="Arial" w:cs="Arial" w:eastAsia="Arial" w:hAnsi="Arial"/>
          <w:sz w:val="11"/>
          <w:szCs w:val="11"/>
          <w:color w:val="050505"/>
        </w:rPr>
        <w:t>68</w:t>
      </w:r>
    </w:p>
    <w:p>
      <w:pPr>
        <w:sectPr>
          <w:pgSz w:w="11900" w:h="16838" w:orient="portrait"/>
          <w:cols w:equalWidth="0" w:num="1">
            <w:col w:w="10239"/>
          </w:cols>
          <w:pgMar w:left="220" w:top="354" w:right="1440" w:bottom="1440" w:gutter="0" w:footer="0" w:header="0"/>
        </w:sectPr>
      </w:pPr>
    </w:p>
    <w:bookmarkStart w:id="73" w:name="page74"/>
    <w:bookmarkEnd w:id="73"/>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hyperlink w:anchor="page5">
        <w:r>
          <w:rPr>
            <w:rFonts w:ascii="Arial" w:cs="Arial" w:eastAsia="Arial" w:hAnsi="Arial"/>
            <w:sz w:val="12"/>
            <w:szCs w:val="12"/>
            <w:b w:val="1"/>
            <w:bCs w:val="1"/>
            <w:u w:val="single" w:color="auto"/>
            <w:color w:val="0000EE"/>
          </w:rPr>
          <w:t>Table of Contents</w:t>
        </w:r>
      </w:hyperlink>
    </w:p>
    <w:p>
      <w:pPr>
        <w:spacing w:after="0" w:line="204" w:lineRule="exact"/>
        <w:rPr>
          <w:sz w:val="20"/>
          <w:szCs w:val="20"/>
          <w:color w:val="auto"/>
        </w:rPr>
      </w:pPr>
    </w:p>
    <w:p>
      <w:pPr>
        <w:ind w:left="2060"/>
        <w:spacing w:after="0"/>
        <w:rPr>
          <w:sz w:val="20"/>
          <w:szCs w:val="20"/>
          <w:color w:val="auto"/>
        </w:rPr>
      </w:pPr>
      <w:r>
        <w:rPr>
          <w:rFonts w:ascii="Arial" w:cs="Arial" w:eastAsia="Arial" w:hAnsi="Arial"/>
          <w:sz w:val="11"/>
          <w:szCs w:val="11"/>
          <w:b w:val="1"/>
          <w:bCs w:val="1"/>
          <w:color w:val="auto"/>
        </w:rPr>
        <w:t>Other</w:t>
      </w:r>
    </w:p>
    <w:p>
      <w:pPr>
        <w:spacing w:after="0" w:line="12" w:lineRule="exact"/>
        <w:rPr>
          <w:sz w:val="20"/>
          <w:szCs w:val="20"/>
          <w:color w:val="auto"/>
        </w:rPr>
      </w:pPr>
    </w:p>
    <w:p>
      <w:pPr>
        <w:ind w:left="2060"/>
        <w:spacing w:after="0"/>
        <w:rPr>
          <w:sz w:val="20"/>
          <w:szCs w:val="20"/>
          <w:color w:val="auto"/>
        </w:rPr>
      </w:pPr>
      <w:r>
        <w:rPr>
          <w:rFonts w:ascii="Arial" w:cs="Arial" w:eastAsia="Arial" w:hAnsi="Arial"/>
          <w:sz w:val="11"/>
          <w:szCs w:val="11"/>
          <w:color w:val="050505"/>
        </w:rPr>
        <w:t>Other revenue primarily consists of Peloton branded apparel.</w:t>
      </w:r>
    </w:p>
    <w:p>
      <w:pPr>
        <w:spacing w:after="0" w:line="132" w:lineRule="exact"/>
        <w:rPr>
          <w:sz w:val="20"/>
          <w:szCs w:val="20"/>
          <w:color w:val="auto"/>
        </w:rPr>
      </w:pPr>
    </w:p>
    <w:p>
      <w:pPr>
        <w:ind w:left="2060"/>
        <w:spacing w:after="0"/>
        <w:rPr>
          <w:sz w:val="20"/>
          <w:szCs w:val="20"/>
          <w:color w:val="auto"/>
        </w:rPr>
      </w:pPr>
      <w:r>
        <w:rPr>
          <w:rFonts w:ascii="Arial" w:cs="Arial" w:eastAsia="Arial" w:hAnsi="Arial"/>
          <w:sz w:val="11"/>
          <w:szCs w:val="11"/>
          <w:b w:val="1"/>
          <w:bCs w:val="1"/>
          <w:i w:val="1"/>
          <w:iCs w:val="1"/>
          <w:color w:val="auto"/>
        </w:rPr>
        <w:t>Cost of Revenue</w:t>
      </w:r>
    </w:p>
    <w:p>
      <w:pPr>
        <w:spacing w:after="0" w:line="144" w:lineRule="exact"/>
        <w:rPr>
          <w:sz w:val="20"/>
          <w:szCs w:val="20"/>
          <w:color w:val="auto"/>
        </w:rPr>
      </w:pPr>
    </w:p>
    <w:p>
      <w:pPr>
        <w:ind w:left="2060"/>
        <w:spacing w:after="0"/>
        <w:rPr>
          <w:sz w:val="20"/>
          <w:szCs w:val="20"/>
          <w:color w:val="auto"/>
        </w:rPr>
      </w:pPr>
      <w:r>
        <w:rPr>
          <w:rFonts w:ascii="Arial" w:cs="Arial" w:eastAsia="Arial" w:hAnsi="Arial"/>
          <w:sz w:val="11"/>
          <w:szCs w:val="11"/>
          <w:b w:val="1"/>
          <w:bCs w:val="1"/>
          <w:color w:val="auto"/>
        </w:rPr>
        <w:t>Connected Fitness Products</w:t>
      </w:r>
    </w:p>
    <w:p>
      <w:pPr>
        <w:spacing w:after="0" w:line="12" w:lineRule="exact"/>
        <w:rPr>
          <w:sz w:val="20"/>
          <w:szCs w:val="20"/>
          <w:color w:val="auto"/>
        </w:rPr>
      </w:pPr>
    </w:p>
    <w:p>
      <w:pPr>
        <w:jc w:val="both"/>
        <w:ind w:left="2060" w:right="839"/>
        <w:spacing w:after="0"/>
        <w:rPr>
          <w:sz w:val="20"/>
          <w:szCs w:val="20"/>
          <w:color w:val="auto"/>
        </w:rPr>
      </w:pPr>
      <w:r>
        <w:rPr>
          <w:rFonts w:ascii="Arial" w:cs="Arial" w:eastAsia="Arial" w:hAnsi="Arial"/>
          <w:sz w:val="11"/>
          <w:szCs w:val="11"/>
          <w:color w:val="050505"/>
        </w:rPr>
        <w:t>Connected Fitness Product cost of revenue consists of Bike and Tread product costs, including manufacturing costs, duties and other applicable importing costs, shipping and handling costs, packaging, warranty replacement costs, fulfillment costs, warehousing costs, and certain allocated costs related to management, facilities, and personnel-related expenses associated with supply chain logistics. As we launch new Connected Fitness Products, such as the Tread, and continue to grow our presence in new regions where we have not yet achieved economies of scale, we expect to incur higher cost of revenue (as a percentage of sales) for our Connected Fitness Products.</w:t>
      </w:r>
    </w:p>
    <w:p>
      <w:pPr>
        <w:spacing w:after="0" w:line="130" w:lineRule="exact"/>
        <w:rPr>
          <w:sz w:val="20"/>
          <w:szCs w:val="20"/>
          <w:color w:val="auto"/>
        </w:rPr>
      </w:pPr>
    </w:p>
    <w:p>
      <w:pPr>
        <w:ind w:left="2060"/>
        <w:spacing w:after="0"/>
        <w:rPr>
          <w:sz w:val="20"/>
          <w:szCs w:val="20"/>
          <w:color w:val="auto"/>
        </w:rPr>
      </w:pPr>
      <w:r>
        <w:rPr>
          <w:rFonts w:ascii="Arial" w:cs="Arial" w:eastAsia="Arial" w:hAnsi="Arial"/>
          <w:sz w:val="11"/>
          <w:szCs w:val="11"/>
          <w:b w:val="1"/>
          <w:bCs w:val="1"/>
          <w:color w:val="auto"/>
        </w:rPr>
        <w:t>Subscription</w:t>
      </w:r>
    </w:p>
    <w:p>
      <w:pPr>
        <w:spacing w:after="0" w:line="12" w:lineRule="exact"/>
        <w:rPr>
          <w:sz w:val="20"/>
          <w:szCs w:val="20"/>
          <w:color w:val="auto"/>
        </w:rPr>
      </w:pPr>
    </w:p>
    <w:p>
      <w:pPr>
        <w:jc w:val="both"/>
        <w:ind w:left="2060" w:right="839"/>
        <w:spacing w:after="0"/>
        <w:rPr>
          <w:sz w:val="20"/>
          <w:szCs w:val="20"/>
          <w:color w:val="auto"/>
        </w:rPr>
      </w:pPr>
      <w:r>
        <w:rPr>
          <w:rFonts w:ascii="Arial" w:cs="Arial" w:eastAsia="Arial" w:hAnsi="Arial"/>
          <w:sz w:val="11"/>
          <w:szCs w:val="11"/>
          <w:color w:val="050505"/>
        </w:rPr>
        <w:t>Subscription cost of revenue includes costs associated with content creation and costs to stream content to our Members. These costs consist of both fixed costs, including studio rent and occupancy, other studio overhead, instructor and production personnel-related expenses, as well as variable costs, including music royalty fees, content costs for past use, third-party platform streaming costs and payment processing fees for our monthly subscription billings. While our fixed costs currently represent the majority of these costs, music royalty fees are our largest subscription variable cost. As we have grown the number of licensing agreements with music rights holders, music royalty fees as a percent of our subscription revenue has increased. However, unlike music streaming services where having an exhaustive music catalog is vital to be able to compete for customers, we have control over what music we select for our classes. As a result, we expect to be able to manage music expense such that, over time, these fees as a percentage of subscription revenue will flatten, or even decrease.</w:t>
      </w:r>
    </w:p>
    <w:p>
      <w:pPr>
        <w:spacing w:after="0" w:line="129" w:lineRule="exact"/>
        <w:rPr>
          <w:sz w:val="20"/>
          <w:szCs w:val="20"/>
          <w:color w:val="auto"/>
        </w:rPr>
      </w:pPr>
    </w:p>
    <w:p>
      <w:pPr>
        <w:ind w:left="2060"/>
        <w:spacing w:after="0"/>
        <w:rPr>
          <w:sz w:val="20"/>
          <w:szCs w:val="20"/>
          <w:color w:val="auto"/>
        </w:rPr>
      </w:pPr>
      <w:r>
        <w:rPr>
          <w:rFonts w:ascii="Arial" w:cs="Arial" w:eastAsia="Arial" w:hAnsi="Arial"/>
          <w:sz w:val="11"/>
          <w:szCs w:val="11"/>
          <w:b w:val="1"/>
          <w:bCs w:val="1"/>
          <w:color w:val="auto"/>
        </w:rPr>
        <w:t>Other</w:t>
      </w:r>
    </w:p>
    <w:p>
      <w:pPr>
        <w:spacing w:after="0" w:line="12" w:lineRule="exact"/>
        <w:rPr>
          <w:sz w:val="20"/>
          <w:szCs w:val="20"/>
          <w:color w:val="auto"/>
        </w:rPr>
      </w:pPr>
    </w:p>
    <w:p>
      <w:pPr>
        <w:ind w:left="2060"/>
        <w:spacing w:after="0"/>
        <w:rPr>
          <w:sz w:val="20"/>
          <w:szCs w:val="20"/>
          <w:color w:val="auto"/>
        </w:rPr>
      </w:pPr>
      <w:r>
        <w:rPr>
          <w:rFonts w:ascii="Arial" w:cs="Arial" w:eastAsia="Arial" w:hAnsi="Arial"/>
          <w:sz w:val="11"/>
          <w:szCs w:val="11"/>
          <w:color w:val="050505"/>
        </w:rPr>
        <w:t>Other cost of revenue consists primarily of apparel costs, as well as related warehousing and fulfillment costs.</w:t>
      </w:r>
    </w:p>
    <w:p>
      <w:pPr>
        <w:spacing w:after="0" w:line="132" w:lineRule="exact"/>
        <w:rPr>
          <w:sz w:val="20"/>
          <w:szCs w:val="20"/>
          <w:color w:val="auto"/>
        </w:rPr>
      </w:pPr>
    </w:p>
    <w:p>
      <w:pPr>
        <w:ind w:left="2060"/>
        <w:spacing w:after="0"/>
        <w:rPr>
          <w:sz w:val="20"/>
          <w:szCs w:val="20"/>
          <w:color w:val="auto"/>
        </w:rPr>
      </w:pPr>
      <w:r>
        <w:rPr>
          <w:rFonts w:ascii="Arial" w:cs="Arial" w:eastAsia="Arial" w:hAnsi="Arial"/>
          <w:sz w:val="11"/>
          <w:szCs w:val="11"/>
          <w:b w:val="1"/>
          <w:bCs w:val="1"/>
          <w:i w:val="1"/>
          <w:iCs w:val="1"/>
          <w:color w:val="auto"/>
        </w:rPr>
        <w:t>Operating Expenses</w:t>
      </w:r>
    </w:p>
    <w:p>
      <w:pPr>
        <w:spacing w:after="0" w:line="144" w:lineRule="exact"/>
        <w:rPr>
          <w:sz w:val="20"/>
          <w:szCs w:val="20"/>
          <w:color w:val="auto"/>
        </w:rPr>
      </w:pPr>
    </w:p>
    <w:p>
      <w:pPr>
        <w:ind w:left="2060"/>
        <w:spacing w:after="0"/>
        <w:rPr>
          <w:sz w:val="20"/>
          <w:szCs w:val="20"/>
          <w:color w:val="auto"/>
        </w:rPr>
      </w:pPr>
      <w:r>
        <w:rPr>
          <w:rFonts w:ascii="Arial" w:cs="Arial" w:eastAsia="Arial" w:hAnsi="Arial"/>
          <w:sz w:val="11"/>
          <w:szCs w:val="11"/>
          <w:b w:val="1"/>
          <w:bCs w:val="1"/>
          <w:color w:val="auto"/>
        </w:rPr>
        <w:t>Research and Development</w:t>
      </w:r>
    </w:p>
    <w:p>
      <w:pPr>
        <w:spacing w:after="0" w:line="12" w:lineRule="exact"/>
        <w:rPr>
          <w:sz w:val="20"/>
          <w:szCs w:val="20"/>
          <w:color w:val="auto"/>
        </w:rPr>
      </w:pPr>
    </w:p>
    <w:p>
      <w:pPr>
        <w:jc w:val="both"/>
        <w:ind w:left="2060" w:right="839"/>
        <w:spacing w:after="0"/>
        <w:rPr>
          <w:sz w:val="20"/>
          <w:szCs w:val="20"/>
          <w:color w:val="auto"/>
        </w:rPr>
      </w:pPr>
      <w:r>
        <w:rPr>
          <w:rFonts w:ascii="Arial" w:cs="Arial" w:eastAsia="Arial" w:hAnsi="Arial"/>
          <w:sz w:val="11"/>
          <w:szCs w:val="11"/>
          <w:color w:val="050505"/>
        </w:rPr>
        <w:t>Research and development expense primarily consists of personnel and facilities-related expenses, consulting and contractor expenses, tooling and prototype materials, and software platform expenses. We capitalize certain qualified costs incurred in connection with the development of internal-use software which may also cause research and development expenses to vary from period to period. We expect our research and development expenses to increase in absolute dollars in future periods and vary from period to period as a percentage of total revenue as we continue to hire personnel to develop new and enhance existing Connected Fitness Products and interactive software.</w:t>
      </w:r>
    </w:p>
    <w:p>
      <w:pPr>
        <w:spacing w:after="0" w:line="130" w:lineRule="exact"/>
        <w:rPr>
          <w:sz w:val="20"/>
          <w:szCs w:val="20"/>
          <w:color w:val="auto"/>
        </w:rPr>
      </w:pPr>
    </w:p>
    <w:p>
      <w:pPr>
        <w:ind w:left="2060"/>
        <w:spacing w:after="0"/>
        <w:rPr>
          <w:sz w:val="20"/>
          <w:szCs w:val="20"/>
          <w:color w:val="auto"/>
        </w:rPr>
      </w:pPr>
      <w:r>
        <w:rPr>
          <w:rFonts w:ascii="Arial" w:cs="Arial" w:eastAsia="Arial" w:hAnsi="Arial"/>
          <w:sz w:val="11"/>
          <w:szCs w:val="11"/>
          <w:b w:val="1"/>
          <w:bCs w:val="1"/>
          <w:color w:val="auto"/>
        </w:rPr>
        <w:t>Sales and Marketing</w:t>
      </w:r>
    </w:p>
    <w:p>
      <w:pPr>
        <w:spacing w:after="0" w:line="12" w:lineRule="exact"/>
        <w:rPr>
          <w:sz w:val="20"/>
          <w:szCs w:val="20"/>
          <w:color w:val="auto"/>
        </w:rPr>
      </w:pPr>
    </w:p>
    <w:p>
      <w:pPr>
        <w:jc w:val="both"/>
        <w:ind w:left="2060" w:right="839"/>
        <w:spacing w:after="0"/>
        <w:rPr>
          <w:sz w:val="20"/>
          <w:szCs w:val="20"/>
          <w:color w:val="auto"/>
        </w:rPr>
      </w:pPr>
      <w:r>
        <w:rPr>
          <w:rFonts w:ascii="Arial" w:cs="Arial" w:eastAsia="Arial" w:hAnsi="Arial"/>
          <w:sz w:val="11"/>
          <w:szCs w:val="11"/>
          <w:color w:val="050505"/>
        </w:rPr>
        <w:t>Sales and marketing expense consists of performance marketing media spend, asset creation, and other brand creative, all showroom expenses and related lease payments, payment processing fees incurred in connection with the sale of our Connected Fitness Products, sales and marketing personnel-related expenses, and all expenses related to Peloton Digital. We intend to continue to invest in our sales and marketing capabilities in the future and expect this expense to increase in absolute dollars in future periods as we release new products and expand internationally. Sales and marketing expense as a percentage of total revenue may fluctuate from period to period based on total revenue and the timing of our investments in our sales and marketing functions as these investments may vary in scope and scale over future periods.</w:t>
      </w:r>
    </w:p>
    <w:p>
      <w:pPr>
        <w:spacing w:after="0" w:line="130" w:lineRule="exact"/>
        <w:rPr>
          <w:sz w:val="20"/>
          <w:szCs w:val="20"/>
          <w:color w:val="auto"/>
        </w:rPr>
      </w:pPr>
    </w:p>
    <w:p>
      <w:pPr>
        <w:ind w:left="2060"/>
        <w:spacing w:after="0"/>
        <w:rPr>
          <w:sz w:val="20"/>
          <w:szCs w:val="20"/>
          <w:color w:val="auto"/>
        </w:rPr>
      </w:pPr>
      <w:r>
        <w:rPr>
          <w:rFonts w:ascii="Arial" w:cs="Arial" w:eastAsia="Arial" w:hAnsi="Arial"/>
          <w:sz w:val="11"/>
          <w:szCs w:val="11"/>
          <w:b w:val="1"/>
          <w:bCs w:val="1"/>
          <w:color w:val="auto"/>
        </w:rPr>
        <w:t>General and Administrative</w:t>
      </w:r>
    </w:p>
    <w:p>
      <w:pPr>
        <w:spacing w:after="0" w:line="12" w:lineRule="exact"/>
        <w:rPr>
          <w:sz w:val="20"/>
          <w:szCs w:val="20"/>
          <w:color w:val="auto"/>
        </w:rPr>
      </w:pPr>
    </w:p>
    <w:p>
      <w:pPr>
        <w:jc w:val="both"/>
        <w:ind w:left="2060" w:right="839"/>
        <w:spacing w:after="0" w:line="242" w:lineRule="auto"/>
        <w:rPr>
          <w:sz w:val="20"/>
          <w:szCs w:val="20"/>
          <w:color w:val="auto"/>
        </w:rPr>
      </w:pPr>
      <w:r>
        <w:rPr>
          <w:rFonts w:ascii="Arial" w:cs="Arial" w:eastAsia="Arial" w:hAnsi="Arial"/>
          <w:sz w:val="11"/>
          <w:szCs w:val="11"/>
          <w:color w:val="050505"/>
        </w:rPr>
        <w:t>General and administrative expense includes personnel-related expenses and facilities-related costs primarily for our executive, finance, accounting, legal, human resources, and IT functions. General and administrative expense also includes fees for professional services principally comprised of legal, audit, tax and accounting services, and insurance.</w:t>
      </w:r>
    </w:p>
    <w:p>
      <w:pPr>
        <w:spacing w:after="0" w:line="140" w:lineRule="exact"/>
        <w:rPr>
          <w:sz w:val="20"/>
          <w:szCs w:val="20"/>
          <w:color w:val="auto"/>
        </w:rPr>
      </w:pPr>
    </w:p>
    <w:p>
      <w:pPr>
        <w:jc w:val="both"/>
        <w:ind w:left="2060" w:right="839"/>
        <w:spacing w:after="0" w:line="245" w:lineRule="auto"/>
        <w:rPr>
          <w:sz w:val="20"/>
          <w:szCs w:val="20"/>
          <w:color w:val="auto"/>
        </w:rPr>
      </w:pPr>
      <w:r>
        <w:rPr>
          <w:rFonts w:ascii="Arial" w:cs="Arial" w:eastAsia="Arial" w:hAnsi="Arial"/>
          <w:sz w:val="11"/>
          <w:szCs w:val="11"/>
          <w:color w:val="050505"/>
        </w:rPr>
        <w:t>Following the completion of this offering, we expect to incur additional general and administrative expenses as a result of operating as a public company, including expenses related to compliance and reporting obligations of public companies,</w:t>
      </w:r>
    </w:p>
    <w:p>
      <w:pPr>
        <w:spacing w:after="0" w:line="93" w:lineRule="exact"/>
        <w:rPr>
          <w:sz w:val="20"/>
          <w:szCs w:val="20"/>
          <w:color w:val="auto"/>
        </w:rPr>
      </w:pPr>
    </w:p>
    <w:p>
      <w:pPr>
        <w:ind w:left="5680"/>
        <w:spacing w:after="0"/>
        <w:rPr>
          <w:sz w:val="20"/>
          <w:szCs w:val="20"/>
          <w:color w:val="auto"/>
        </w:rPr>
      </w:pPr>
      <w:r>
        <w:rPr>
          <w:rFonts w:ascii="Arial" w:cs="Arial" w:eastAsia="Arial" w:hAnsi="Arial"/>
          <w:sz w:val="11"/>
          <w:szCs w:val="11"/>
          <w:color w:val="050505"/>
        </w:rPr>
        <w:t>69</w:t>
      </w:r>
    </w:p>
    <w:p>
      <w:pPr>
        <w:sectPr>
          <w:pgSz w:w="11900" w:h="16838" w:orient="portrait"/>
          <w:cols w:equalWidth="0" w:num="1">
            <w:col w:w="10239"/>
          </w:cols>
          <w:pgMar w:left="220" w:top="354" w:right="1440" w:bottom="1440" w:gutter="0" w:footer="0" w:header="0"/>
        </w:sectPr>
      </w:pPr>
    </w:p>
    <w:bookmarkStart w:id="74" w:name="page75"/>
    <w:bookmarkEnd w:id="74"/>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hyperlink w:anchor="page5">
        <w:r>
          <w:rPr>
            <w:rFonts w:ascii="Arial" w:cs="Arial" w:eastAsia="Arial" w:hAnsi="Arial"/>
            <w:sz w:val="12"/>
            <w:szCs w:val="12"/>
            <w:b w:val="1"/>
            <w:bCs w:val="1"/>
            <w:u w:val="single" w:color="auto"/>
            <w:color w:val="0000EE"/>
          </w:rPr>
          <w:t>Table of Contents</w:t>
        </w:r>
      </w:hyperlink>
    </w:p>
    <w:p>
      <w:pPr>
        <w:spacing w:after="0" w:line="216" w:lineRule="exact"/>
        <w:rPr>
          <w:sz w:val="20"/>
          <w:szCs w:val="20"/>
          <w:color w:val="auto"/>
        </w:rPr>
      </w:pPr>
    </w:p>
    <w:p>
      <w:pPr>
        <w:jc w:val="both"/>
        <w:ind w:left="2060" w:right="839"/>
        <w:spacing w:after="0" w:line="242" w:lineRule="auto"/>
        <w:rPr>
          <w:sz w:val="20"/>
          <w:szCs w:val="20"/>
          <w:color w:val="auto"/>
        </w:rPr>
      </w:pPr>
      <w:r>
        <w:rPr>
          <w:rFonts w:ascii="Arial" w:cs="Arial" w:eastAsia="Arial" w:hAnsi="Arial"/>
          <w:sz w:val="11"/>
          <w:szCs w:val="11"/>
          <w:color w:val="050505"/>
        </w:rPr>
        <w:t>and increased costs for insurance, investor relations expenses, and professional services. As a result, we expect that our general and administrative expenses will increase in absolute dollars in future periods and vary from period to period as a percentage of revenue, but we expect to leverage these expenses over time as we grow our revenue and Connected Fitness Subscriber base.</w:t>
      </w:r>
    </w:p>
    <w:p>
      <w:pPr>
        <w:spacing w:after="0" w:line="128" w:lineRule="exact"/>
        <w:rPr>
          <w:sz w:val="20"/>
          <w:szCs w:val="20"/>
          <w:color w:val="auto"/>
        </w:rPr>
      </w:pPr>
    </w:p>
    <w:p>
      <w:pPr>
        <w:ind w:left="2060"/>
        <w:spacing w:after="0"/>
        <w:rPr>
          <w:sz w:val="20"/>
          <w:szCs w:val="20"/>
          <w:color w:val="auto"/>
        </w:rPr>
      </w:pPr>
      <w:r>
        <w:rPr>
          <w:rFonts w:ascii="Arial" w:cs="Arial" w:eastAsia="Arial" w:hAnsi="Arial"/>
          <w:sz w:val="11"/>
          <w:szCs w:val="11"/>
          <w:b w:val="1"/>
          <w:bCs w:val="1"/>
          <w:color w:val="auto"/>
        </w:rPr>
        <w:t>Other (Expense) Income, Net</w:t>
      </w:r>
    </w:p>
    <w:p>
      <w:pPr>
        <w:spacing w:after="0" w:line="12" w:lineRule="exact"/>
        <w:rPr>
          <w:sz w:val="20"/>
          <w:szCs w:val="20"/>
          <w:color w:val="auto"/>
        </w:rPr>
      </w:pPr>
    </w:p>
    <w:p>
      <w:pPr>
        <w:jc w:val="both"/>
        <w:ind w:left="2060" w:right="839"/>
        <w:spacing w:after="0" w:line="245" w:lineRule="auto"/>
        <w:rPr>
          <w:sz w:val="20"/>
          <w:szCs w:val="20"/>
          <w:color w:val="auto"/>
        </w:rPr>
      </w:pPr>
      <w:r>
        <w:rPr>
          <w:rFonts w:ascii="Arial" w:cs="Arial" w:eastAsia="Arial" w:hAnsi="Arial"/>
          <w:sz w:val="11"/>
          <w:szCs w:val="11"/>
          <w:color w:val="050505"/>
        </w:rPr>
        <w:t>Other (expense) income, net consists of interest (expense) income associated with our debt financing arrangements, amortization of debt issuance costs and interest income earned on investments.</w:t>
      </w:r>
    </w:p>
    <w:p>
      <w:pPr>
        <w:spacing w:after="0" w:line="126" w:lineRule="exact"/>
        <w:rPr>
          <w:sz w:val="20"/>
          <w:szCs w:val="20"/>
          <w:color w:val="auto"/>
        </w:rPr>
      </w:pPr>
    </w:p>
    <w:p>
      <w:pPr>
        <w:ind w:left="2060"/>
        <w:spacing w:after="0"/>
        <w:rPr>
          <w:sz w:val="20"/>
          <w:szCs w:val="20"/>
          <w:color w:val="auto"/>
        </w:rPr>
      </w:pPr>
      <w:r>
        <w:rPr>
          <w:rFonts w:ascii="Arial" w:cs="Arial" w:eastAsia="Arial" w:hAnsi="Arial"/>
          <w:sz w:val="11"/>
          <w:szCs w:val="11"/>
          <w:b w:val="1"/>
          <w:bCs w:val="1"/>
          <w:color w:val="auto"/>
        </w:rPr>
        <w:t>Provision for (Benefit From) Income Taxes</w:t>
      </w:r>
    </w:p>
    <w:p>
      <w:pPr>
        <w:spacing w:after="0" w:line="12" w:lineRule="exact"/>
        <w:rPr>
          <w:sz w:val="20"/>
          <w:szCs w:val="20"/>
          <w:color w:val="auto"/>
        </w:rPr>
      </w:pPr>
    </w:p>
    <w:p>
      <w:pPr>
        <w:jc w:val="both"/>
        <w:ind w:left="2060" w:right="839"/>
        <w:spacing w:after="0" w:line="242" w:lineRule="auto"/>
        <w:rPr>
          <w:sz w:val="20"/>
          <w:szCs w:val="20"/>
          <w:color w:val="auto"/>
        </w:rPr>
      </w:pPr>
      <w:r>
        <w:rPr>
          <w:rFonts w:ascii="Arial" w:cs="Arial" w:eastAsia="Arial" w:hAnsi="Arial"/>
          <w:sz w:val="11"/>
          <w:szCs w:val="11"/>
          <w:color w:val="050505"/>
        </w:rPr>
        <w:t>The provision for (benefit from) income taxes consists primarily of income taxes related to foreign and state jurisdictions in which we conduct business. We maintain a full valuation allowance on our federal and state deferred tax assets as we have concluded that it is more likely than not that the deferred assets will not be utilized.</w:t>
      </w:r>
    </w:p>
    <w:p>
      <w:pPr>
        <w:spacing w:after="0" w:line="128" w:lineRule="exact"/>
        <w:rPr>
          <w:sz w:val="20"/>
          <w:szCs w:val="20"/>
          <w:color w:val="auto"/>
        </w:rPr>
      </w:pPr>
    </w:p>
    <w:p>
      <w:pPr>
        <w:ind w:left="2060"/>
        <w:spacing w:after="0"/>
        <w:rPr>
          <w:sz w:val="20"/>
          <w:szCs w:val="20"/>
          <w:color w:val="auto"/>
        </w:rPr>
      </w:pPr>
      <w:r>
        <w:rPr>
          <w:rFonts w:ascii="Arial" w:cs="Arial" w:eastAsia="Arial" w:hAnsi="Arial"/>
          <w:sz w:val="11"/>
          <w:szCs w:val="11"/>
          <w:b w:val="1"/>
          <w:bCs w:val="1"/>
          <w:u w:val="single" w:color="auto"/>
          <w:color w:val="auto"/>
        </w:rPr>
        <w:t>Significant Impacts of Stock-Based Compensation Expense</w:t>
      </w:r>
    </w:p>
    <w:p>
      <w:pPr>
        <w:spacing w:after="0" w:line="144" w:lineRule="exact"/>
        <w:rPr>
          <w:sz w:val="20"/>
          <w:szCs w:val="20"/>
          <w:color w:val="auto"/>
        </w:rPr>
      </w:pPr>
    </w:p>
    <w:p>
      <w:pPr>
        <w:ind w:left="2060"/>
        <w:spacing w:after="0"/>
        <w:rPr>
          <w:sz w:val="20"/>
          <w:szCs w:val="20"/>
          <w:color w:val="auto"/>
        </w:rPr>
      </w:pPr>
      <w:r>
        <w:rPr>
          <w:rFonts w:ascii="Arial" w:cs="Arial" w:eastAsia="Arial" w:hAnsi="Arial"/>
          <w:sz w:val="11"/>
          <w:szCs w:val="11"/>
          <w:b w:val="1"/>
          <w:bCs w:val="1"/>
          <w:color w:val="auto"/>
        </w:rPr>
        <w:t>Tender Offers</w:t>
      </w:r>
    </w:p>
    <w:p>
      <w:pPr>
        <w:spacing w:after="0" w:line="12" w:lineRule="exact"/>
        <w:rPr>
          <w:sz w:val="20"/>
          <w:szCs w:val="20"/>
          <w:color w:val="auto"/>
        </w:rPr>
      </w:pPr>
    </w:p>
    <w:p>
      <w:pPr>
        <w:jc w:val="both"/>
        <w:ind w:left="2060" w:right="839"/>
        <w:spacing w:after="0"/>
        <w:rPr>
          <w:sz w:val="20"/>
          <w:szCs w:val="20"/>
          <w:color w:val="auto"/>
        </w:rPr>
      </w:pPr>
      <w:r>
        <w:rPr>
          <w:rFonts w:ascii="Arial" w:cs="Arial" w:eastAsia="Arial" w:hAnsi="Arial"/>
          <w:sz w:val="11"/>
          <w:szCs w:val="11"/>
          <w:color w:val="050505"/>
        </w:rPr>
        <w:t>In April 2017, we commenced a cash tender offer, which was completed in June 2017, for the repurchase of shares of our outstanding common stock and redeemable convertible preferred stock from existing stockholders, including current and former employees, which had a significant impact on our stock-based compensation expense for fiscal 2017. In the 2017 tender offer, we repurchased an aggregate of 9,661,156 shares of our capital stock. The purchase price per share in the tender offer was in excess of the fair value of our outstanding common stock at the time of the transaction and accordingly, upon the completion of the transaction, we recorded $8.3 million as stock-based compensation expense related to the excess of the selling price per share of common stock paid to our employees over the fair value of the tendered shares.</w:t>
      </w:r>
    </w:p>
    <w:p>
      <w:pPr>
        <w:spacing w:after="0" w:line="142" w:lineRule="exact"/>
        <w:rPr>
          <w:sz w:val="20"/>
          <w:szCs w:val="20"/>
          <w:color w:val="auto"/>
        </w:rPr>
      </w:pPr>
    </w:p>
    <w:p>
      <w:pPr>
        <w:jc w:val="both"/>
        <w:ind w:left="2060" w:right="839"/>
        <w:spacing w:after="0"/>
        <w:rPr>
          <w:sz w:val="20"/>
          <w:szCs w:val="20"/>
          <w:color w:val="auto"/>
        </w:rPr>
      </w:pPr>
      <w:r>
        <w:rPr>
          <w:rFonts w:ascii="Arial" w:cs="Arial" w:eastAsia="Arial" w:hAnsi="Arial"/>
          <w:sz w:val="11"/>
          <w:szCs w:val="11"/>
          <w:color w:val="050505"/>
        </w:rPr>
        <w:t>In August 2018, we commenced a cash tender offer, which was completed in October 2018, for the repurchase of shares of our outstanding common stock and redeemable convertible preferred stock from existing stockholders, including current and former employees, which had a significant impact on our stock-based compensation expense for fiscal 2019. In the 2018 tender offer, we repurchased an aggregate of 9,264,518 shares of our capital stock. The purchase price per share in the tender offer was in excess of the fair value of our outstanding common stock at the time of the transaction and accordingly, upon the completion of the transaction, we recorded $28.2 million as stock-based compensation expense related to the excess of the selling price per share of common stock paid to our employees over the fair value of the tendered shares.</w:t>
      </w:r>
    </w:p>
    <w:p>
      <w:pPr>
        <w:spacing w:after="0" w:line="142" w:lineRule="exact"/>
        <w:rPr>
          <w:sz w:val="20"/>
          <w:szCs w:val="20"/>
          <w:color w:val="auto"/>
        </w:rPr>
      </w:pPr>
    </w:p>
    <w:p>
      <w:pPr>
        <w:jc w:val="both"/>
        <w:ind w:left="2060" w:right="839"/>
        <w:spacing w:after="0"/>
        <w:rPr>
          <w:sz w:val="20"/>
          <w:szCs w:val="20"/>
          <w:color w:val="auto"/>
        </w:rPr>
      </w:pPr>
      <w:r>
        <w:rPr>
          <w:rFonts w:ascii="Arial" w:cs="Arial" w:eastAsia="Arial" w:hAnsi="Arial"/>
          <w:sz w:val="11"/>
          <w:szCs w:val="11"/>
          <w:color w:val="050505"/>
        </w:rPr>
        <w:t>Additionally, for shares held less than six months and thus deemed to not be subject to market risks, we recorded a liability for the maximum number of shares that were eligible for the tender offer when it became probable that the event allowing for the redemption would occur. To the extent that this liability exceeded amounts previously recognized in equity, the excess was recognized as compensation cost. As a result of this liability, we recognized an additional stock-compensation expense of $33.5 million. See Note 12 of the notes to our audited consolidated financial statements included elsewhere in this prospectus for additional information.</w:t>
      </w:r>
    </w:p>
    <w:p>
      <w:pPr>
        <w:spacing w:after="0" w:line="97" w:lineRule="exact"/>
        <w:rPr>
          <w:sz w:val="20"/>
          <w:szCs w:val="20"/>
          <w:color w:val="auto"/>
        </w:rPr>
      </w:pPr>
    </w:p>
    <w:p>
      <w:pPr>
        <w:ind w:left="5680"/>
        <w:spacing w:after="0"/>
        <w:rPr>
          <w:sz w:val="20"/>
          <w:szCs w:val="20"/>
          <w:color w:val="auto"/>
        </w:rPr>
      </w:pPr>
      <w:r>
        <w:rPr>
          <w:rFonts w:ascii="Arial" w:cs="Arial" w:eastAsia="Arial" w:hAnsi="Arial"/>
          <w:sz w:val="11"/>
          <w:szCs w:val="11"/>
          <w:color w:val="050505"/>
        </w:rPr>
        <w:t>70</w:t>
      </w:r>
    </w:p>
    <w:p>
      <w:pPr>
        <w:sectPr>
          <w:pgSz w:w="11900" w:h="16838" w:orient="portrait"/>
          <w:cols w:equalWidth="0" w:num="1">
            <w:col w:w="10239"/>
          </w:cols>
          <w:pgMar w:left="220" w:top="354" w:right="1440" w:bottom="1440" w:gutter="0" w:footer="0" w:header="0"/>
        </w:sectPr>
      </w:pPr>
    </w:p>
    <w:bookmarkStart w:id="75" w:name="page76"/>
    <w:bookmarkEnd w:id="75"/>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hyperlink w:anchor="page5">
        <w:r>
          <w:rPr>
            <w:rFonts w:ascii="Arial" w:cs="Arial" w:eastAsia="Arial" w:hAnsi="Arial"/>
            <w:sz w:val="12"/>
            <w:szCs w:val="12"/>
            <w:b w:val="1"/>
            <w:bCs w:val="1"/>
            <w:u w:val="single" w:color="auto"/>
            <w:color w:val="0000EE"/>
          </w:rPr>
          <w:t>Table of Contents</w:t>
        </w:r>
      </w:hyperlink>
    </w:p>
    <w:p>
      <w:pPr>
        <w:spacing w:after="0" w:line="216" w:lineRule="exact"/>
        <w:rPr>
          <w:sz w:val="20"/>
          <w:szCs w:val="20"/>
          <w:color w:val="auto"/>
        </w:rPr>
      </w:pPr>
    </w:p>
    <w:p>
      <w:pPr>
        <w:ind w:left="2060"/>
        <w:spacing w:after="0"/>
        <w:rPr>
          <w:sz w:val="20"/>
          <w:szCs w:val="20"/>
          <w:color w:val="auto"/>
        </w:rPr>
      </w:pPr>
      <w:r>
        <w:rPr>
          <w:rFonts w:ascii="Arial" w:cs="Arial" w:eastAsia="Arial" w:hAnsi="Arial"/>
          <w:sz w:val="10"/>
          <w:szCs w:val="10"/>
          <w:color w:val="050505"/>
        </w:rPr>
        <w:t>The total stock-based compensation expense related to the tender offers impacted fiscal 2017 and the first and second quarters of fiscal 2019 as follows:</w:t>
      </w:r>
    </w:p>
    <w:p>
      <w:pPr>
        <w:spacing w:after="0" w:line="161" w:lineRule="exact"/>
        <w:rPr>
          <w:sz w:val="20"/>
          <w:szCs w:val="20"/>
          <w:color w:val="auto"/>
        </w:rPr>
      </w:pPr>
    </w:p>
    <w:tbl>
      <w:tblPr>
        <w:tblLayout w:type="fixed"/>
        <w:tblInd w:w="2060" w:type="dxa"/>
        <w:tblCellMar>
          <w:top w:w="0" w:type="dxa"/>
          <w:left w:w="0" w:type="dxa"/>
          <w:bottom w:w="0" w:type="dxa"/>
          <w:right w:w="0" w:type="dxa"/>
        </w:tblCellMar>
      </w:tblPr>
      <w:tr>
        <w:trPr>
          <w:trHeight w:val="137"/>
        </w:trPr>
        <w:tc>
          <w:tcPr>
            <w:tcW w:w="3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80" w:type="dxa"/>
            <w:vAlign w:val="bottom"/>
            <w:gridSpan w:val="2"/>
            <w:vMerge w:val="restart"/>
          </w:tcPr>
          <w:p>
            <w:pPr>
              <w:jc w:val="center"/>
              <w:spacing w:after="0"/>
              <w:rPr>
                <w:sz w:val="20"/>
                <w:szCs w:val="20"/>
                <w:color w:val="auto"/>
              </w:rPr>
            </w:pPr>
            <w:r>
              <w:rPr>
                <w:rFonts w:ascii="Arial" w:cs="Arial" w:eastAsia="Arial" w:hAnsi="Arial"/>
                <w:sz w:val="11"/>
                <w:szCs w:val="11"/>
                <w:b w:val="1"/>
                <w:bCs w:val="1"/>
                <w:color w:val="050505"/>
                <w:w w:val="97"/>
              </w:rPr>
              <w:t>Fiscal Year Ended</w:t>
            </w: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940" w:type="dxa"/>
            <w:vAlign w:val="bottom"/>
            <w:gridSpan w:val="5"/>
          </w:tcPr>
          <w:p>
            <w:pPr>
              <w:ind w:left="360"/>
              <w:spacing w:after="0"/>
              <w:rPr>
                <w:sz w:val="20"/>
                <w:szCs w:val="20"/>
                <w:color w:val="auto"/>
              </w:rPr>
            </w:pPr>
            <w:r>
              <w:rPr>
                <w:rFonts w:ascii="Arial" w:cs="Arial" w:eastAsia="Arial" w:hAnsi="Arial"/>
                <w:sz w:val="11"/>
                <w:szCs w:val="11"/>
                <w:b w:val="1"/>
                <w:bCs w:val="1"/>
                <w:color w:val="050505"/>
              </w:rPr>
              <w:t>Three Months Ended</w:t>
            </w:r>
          </w:p>
        </w:tc>
        <w:tc>
          <w:tcPr>
            <w:tcW w:w="0" w:type="dxa"/>
            <w:vAlign w:val="bottom"/>
          </w:tcPr>
          <w:p>
            <w:pPr>
              <w:spacing w:after="0"/>
              <w:rPr>
                <w:sz w:val="1"/>
                <w:szCs w:val="1"/>
                <w:color w:val="auto"/>
              </w:rPr>
            </w:pPr>
          </w:p>
        </w:tc>
      </w:tr>
      <w:tr>
        <w:trPr>
          <w:trHeight w:val="104"/>
        </w:trPr>
        <w:tc>
          <w:tcPr>
            <w:tcW w:w="3160" w:type="dxa"/>
            <w:vAlign w:val="bottom"/>
          </w:tcPr>
          <w:p>
            <w:pPr>
              <w:spacing w:after="0"/>
              <w:rPr>
                <w:sz w:val="9"/>
                <w:szCs w:val="9"/>
                <w:color w:val="auto"/>
              </w:rPr>
            </w:pPr>
          </w:p>
        </w:tc>
        <w:tc>
          <w:tcPr>
            <w:tcW w:w="800" w:type="dxa"/>
            <w:vAlign w:val="bottom"/>
          </w:tcPr>
          <w:p>
            <w:pPr>
              <w:spacing w:after="0"/>
              <w:rPr>
                <w:sz w:val="9"/>
                <w:szCs w:val="9"/>
                <w:color w:val="auto"/>
              </w:rPr>
            </w:pPr>
          </w:p>
        </w:tc>
        <w:tc>
          <w:tcPr>
            <w:tcW w:w="980" w:type="dxa"/>
            <w:vAlign w:val="bottom"/>
            <w:gridSpan w:val="2"/>
            <w:vMerge w:val="continue"/>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680" w:type="dxa"/>
            <w:vAlign w:val="bottom"/>
            <w:tcBorders>
              <w:top w:val="single" w:sz="8" w:color="auto"/>
            </w:tcBorders>
          </w:tcPr>
          <w:p>
            <w:pPr>
              <w:jc w:val="right"/>
              <w:ind w:right="128"/>
              <w:spacing w:after="0" w:line="105" w:lineRule="exact"/>
              <w:rPr>
                <w:sz w:val="20"/>
                <w:szCs w:val="20"/>
                <w:color w:val="auto"/>
              </w:rPr>
            </w:pPr>
            <w:r>
              <w:rPr>
                <w:rFonts w:ascii="Arial" w:cs="Arial" w:eastAsia="Arial" w:hAnsi="Arial"/>
                <w:sz w:val="11"/>
                <w:szCs w:val="11"/>
                <w:b w:val="1"/>
                <w:bCs w:val="1"/>
                <w:color w:val="050505"/>
              </w:rPr>
              <w:t>Sept. 30,</w:t>
            </w:r>
          </w:p>
        </w:tc>
        <w:tc>
          <w:tcPr>
            <w:tcW w:w="380" w:type="dxa"/>
            <w:vAlign w:val="bottom"/>
            <w:tcBorders>
              <w:top w:val="single" w:sz="8" w:color="auto"/>
            </w:tcBorders>
          </w:tcPr>
          <w:p>
            <w:pPr>
              <w:spacing w:after="0"/>
              <w:rPr>
                <w:sz w:val="9"/>
                <w:szCs w:val="9"/>
                <w:color w:val="auto"/>
              </w:rPr>
            </w:pPr>
          </w:p>
        </w:tc>
        <w:tc>
          <w:tcPr>
            <w:tcW w:w="180" w:type="dxa"/>
            <w:vAlign w:val="bottom"/>
            <w:tcBorders>
              <w:top w:val="single" w:sz="8" w:color="auto"/>
            </w:tcBorders>
          </w:tcPr>
          <w:p>
            <w:pPr>
              <w:spacing w:after="0"/>
              <w:rPr>
                <w:sz w:val="9"/>
                <w:szCs w:val="9"/>
                <w:color w:val="auto"/>
              </w:rPr>
            </w:pPr>
          </w:p>
        </w:tc>
        <w:tc>
          <w:tcPr>
            <w:tcW w:w="660" w:type="dxa"/>
            <w:vAlign w:val="bottom"/>
            <w:tcBorders>
              <w:top w:val="single" w:sz="8" w:color="auto"/>
            </w:tcBorders>
          </w:tcPr>
          <w:p>
            <w:pPr>
              <w:jc w:val="right"/>
              <w:ind w:right="168"/>
              <w:spacing w:after="0" w:line="105" w:lineRule="exact"/>
              <w:rPr>
                <w:sz w:val="20"/>
                <w:szCs w:val="20"/>
                <w:color w:val="auto"/>
              </w:rPr>
            </w:pPr>
            <w:r>
              <w:rPr>
                <w:rFonts w:ascii="Arial" w:cs="Arial" w:eastAsia="Arial" w:hAnsi="Arial"/>
                <w:sz w:val="11"/>
                <w:szCs w:val="11"/>
                <w:b w:val="1"/>
                <w:bCs w:val="1"/>
                <w:color w:val="050505"/>
              </w:rPr>
              <w:t>Dec. 31,</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31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20" w:type="dxa"/>
            <w:vAlign w:val="bottom"/>
          </w:tcPr>
          <w:p>
            <w:pPr>
              <w:jc w:val="center"/>
              <w:ind w:right="108"/>
              <w:spacing w:after="0"/>
              <w:rPr>
                <w:sz w:val="20"/>
                <w:szCs w:val="20"/>
                <w:color w:val="auto"/>
              </w:rPr>
            </w:pPr>
            <w:r>
              <w:rPr>
                <w:rFonts w:ascii="Arial" w:cs="Arial" w:eastAsia="Arial" w:hAnsi="Arial"/>
                <w:sz w:val="11"/>
                <w:szCs w:val="11"/>
                <w:b w:val="1"/>
                <w:bCs w:val="1"/>
                <w:color w:val="050505"/>
              </w:rPr>
              <w:t>June 30,</w:t>
            </w: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jc w:val="right"/>
              <w:ind w:right="128"/>
              <w:spacing w:after="0"/>
              <w:rPr>
                <w:sz w:val="20"/>
                <w:szCs w:val="20"/>
                <w:color w:val="auto"/>
              </w:rPr>
            </w:pPr>
            <w:r>
              <w:rPr>
                <w:rFonts w:ascii="Arial" w:cs="Arial" w:eastAsia="Arial" w:hAnsi="Arial"/>
                <w:sz w:val="11"/>
                <w:szCs w:val="11"/>
                <w:b w:val="1"/>
                <w:bCs w:val="1"/>
                <w:color w:val="050505"/>
              </w:rPr>
              <w:t>2018</w:t>
            </w:r>
          </w:p>
        </w:tc>
        <w:tc>
          <w:tcPr>
            <w:tcW w:w="3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60" w:type="dxa"/>
            <w:vAlign w:val="bottom"/>
          </w:tcPr>
          <w:p>
            <w:pPr>
              <w:jc w:val="right"/>
              <w:ind w:right="88"/>
              <w:spacing w:after="0"/>
              <w:rPr>
                <w:sz w:val="20"/>
                <w:szCs w:val="20"/>
                <w:color w:val="auto"/>
              </w:rPr>
            </w:pPr>
            <w:r>
              <w:rPr>
                <w:rFonts w:ascii="Arial" w:cs="Arial" w:eastAsia="Arial" w:hAnsi="Arial"/>
                <w:sz w:val="11"/>
                <w:szCs w:val="11"/>
                <w:b w:val="1"/>
                <w:bCs w:val="1"/>
                <w:color w:val="050505"/>
              </w:rPr>
              <w:t>2018</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7"/>
        </w:trPr>
        <w:tc>
          <w:tcPr>
            <w:tcW w:w="3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jc w:val="center"/>
              <w:ind w:right="128"/>
              <w:spacing w:after="0"/>
              <w:rPr>
                <w:sz w:val="20"/>
                <w:szCs w:val="20"/>
                <w:color w:val="auto"/>
              </w:rPr>
            </w:pPr>
            <w:r>
              <w:rPr>
                <w:rFonts w:ascii="Arial" w:cs="Arial" w:eastAsia="Arial" w:hAnsi="Arial"/>
                <w:sz w:val="11"/>
                <w:szCs w:val="11"/>
                <w:b w:val="1"/>
                <w:bCs w:val="1"/>
                <w:color w:val="050505"/>
                <w:w w:val="97"/>
              </w:rPr>
              <w:t>2017</w:t>
            </w:r>
          </w:p>
        </w:tc>
        <w:tc>
          <w:tcPr>
            <w:tcW w:w="3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4"/>
        </w:trPr>
        <w:tc>
          <w:tcPr>
            <w:tcW w:w="3160" w:type="dxa"/>
            <w:vAlign w:val="bottom"/>
          </w:tcPr>
          <w:p>
            <w:pPr>
              <w:spacing w:after="0"/>
              <w:rPr>
                <w:sz w:val="9"/>
                <w:szCs w:val="9"/>
                <w:color w:val="auto"/>
              </w:rPr>
            </w:pPr>
          </w:p>
        </w:tc>
        <w:tc>
          <w:tcPr>
            <w:tcW w:w="800" w:type="dxa"/>
            <w:vAlign w:val="bottom"/>
          </w:tcPr>
          <w:p>
            <w:pPr>
              <w:spacing w:after="0"/>
              <w:rPr>
                <w:sz w:val="9"/>
                <w:szCs w:val="9"/>
                <w:color w:val="auto"/>
              </w:rPr>
            </w:pPr>
          </w:p>
        </w:tc>
        <w:tc>
          <w:tcPr>
            <w:tcW w:w="160" w:type="dxa"/>
            <w:vAlign w:val="bottom"/>
          </w:tcPr>
          <w:p>
            <w:pPr>
              <w:spacing w:after="0"/>
              <w:rPr>
                <w:sz w:val="9"/>
                <w:szCs w:val="9"/>
                <w:color w:val="auto"/>
              </w:rPr>
            </w:pPr>
          </w:p>
        </w:tc>
        <w:tc>
          <w:tcPr>
            <w:tcW w:w="8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40" w:type="dxa"/>
            <w:vAlign w:val="bottom"/>
            <w:gridSpan w:val="3"/>
          </w:tcPr>
          <w:p>
            <w:pPr>
              <w:jc w:val="right"/>
              <w:ind w:right="60"/>
              <w:spacing w:after="0" w:line="105" w:lineRule="exact"/>
              <w:rPr>
                <w:sz w:val="20"/>
                <w:szCs w:val="20"/>
                <w:color w:val="auto"/>
              </w:rPr>
            </w:pPr>
            <w:r>
              <w:rPr>
                <w:rFonts w:ascii="Arial" w:cs="Arial" w:eastAsia="Arial" w:hAnsi="Arial"/>
                <w:sz w:val="11"/>
                <w:szCs w:val="11"/>
                <w:b w:val="1"/>
                <w:bCs w:val="1"/>
                <w:color w:val="050505"/>
              </w:rPr>
              <w:t>(unaudited)</w:t>
            </w:r>
          </w:p>
        </w:tc>
        <w:tc>
          <w:tcPr>
            <w:tcW w:w="66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7"/>
        </w:trPr>
        <w:tc>
          <w:tcPr>
            <w:tcW w:w="3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80" w:type="dxa"/>
            <w:vAlign w:val="bottom"/>
            <w:gridSpan w:val="2"/>
          </w:tcPr>
          <w:p>
            <w:pPr>
              <w:jc w:val="right"/>
              <w:ind w:right="108"/>
              <w:spacing w:after="0"/>
              <w:rPr>
                <w:sz w:val="20"/>
                <w:szCs w:val="20"/>
                <w:color w:val="auto"/>
              </w:rPr>
            </w:pPr>
            <w:r>
              <w:rPr>
                <w:rFonts w:ascii="Arial" w:cs="Arial" w:eastAsia="Arial" w:hAnsi="Arial"/>
                <w:sz w:val="11"/>
                <w:szCs w:val="11"/>
                <w:b w:val="1"/>
                <w:bCs w:val="1"/>
                <w:color w:val="050505"/>
                <w:w w:val="97"/>
              </w:rPr>
              <w:t>(in millions)</w:t>
            </w:r>
          </w:p>
        </w:tc>
        <w:tc>
          <w:tcPr>
            <w:tcW w:w="3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3160" w:type="dxa"/>
            <w:vAlign w:val="bottom"/>
            <w:shd w:val="clear" w:color="auto" w:fill="CCEEFF"/>
          </w:tcPr>
          <w:p>
            <w:pPr>
              <w:ind w:left="60"/>
              <w:spacing w:after="0" w:line="108" w:lineRule="exact"/>
              <w:rPr>
                <w:sz w:val="20"/>
                <w:szCs w:val="20"/>
                <w:color w:val="auto"/>
              </w:rPr>
            </w:pPr>
            <w:r>
              <w:rPr>
                <w:rFonts w:ascii="Arial" w:cs="Arial" w:eastAsia="Arial" w:hAnsi="Arial"/>
                <w:sz w:val="10"/>
                <w:szCs w:val="10"/>
                <w:color w:val="050505"/>
              </w:rPr>
              <w:t>Cost of revenue:</w:t>
            </w:r>
          </w:p>
        </w:tc>
        <w:tc>
          <w:tcPr>
            <w:tcW w:w="8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82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3160" w:type="dxa"/>
            <w:vAlign w:val="bottom"/>
          </w:tcPr>
          <w:p>
            <w:pPr>
              <w:ind w:left="160"/>
              <w:spacing w:after="0" w:line="108" w:lineRule="exact"/>
              <w:rPr>
                <w:sz w:val="20"/>
                <w:szCs w:val="20"/>
                <w:color w:val="auto"/>
              </w:rPr>
            </w:pPr>
            <w:r>
              <w:rPr>
                <w:rFonts w:ascii="Arial" w:cs="Arial" w:eastAsia="Arial" w:hAnsi="Arial"/>
                <w:sz w:val="10"/>
                <w:szCs w:val="10"/>
                <w:color w:val="050505"/>
              </w:rPr>
              <w:t>Connected Fitness Products</w:t>
            </w:r>
          </w:p>
        </w:tc>
        <w:tc>
          <w:tcPr>
            <w:tcW w:w="960" w:type="dxa"/>
            <w:vAlign w:val="bottom"/>
            <w:gridSpan w:val="2"/>
          </w:tcPr>
          <w:p>
            <w:pPr>
              <w:jc w:val="right"/>
              <w:ind w:right="47"/>
              <w:spacing w:after="0" w:line="108" w:lineRule="exact"/>
              <w:rPr>
                <w:sz w:val="20"/>
                <w:szCs w:val="20"/>
                <w:color w:val="auto"/>
              </w:rPr>
            </w:pPr>
            <w:r>
              <w:rPr>
                <w:rFonts w:ascii="Arial" w:cs="Arial" w:eastAsia="Arial" w:hAnsi="Arial"/>
                <w:sz w:val="10"/>
                <w:szCs w:val="10"/>
                <w:color w:val="050505"/>
              </w:rPr>
              <w:t>$</w:t>
            </w:r>
          </w:p>
        </w:tc>
        <w:tc>
          <w:tcPr>
            <w:tcW w:w="820" w:type="dxa"/>
            <w:vAlign w:val="bottom"/>
          </w:tcPr>
          <w:p>
            <w:pPr>
              <w:jc w:val="right"/>
              <w:spacing w:after="0" w:line="108" w:lineRule="exact"/>
              <w:rPr>
                <w:sz w:val="20"/>
                <w:szCs w:val="20"/>
                <w:color w:val="auto"/>
              </w:rPr>
            </w:pPr>
            <w:r>
              <w:rPr>
                <w:rFonts w:ascii="Arial" w:cs="Arial" w:eastAsia="Arial" w:hAnsi="Arial"/>
                <w:sz w:val="10"/>
                <w:szCs w:val="10"/>
                <w:color w:val="050505"/>
              </w:rPr>
              <w:t>—</w:t>
            </w:r>
          </w:p>
        </w:tc>
        <w:tc>
          <w:tcPr>
            <w:tcW w:w="480" w:type="dxa"/>
            <w:vAlign w:val="bottom"/>
            <w:gridSpan w:val="2"/>
          </w:tcPr>
          <w:p>
            <w:pPr>
              <w:jc w:val="right"/>
              <w:spacing w:after="0" w:line="108" w:lineRule="exact"/>
              <w:rPr>
                <w:sz w:val="20"/>
                <w:szCs w:val="20"/>
                <w:color w:val="auto"/>
              </w:rPr>
            </w:pPr>
            <w:r>
              <w:rPr>
                <w:rFonts w:ascii="Arial" w:cs="Arial" w:eastAsia="Arial" w:hAnsi="Arial"/>
                <w:sz w:val="10"/>
                <w:szCs w:val="10"/>
                <w:color w:val="050505"/>
              </w:rPr>
              <w:t>$</w:t>
            </w:r>
          </w:p>
        </w:tc>
        <w:tc>
          <w:tcPr>
            <w:tcW w:w="680" w:type="dxa"/>
            <w:vAlign w:val="bottom"/>
          </w:tcPr>
          <w:p>
            <w:pPr>
              <w:jc w:val="right"/>
              <w:spacing w:after="0" w:line="108" w:lineRule="exact"/>
              <w:rPr>
                <w:sz w:val="20"/>
                <w:szCs w:val="20"/>
                <w:color w:val="auto"/>
              </w:rPr>
            </w:pPr>
            <w:r>
              <w:rPr>
                <w:rFonts w:ascii="Arial" w:cs="Arial" w:eastAsia="Arial" w:hAnsi="Arial"/>
                <w:sz w:val="10"/>
                <w:szCs w:val="10"/>
                <w:color w:val="050505"/>
              </w:rPr>
              <w:t>—</w:t>
            </w:r>
          </w:p>
        </w:tc>
        <w:tc>
          <w:tcPr>
            <w:tcW w:w="560" w:type="dxa"/>
            <w:vAlign w:val="bottom"/>
            <w:gridSpan w:val="2"/>
          </w:tcPr>
          <w:p>
            <w:pPr>
              <w:jc w:val="right"/>
              <w:ind w:right="120"/>
              <w:spacing w:after="0" w:line="108" w:lineRule="exact"/>
              <w:rPr>
                <w:sz w:val="20"/>
                <w:szCs w:val="20"/>
                <w:color w:val="auto"/>
              </w:rPr>
            </w:pPr>
            <w:r>
              <w:rPr>
                <w:rFonts w:ascii="Arial" w:cs="Arial" w:eastAsia="Arial" w:hAnsi="Arial"/>
                <w:sz w:val="10"/>
                <w:szCs w:val="10"/>
                <w:color w:val="050505"/>
              </w:rPr>
              <w:t>$</w:t>
            </w:r>
          </w:p>
        </w:tc>
        <w:tc>
          <w:tcPr>
            <w:tcW w:w="700" w:type="dxa"/>
            <w:vAlign w:val="bottom"/>
            <w:gridSpan w:val="2"/>
          </w:tcPr>
          <w:p>
            <w:pPr>
              <w:jc w:val="right"/>
              <w:ind w:right="40"/>
              <w:spacing w:after="0" w:line="108" w:lineRule="exact"/>
              <w:rPr>
                <w:sz w:val="20"/>
                <w:szCs w:val="20"/>
                <w:color w:val="auto"/>
              </w:rPr>
            </w:pPr>
            <w:r>
              <w:rPr>
                <w:rFonts w:ascii="Arial" w:cs="Arial" w:eastAsia="Arial" w:hAnsi="Arial"/>
                <w:sz w:val="10"/>
                <w:szCs w:val="10"/>
                <w:color w:val="050505"/>
              </w:rPr>
              <w:t>—</w:t>
            </w:r>
          </w:p>
        </w:tc>
        <w:tc>
          <w:tcPr>
            <w:tcW w:w="0" w:type="dxa"/>
            <w:vAlign w:val="bottom"/>
          </w:tcPr>
          <w:p>
            <w:pPr>
              <w:spacing w:after="0"/>
              <w:rPr>
                <w:sz w:val="1"/>
                <w:szCs w:val="1"/>
                <w:color w:val="auto"/>
              </w:rPr>
            </w:pPr>
          </w:p>
        </w:tc>
      </w:tr>
      <w:tr>
        <w:trPr>
          <w:trHeight w:val="108"/>
        </w:trPr>
        <w:tc>
          <w:tcPr>
            <w:tcW w:w="3160" w:type="dxa"/>
            <w:vAlign w:val="bottom"/>
            <w:shd w:val="clear" w:color="auto" w:fill="CCEEFF"/>
          </w:tcPr>
          <w:p>
            <w:pPr>
              <w:ind w:left="160"/>
              <w:spacing w:after="0" w:line="108" w:lineRule="exact"/>
              <w:rPr>
                <w:sz w:val="20"/>
                <w:szCs w:val="20"/>
                <w:color w:val="auto"/>
              </w:rPr>
            </w:pPr>
            <w:r>
              <w:rPr>
                <w:rFonts w:ascii="Arial" w:cs="Arial" w:eastAsia="Arial" w:hAnsi="Arial"/>
                <w:sz w:val="10"/>
                <w:szCs w:val="10"/>
                <w:color w:val="050505"/>
              </w:rPr>
              <w:t>Subscription</w:t>
            </w:r>
          </w:p>
        </w:tc>
        <w:tc>
          <w:tcPr>
            <w:tcW w:w="8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82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050505"/>
              </w:rPr>
              <w:t>—</w:t>
            </w:r>
          </w:p>
        </w:tc>
        <w:tc>
          <w:tcPr>
            <w:tcW w:w="3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8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050505"/>
              </w:rPr>
              <w:t>0.9</w:t>
            </w:r>
          </w:p>
        </w:tc>
        <w:tc>
          <w:tcPr>
            <w:tcW w:w="38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66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050505"/>
              </w:rPr>
              <w:t>0.2</w:t>
            </w:r>
          </w:p>
        </w:tc>
        <w:tc>
          <w:tcPr>
            <w:tcW w:w="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3160" w:type="dxa"/>
            <w:vAlign w:val="bottom"/>
          </w:tcPr>
          <w:p>
            <w:pPr>
              <w:ind w:left="160"/>
              <w:spacing w:after="0" w:line="108" w:lineRule="exact"/>
              <w:rPr>
                <w:sz w:val="20"/>
                <w:szCs w:val="20"/>
                <w:color w:val="auto"/>
              </w:rPr>
            </w:pPr>
            <w:r>
              <w:rPr>
                <w:rFonts w:ascii="Arial" w:cs="Arial" w:eastAsia="Arial" w:hAnsi="Arial"/>
                <w:sz w:val="10"/>
                <w:szCs w:val="10"/>
                <w:color w:val="050505"/>
              </w:rPr>
              <w:t>Other</w:t>
            </w:r>
          </w:p>
        </w:tc>
        <w:tc>
          <w:tcPr>
            <w:tcW w:w="800" w:type="dxa"/>
            <w:vAlign w:val="bottom"/>
          </w:tcPr>
          <w:p>
            <w:pPr>
              <w:spacing w:after="0"/>
              <w:rPr>
                <w:sz w:val="9"/>
                <w:szCs w:val="9"/>
                <w:color w:val="auto"/>
              </w:rPr>
            </w:pPr>
          </w:p>
        </w:tc>
        <w:tc>
          <w:tcPr>
            <w:tcW w:w="160" w:type="dxa"/>
            <w:vAlign w:val="bottom"/>
          </w:tcPr>
          <w:p>
            <w:pPr>
              <w:spacing w:after="0"/>
              <w:rPr>
                <w:sz w:val="9"/>
                <w:szCs w:val="9"/>
                <w:color w:val="auto"/>
              </w:rPr>
            </w:pPr>
          </w:p>
        </w:tc>
        <w:tc>
          <w:tcPr>
            <w:tcW w:w="820" w:type="dxa"/>
            <w:vAlign w:val="bottom"/>
          </w:tcPr>
          <w:p>
            <w:pPr>
              <w:jc w:val="right"/>
              <w:spacing w:after="0" w:line="108" w:lineRule="exact"/>
              <w:rPr>
                <w:sz w:val="20"/>
                <w:szCs w:val="20"/>
                <w:color w:val="auto"/>
              </w:rPr>
            </w:pPr>
            <w:r>
              <w:rPr>
                <w:rFonts w:ascii="Arial" w:cs="Arial" w:eastAsia="Arial" w:hAnsi="Arial"/>
                <w:sz w:val="10"/>
                <w:szCs w:val="10"/>
                <w:color w:val="050505"/>
              </w:rPr>
              <w:t>—</w:t>
            </w: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Pr>
          <w:p>
            <w:pPr>
              <w:jc w:val="right"/>
              <w:spacing w:after="0" w:line="108" w:lineRule="exact"/>
              <w:rPr>
                <w:sz w:val="20"/>
                <w:szCs w:val="20"/>
                <w:color w:val="auto"/>
              </w:rPr>
            </w:pPr>
            <w:r>
              <w:rPr>
                <w:rFonts w:ascii="Arial" w:cs="Arial" w:eastAsia="Arial" w:hAnsi="Arial"/>
                <w:sz w:val="10"/>
                <w:szCs w:val="10"/>
                <w:color w:val="050505"/>
              </w:rPr>
              <w:t>—</w:t>
            </w:r>
          </w:p>
        </w:tc>
        <w:tc>
          <w:tcPr>
            <w:tcW w:w="380" w:type="dxa"/>
            <w:vAlign w:val="bottom"/>
          </w:tcPr>
          <w:p>
            <w:pPr>
              <w:spacing w:after="0"/>
              <w:rPr>
                <w:sz w:val="9"/>
                <w:szCs w:val="9"/>
                <w:color w:val="auto"/>
              </w:rPr>
            </w:pPr>
          </w:p>
        </w:tc>
        <w:tc>
          <w:tcPr>
            <w:tcW w:w="180" w:type="dxa"/>
            <w:vAlign w:val="bottom"/>
          </w:tcPr>
          <w:p>
            <w:pPr>
              <w:spacing w:after="0"/>
              <w:rPr>
                <w:sz w:val="9"/>
                <w:szCs w:val="9"/>
                <w:color w:val="auto"/>
              </w:rPr>
            </w:pPr>
          </w:p>
        </w:tc>
        <w:tc>
          <w:tcPr>
            <w:tcW w:w="700" w:type="dxa"/>
            <w:vAlign w:val="bottom"/>
            <w:gridSpan w:val="2"/>
          </w:tcPr>
          <w:p>
            <w:pPr>
              <w:jc w:val="right"/>
              <w:ind w:right="40"/>
              <w:spacing w:after="0" w:line="108" w:lineRule="exact"/>
              <w:rPr>
                <w:sz w:val="20"/>
                <w:szCs w:val="20"/>
                <w:color w:val="auto"/>
              </w:rPr>
            </w:pPr>
            <w:r>
              <w:rPr>
                <w:rFonts w:ascii="Arial" w:cs="Arial" w:eastAsia="Arial" w:hAnsi="Arial"/>
                <w:sz w:val="10"/>
                <w:szCs w:val="10"/>
                <w:color w:val="050505"/>
              </w:rPr>
              <w:t>—</w:t>
            </w:r>
          </w:p>
        </w:tc>
        <w:tc>
          <w:tcPr>
            <w:tcW w:w="0" w:type="dxa"/>
            <w:vAlign w:val="bottom"/>
          </w:tcPr>
          <w:p>
            <w:pPr>
              <w:spacing w:after="0"/>
              <w:rPr>
                <w:sz w:val="1"/>
                <w:szCs w:val="1"/>
                <w:color w:val="auto"/>
              </w:rPr>
            </w:pPr>
          </w:p>
        </w:tc>
      </w:tr>
      <w:tr>
        <w:trPr>
          <w:trHeight w:val="106"/>
        </w:trPr>
        <w:tc>
          <w:tcPr>
            <w:tcW w:w="3160" w:type="dxa"/>
            <w:vAlign w:val="bottom"/>
            <w:shd w:val="clear" w:color="auto" w:fill="CCEEFF"/>
          </w:tcPr>
          <w:p>
            <w:pPr>
              <w:ind w:left="380"/>
              <w:spacing w:after="0" w:line="106" w:lineRule="exact"/>
              <w:rPr>
                <w:sz w:val="20"/>
                <w:szCs w:val="20"/>
                <w:color w:val="auto"/>
              </w:rPr>
            </w:pPr>
            <w:r>
              <w:rPr>
                <w:rFonts w:ascii="Arial" w:cs="Arial" w:eastAsia="Arial" w:hAnsi="Arial"/>
                <w:sz w:val="10"/>
                <w:szCs w:val="10"/>
                <w:color w:val="050505"/>
              </w:rPr>
              <w:t>Total cost of revenue</w:t>
            </w:r>
          </w:p>
        </w:tc>
        <w:tc>
          <w:tcPr>
            <w:tcW w:w="800" w:type="dxa"/>
            <w:vAlign w:val="bottom"/>
            <w:shd w:val="clear" w:color="auto" w:fill="CCEEFF"/>
          </w:tcPr>
          <w:p>
            <w:pPr>
              <w:spacing w:after="0"/>
              <w:rPr>
                <w:sz w:val="9"/>
                <w:szCs w:val="9"/>
                <w:color w:val="auto"/>
              </w:rPr>
            </w:pPr>
          </w:p>
        </w:tc>
        <w:tc>
          <w:tcPr>
            <w:tcW w:w="160" w:type="dxa"/>
            <w:vAlign w:val="bottom"/>
            <w:tcBorders>
              <w:top w:val="single" w:sz="8" w:color="auto"/>
              <w:bottom w:val="single" w:sz="8" w:color="auto"/>
            </w:tcBorders>
            <w:shd w:val="clear" w:color="auto" w:fill="CCEEFF"/>
          </w:tcPr>
          <w:p>
            <w:pPr>
              <w:spacing w:after="0"/>
              <w:rPr>
                <w:sz w:val="9"/>
                <w:szCs w:val="9"/>
                <w:color w:val="auto"/>
              </w:rPr>
            </w:pPr>
          </w:p>
        </w:tc>
        <w:tc>
          <w:tcPr>
            <w:tcW w:w="820" w:type="dxa"/>
            <w:vAlign w:val="bottom"/>
            <w:tcBorders>
              <w:top w:val="single" w:sz="8" w:color="auto"/>
              <w:bottom w:val="single" w:sz="8" w:color="auto"/>
            </w:tcBorders>
            <w:shd w:val="clear" w:color="auto" w:fill="CCEEFF"/>
          </w:tcPr>
          <w:p>
            <w:pPr>
              <w:jc w:val="right"/>
              <w:spacing w:after="0" w:line="106" w:lineRule="exact"/>
              <w:rPr>
                <w:sz w:val="20"/>
                <w:szCs w:val="20"/>
                <w:color w:val="auto"/>
              </w:rPr>
            </w:pPr>
            <w:r>
              <w:rPr>
                <w:rFonts w:ascii="Arial" w:cs="Arial" w:eastAsia="Arial" w:hAnsi="Arial"/>
                <w:sz w:val="10"/>
                <w:szCs w:val="10"/>
                <w:color w:val="050505"/>
              </w:rPr>
              <w:t>—</w:t>
            </w:r>
          </w:p>
        </w:tc>
        <w:tc>
          <w:tcPr>
            <w:tcW w:w="380" w:type="dxa"/>
            <w:vAlign w:val="bottom"/>
            <w:shd w:val="clear" w:color="auto" w:fill="CCEEFF"/>
          </w:tcPr>
          <w:p>
            <w:pPr>
              <w:spacing w:after="0"/>
              <w:rPr>
                <w:sz w:val="9"/>
                <w:szCs w:val="9"/>
                <w:color w:val="auto"/>
              </w:rPr>
            </w:pPr>
          </w:p>
        </w:tc>
        <w:tc>
          <w:tcPr>
            <w:tcW w:w="100" w:type="dxa"/>
            <w:vAlign w:val="bottom"/>
            <w:tcBorders>
              <w:top w:val="single" w:sz="8" w:color="auto"/>
              <w:bottom w:val="single" w:sz="8" w:color="auto"/>
            </w:tcBorders>
            <w:shd w:val="clear" w:color="auto" w:fill="CCEEFF"/>
          </w:tcPr>
          <w:p>
            <w:pPr>
              <w:spacing w:after="0"/>
              <w:rPr>
                <w:sz w:val="9"/>
                <w:szCs w:val="9"/>
                <w:color w:val="auto"/>
              </w:rPr>
            </w:pPr>
          </w:p>
        </w:tc>
        <w:tc>
          <w:tcPr>
            <w:tcW w:w="680" w:type="dxa"/>
            <w:vAlign w:val="bottom"/>
            <w:tcBorders>
              <w:top w:val="single" w:sz="8" w:color="auto"/>
              <w:bottom w:val="single" w:sz="8" w:color="auto"/>
            </w:tcBorders>
            <w:shd w:val="clear" w:color="auto" w:fill="CCEEFF"/>
          </w:tcPr>
          <w:p>
            <w:pPr>
              <w:jc w:val="right"/>
              <w:spacing w:after="0" w:line="106" w:lineRule="exact"/>
              <w:rPr>
                <w:sz w:val="20"/>
                <w:szCs w:val="20"/>
                <w:color w:val="auto"/>
              </w:rPr>
            </w:pPr>
            <w:r>
              <w:rPr>
                <w:rFonts w:ascii="Arial" w:cs="Arial" w:eastAsia="Arial" w:hAnsi="Arial"/>
                <w:sz w:val="10"/>
                <w:szCs w:val="10"/>
                <w:color w:val="050505"/>
              </w:rPr>
              <w:t>0.9</w:t>
            </w:r>
          </w:p>
        </w:tc>
        <w:tc>
          <w:tcPr>
            <w:tcW w:w="380" w:type="dxa"/>
            <w:vAlign w:val="bottom"/>
            <w:shd w:val="clear" w:color="auto" w:fill="CCEEFF"/>
          </w:tcPr>
          <w:p>
            <w:pPr>
              <w:spacing w:after="0"/>
              <w:rPr>
                <w:sz w:val="9"/>
                <w:szCs w:val="9"/>
                <w:color w:val="auto"/>
              </w:rPr>
            </w:pPr>
          </w:p>
        </w:tc>
        <w:tc>
          <w:tcPr>
            <w:tcW w:w="180" w:type="dxa"/>
            <w:vAlign w:val="bottom"/>
            <w:tcBorders>
              <w:top w:val="single" w:sz="8" w:color="auto"/>
              <w:bottom w:val="single" w:sz="8" w:color="auto"/>
            </w:tcBorders>
            <w:shd w:val="clear" w:color="auto" w:fill="CCEEFF"/>
          </w:tcPr>
          <w:p>
            <w:pPr>
              <w:spacing w:after="0"/>
              <w:rPr>
                <w:sz w:val="9"/>
                <w:szCs w:val="9"/>
                <w:color w:val="auto"/>
              </w:rPr>
            </w:pPr>
          </w:p>
        </w:tc>
        <w:tc>
          <w:tcPr>
            <w:tcW w:w="660" w:type="dxa"/>
            <w:vAlign w:val="bottom"/>
            <w:tcBorders>
              <w:top w:val="single" w:sz="8" w:color="auto"/>
              <w:bottom w:val="single" w:sz="8" w:color="auto"/>
            </w:tcBorders>
            <w:shd w:val="clear" w:color="auto" w:fill="CCEEFF"/>
          </w:tcPr>
          <w:p>
            <w:pPr>
              <w:jc w:val="right"/>
              <w:spacing w:after="0" w:line="106" w:lineRule="exact"/>
              <w:rPr>
                <w:sz w:val="20"/>
                <w:szCs w:val="20"/>
                <w:color w:val="auto"/>
              </w:rPr>
            </w:pPr>
            <w:r>
              <w:rPr>
                <w:rFonts w:ascii="Arial" w:cs="Arial" w:eastAsia="Arial" w:hAnsi="Arial"/>
                <w:sz w:val="10"/>
                <w:szCs w:val="10"/>
                <w:color w:val="050505"/>
              </w:rPr>
              <w:t>0.2</w:t>
            </w:r>
          </w:p>
        </w:tc>
        <w:tc>
          <w:tcPr>
            <w:tcW w:w="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3160" w:type="dxa"/>
            <w:vAlign w:val="bottom"/>
          </w:tcPr>
          <w:p>
            <w:pPr>
              <w:ind w:left="60"/>
              <w:spacing w:after="0" w:line="106" w:lineRule="exact"/>
              <w:rPr>
                <w:sz w:val="20"/>
                <w:szCs w:val="20"/>
                <w:color w:val="auto"/>
              </w:rPr>
            </w:pPr>
            <w:r>
              <w:rPr>
                <w:rFonts w:ascii="Arial" w:cs="Arial" w:eastAsia="Arial" w:hAnsi="Arial"/>
                <w:sz w:val="10"/>
                <w:szCs w:val="10"/>
                <w:color w:val="050505"/>
              </w:rPr>
              <w:t>Research and development</w:t>
            </w:r>
          </w:p>
        </w:tc>
        <w:tc>
          <w:tcPr>
            <w:tcW w:w="800" w:type="dxa"/>
            <w:vAlign w:val="bottom"/>
          </w:tcPr>
          <w:p>
            <w:pPr>
              <w:spacing w:after="0"/>
              <w:rPr>
                <w:sz w:val="9"/>
                <w:szCs w:val="9"/>
                <w:color w:val="auto"/>
              </w:rPr>
            </w:pPr>
          </w:p>
        </w:tc>
        <w:tc>
          <w:tcPr>
            <w:tcW w:w="160" w:type="dxa"/>
            <w:vAlign w:val="bottom"/>
          </w:tcPr>
          <w:p>
            <w:pPr>
              <w:spacing w:after="0"/>
              <w:rPr>
                <w:sz w:val="9"/>
                <w:szCs w:val="9"/>
                <w:color w:val="auto"/>
              </w:rPr>
            </w:pPr>
          </w:p>
        </w:tc>
        <w:tc>
          <w:tcPr>
            <w:tcW w:w="820" w:type="dxa"/>
            <w:vAlign w:val="bottom"/>
          </w:tcPr>
          <w:p>
            <w:pPr>
              <w:jc w:val="right"/>
              <w:spacing w:after="0" w:line="106" w:lineRule="exact"/>
              <w:rPr>
                <w:sz w:val="20"/>
                <w:szCs w:val="20"/>
                <w:color w:val="auto"/>
              </w:rPr>
            </w:pPr>
            <w:r>
              <w:rPr>
                <w:rFonts w:ascii="Arial" w:cs="Arial" w:eastAsia="Arial" w:hAnsi="Arial"/>
                <w:sz w:val="10"/>
                <w:szCs w:val="10"/>
                <w:color w:val="050505"/>
              </w:rPr>
              <w:t>—</w:t>
            </w: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Pr>
          <w:p>
            <w:pPr>
              <w:jc w:val="right"/>
              <w:spacing w:after="0" w:line="106" w:lineRule="exact"/>
              <w:rPr>
                <w:sz w:val="20"/>
                <w:szCs w:val="20"/>
                <w:color w:val="auto"/>
              </w:rPr>
            </w:pPr>
            <w:r>
              <w:rPr>
                <w:rFonts w:ascii="Arial" w:cs="Arial" w:eastAsia="Arial" w:hAnsi="Arial"/>
                <w:sz w:val="10"/>
                <w:szCs w:val="10"/>
                <w:color w:val="050505"/>
              </w:rPr>
              <w:t>2.5</w:t>
            </w:r>
          </w:p>
        </w:tc>
        <w:tc>
          <w:tcPr>
            <w:tcW w:w="380" w:type="dxa"/>
            <w:vAlign w:val="bottom"/>
          </w:tcPr>
          <w:p>
            <w:pPr>
              <w:spacing w:after="0"/>
              <w:rPr>
                <w:sz w:val="9"/>
                <w:szCs w:val="9"/>
                <w:color w:val="auto"/>
              </w:rPr>
            </w:pPr>
          </w:p>
        </w:tc>
        <w:tc>
          <w:tcPr>
            <w:tcW w:w="180" w:type="dxa"/>
            <w:vAlign w:val="bottom"/>
          </w:tcPr>
          <w:p>
            <w:pPr>
              <w:spacing w:after="0"/>
              <w:rPr>
                <w:sz w:val="9"/>
                <w:szCs w:val="9"/>
                <w:color w:val="auto"/>
              </w:rPr>
            </w:pPr>
          </w:p>
        </w:tc>
        <w:tc>
          <w:tcPr>
            <w:tcW w:w="660" w:type="dxa"/>
            <w:vAlign w:val="bottom"/>
          </w:tcPr>
          <w:p>
            <w:pPr>
              <w:jc w:val="right"/>
              <w:spacing w:after="0" w:line="106" w:lineRule="exact"/>
              <w:rPr>
                <w:sz w:val="20"/>
                <w:szCs w:val="20"/>
                <w:color w:val="auto"/>
              </w:rPr>
            </w:pPr>
            <w:r>
              <w:rPr>
                <w:rFonts w:ascii="Arial" w:cs="Arial" w:eastAsia="Arial" w:hAnsi="Arial"/>
                <w:sz w:val="10"/>
                <w:szCs w:val="10"/>
                <w:color w:val="050505"/>
              </w:rPr>
              <w:t>1.3</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3160" w:type="dxa"/>
            <w:vAlign w:val="bottom"/>
            <w:shd w:val="clear" w:color="auto" w:fill="CCEEFF"/>
          </w:tcPr>
          <w:p>
            <w:pPr>
              <w:ind w:left="60"/>
              <w:spacing w:after="0" w:line="108" w:lineRule="exact"/>
              <w:rPr>
                <w:sz w:val="20"/>
                <w:szCs w:val="20"/>
                <w:color w:val="auto"/>
              </w:rPr>
            </w:pPr>
            <w:r>
              <w:rPr>
                <w:rFonts w:ascii="Arial" w:cs="Arial" w:eastAsia="Arial" w:hAnsi="Arial"/>
                <w:sz w:val="10"/>
                <w:szCs w:val="10"/>
                <w:color w:val="050505"/>
              </w:rPr>
              <w:t>Sales and marketing</w:t>
            </w:r>
          </w:p>
        </w:tc>
        <w:tc>
          <w:tcPr>
            <w:tcW w:w="8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82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050505"/>
              </w:rPr>
              <w:t>—</w:t>
            </w:r>
          </w:p>
        </w:tc>
        <w:tc>
          <w:tcPr>
            <w:tcW w:w="3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8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050505"/>
              </w:rPr>
              <w:t>3.9</w:t>
            </w:r>
          </w:p>
        </w:tc>
        <w:tc>
          <w:tcPr>
            <w:tcW w:w="38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66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050505"/>
              </w:rPr>
              <w:t>2.3</w:t>
            </w:r>
          </w:p>
        </w:tc>
        <w:tc>
          <w:tcPr>
            <w:tcW w:w="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3160" w:type="dxa"/>
            <w:vAlign w:val="bottom"/>
          </w:tcPr>
          <w:p>
            <w:pPr>
              <w:ind w:left="60"/>
              <w:spacing w:after="0" w:line="108" w:lineRule="exact"/>
              <w:rPr>
                <w:sz w:val="20"/>
                <w:szCs w:val="20"/>
                <w:color w:val="auto"/>
              </w:rPr>
            </w:pPr>
            <w:r>
              <w:rPr>
                <w:rFonts w:ascii="Arial" w:cs="Arial" w:eastAsia="Arial" w:hAnsi="Arial"/>
                <w:sz w:val="10"/>
                <w:szCs w:val="10"/>
                <w:color w:val="050505"/>
              </w:rPr>
              <w:t>General and administrative</w:t>
            </w:r>
          </w:p>
        </w:tc>
        <w:tc>
          <w:tcPr>
            <w:tcW w:w="80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jc w:val="right"/>
              <w:spacing w:after="0" w:line="108" w:lineRule="exact"/>
              <w:rPr>
                <w:sz w:val="20"/>
                <w:szCs w:val="20"/>
                <w:color w:val="auto"/>
              </w:rPr>
            </w:pPr>
            <w:r>
              <w:rPr>
                <w:rFonts w:ascii="Arial" w:cs="Arial" w:eastAsia="Arial" w:hAnsi="Arial"/>
                <w:sz w:val="10"/>
                <w:szCs w:val="10"/>
                <w:color w:val="050505"/>
              </w:rPr>
              <w:t>8.3</w:t>
            </w:r>
          </w:p>
        </w:tc>
        <w:tc>
          <w:tcPr>
            <w:tcW w:w="3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jc w:val="right"/>
              <w:spacing w:after="0" w:line="108" w:lineRule="exact"/>
              <w:rPr>
                <w:sz w:val="20"/>
                <w:szCs w:val="20"/>
                <w:color w:val="auto"/>
              </w:rPr>
            </w:pPr>
            <w:r>
              <w:rPr>
                <w:rFonts w:ascii="Arial" w:cs="Arial" w:eastAsia="Arial" w:hAnsi="Arial"/>
                <w:sz w:val="10"/>
                <w:szCs w:val="10"/>
                <w:color w:val="050505"/>
              </w:rPr>
              <w:t>26.2</w:t>
            </w:r>
          </w:p>
        </w:tc>
        <w:tc>
          <w:tcPr>
            <w:tcW w:w="38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jc w:val="right"/>
              <w:spacing w:after="0" w:line="108" w:lineRule="exact"/>
              <w:rPr>
                <w:sz w:val="20"/>
                <w:szCs w:val="20"/>
                <w:color w:val="auto"/>
              </w:rPr>
            </w:pPr>
            <w:r>
              <w:rPr>
                <w:rFonts w:ascii="Arial" w:cs="Arial" w:eastAsia="Arial" w:hAnsi="Arial"/>
                <w:sz w:val="10"/>
                <w:szCs w:val="10"/>
                <w:color w:val="050505"/>
              </w:rPr>
              <w:t>24.4</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3160" w:type="dxa"/>
            <w:vAlign w:val="bottom"/>
            <w:shd w:val="clear" w:color="auto" w:fill="CCEEFF"/>
          </w:tcPr>
          <w:p>
            <w:pPr>
              <w:ind w:left="480"/>
              <w:spacing w:after="0" w:line="106" w:lineRule="exact"/>
              <w:rPr>
                <w:sz w:val="20"/>
                <w:szCs w:val="20"/>
                <w:color w:val="auto"/>
              </w:rPr>
            </w:pPr>
            <w:r>
              <w:rPr>
                <w:rFonts w:ascii="Arial" w:cs="Arial" w:eastAsia="Arial" w:hAnsi="Arial"/>
                <w:sz w:val="10"/>
                <w:szCs w:val="10"/>
                <w:color w:val="050505"/>
              </w:rPr>
              <w:t>Total stock-based compensation expense</w:t>
            </w:r>
          </w:p>
        </w:tc>
        <w:tc>
          <w:tcPr>
            <w:tcW w:w="800" w:type="dxa"/>
            <w:vAlign w:val="bottom"/>
            <w:shd w:val="clear" w:color="auto" w:fill="CCEEFF"/>
          </w:tcPr>
          <w:p>
            <w:pPr>
              <w:spacing w:after="0"/>
              <w:rPr>
                <w:sz w:val="9"/>
                <w:szCs w:val="9"/>
                <w:color w:val="auto"/>
              </w:rPr>
            </w:pPr>
          </w:p>
        </w:tc>
        <w:tc>
          <w:tcPr>
            <w:tcW w:w="160" w:type="dxa"/>
            <w:vAlign w:val="bottom"/>
            <w:shd w:val="clear" w:color="auto" w:fill="CCEEFF"/>
          </w:tcPr>
          <w:p>
            <w:pPr>
              <w:jc w:val="right"/>
              <w:ind w:right="47"/>
              <w:spacing w:after="0" w:line="106" w:lineRule="exact"/>
              <w:rPr>
                <w:sz w:val="20"/>
                <w:szCs w:val="20"/>
                <w:color w:val="auto"/>
              </w:rPr>
            </w:pPr>
            <w:r>
              <w:rPr>
                <w:rFonts w:ascii="Arial" w:cs="Arial" w:eastAsia="Arial" w:hAnsi="Arial"/>
                <w:sz w:val="10"/>
                <w:szCs w:val="10"/>
                <w:color w:val="050505"/>
                <w:w w:val="71"/>
              </w:rPr>
              <w:t>$</w:t>
            </w:r>
          </w:p>
        </w:tc>
        <w:tc>
          <w:tcPr>
            <w:tcW w:w="820" w:type="dxa"/>
            <w:vAlign w:val="bottom"/>
            <w:shd w:val="clear" w:color="auto" w:fill="CCEEFF"/>
          </w:tcPr>
          <w:p>
            <w:pPr>
              <w:jc w:val="right"/>
              <w:spacing w:after="0" w:line="106" w:lineRule="exact"/>
              <w:rPr>
                <w:sz w:val="20"/>
                <w:szCs w:val="20"/>
                <w:color w:val="auto"/>
              </w:rPr>
            </w:pPr>
            <w:r>
              <w:rPr>
                <w:rFonts w:ascii="Arial" w:cs="Arial" w:eastAsia="Arial" w:hAnsi="Arial"/>
                <w:sz w:val="10"/>
                <w:szCs w:val="10"/>
                <w:color w:val="050505"/>
              </w:rPr>
              <w:t>8.3</w:t>
            </w:r>
          </w:p>
        </w:tc>
        <w:tc>
          <w:tcPr>
            <w:tcW w:w="480" w:type="dxa"/>
            <w:vAlign w:val="bottom"/>
            <w:gridSpan w:val="2"/>
            <w:shd w:val="clear" w:color="auto" w:fill="CCEEFF"/>
          </w:tcPr>
          <w:p>
            <w:pPr>
              <w:jc w:val="right"/>
              <w:spacing w:after="0" w:line="106" w:lineRule="exact"/>
              <w:rPr>
                <w:sz w:val="20"/>
                <w:szCs w:val="20"/>
                <w:color w:val="auto"/>
              </w:rPr>
            </w:pPr>
            <w:r>
              <w:rPr>
                <w:rFonts w:ascii="Arial" w:cs="Arial" w:eastAsia="Arial" w:hAnsi="Arial"/>
                <w:sz w:val="10"/>
                <w:szCs w:val="10"/>
                <w:color w:val="050505"/>
              </w:rPr>
              <w:t>$</w:t>
            </w:r>
          </w:p>
        </w:tc>
        <w:tc>
          <w:tcPr>
            <w:tcW w:w="680" w:type="dxa"/>
            <w:vAlign w:val="bottom"/>
            <w:shd w:val="clear" w:color="auto" w:fill="CCEEFF"/>
          </w:tcPr>
          <w:p>
            <w:pPr>
              <w:jc w:val="right"/>
              <w:spacing w:after="0" w:line="106" w:lineRule="exact"/>
              <w:rPr>
                <w:sz w:val="20"/>
                <w:szCs w:val="20"/>
                <w:color w:val="auto"/>
              </w:rPr>
            </w:pPr>
            <w:r>
              <w:rPr>
                <w:rFonts w:ascii="Arial" w:cs="Arial" w:eastAsia="Arial" w:hAnsi="Arial"/>
                <w:sz w:val="10"/>
                <w:szCs w:val="10"/>
                <w:color w:val="050505"/>
              </w:rPr>
              <w:t>33.5</w:t>
            </w:r>
          </w:p>
        </w:tc>
        <w:tc>
          <w:tcPr>
            <w:tcW w:w="560" w:type="dxa"/>
            <w:vAlign w:val="bottom"/>
            <w:gridSpan w:val="2"/>
            <w:shd w:val="clear" w:color="auto" w:fill="CCEEFF"/>
          </w:tcPr>
          <w:p>
            <w:pPr>
              <w:jc w:val="right"/>
              <w:ind w:right="120"/>
              <w:spacing w:after="0" w:line="106" w:lineRule="exact"/>
              <w:rPr>
                <w:sz w:val="20"/>
                <w:szCs w:val="20"/>
                <w:color w:val="auto"/>
              </w:rPr>
            </w:pPr>
            <w:r>
              <w:rPr>
                <w:rFonts w:ascii="Arial" w:cs="Arial" w:eastAsia="Arial" w:hAnsi="Arial"/>
                <w:sz w:val="10"/>
                <w:szCs w:val="10"/>
                <w:color w:val="050505"/>
              </w:rPr>
              <w:t>$</w:t>
            </w:r>
          </w:p>
        </w:tc>
        <w:tc>
          <w:tcPr>
            <w:tcW w:w="660" w:type="dxa"/>
            <w:vAlign w:val="bottom"/>
            <w:shd w:val="clear" w:color="auto" w:fill="CCEEFF"/>
          </w:tcPr>
          <w:p>
            <w:pPr>
              <w:jc w:val="right"/>
              <w:spacing w:after="0" w:line="106" w:lineRule="exact"/>
              <w:rPr>
                <w:sz w:val="20"/>
                <w:szCs w:val="20"/>
                <w:color w:val="auto"/>
              </w:rPr>
            </w:pPr>
            <w:r>
              <w:rPr>
                <w:rFonts w:ascii="Arial" w:cs="Arial" w:eastAsia="Arial" w:hAnsi="Arial"/>
                <w:sz w:val="10"/>
                <w:szCs w:val="10"/>
                <w:color w:val="050505"/>
              </w:rPr>
              <w:t>28.2</w:t>
            </w:r>
          </w:p>
        </w:tc>
        <w:tc>
          <w:tcPr>
            <w:tcW w:w="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7"/>
        </w:trPr>
        <w:tc>
          <w:tcPr>
            <w:tcW w:w="3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2" w:lineRule="exact"/>
        <w:rPr>
          <w:sz w:val="20"/>
          <w:szCs w:val="20"/>
          <w:color w:val="auto"/>
        </w:rPr>
      </w:pPr>
    </w:p>
    <w:p>
      <w:pPr>
        <w:ind w:left="2060"/>
        <w:spacing w:after="0"/>
        <w:rPr>
          <w:sz w:val="20"/>
          <w:szCs w:val="20"/>
          <w:color w:val="auto"/>
        </w:rPr>
      </w:pPr>
      <w:r>
        <w:rPr>
          <w:rFonts w:ascii="Arial" w:cs="Arial" w:eastAsia="Arial" w:hAnsi="Arial"/>
          <w:sz w:val="11"/>
          <w:szCs w:val="11"/>
          <w:b w:val="1"/>
          <w:bCs w:val="1"/>
          <w:u w:val="single" w:color="auto"/>
          <w:color w:val="auto"/>
        </w:rPr>
        <w:t>Results of Operations</w:t>
      </w:r>
    </w:p>
    <w:p>
      <w:pPr>
        <w:spacing w:after="0" w:line="11" w:lineRule="exact"/>
        <w:rPr>
          <w:sz w:val="20"/>
          <w:szCs w:val="20"/>
          <w:color w:val="auto"/>
        </w:rPr>
      </w:pPr>
    </w:p>
    <w:p>
      <w:pPr>
        <w:ind w:left="2060"/>
        <w:spacing w:after="0"/>
        <w:rPr>
          <w:sz w:val="20"/>
          <w:szCs w:val="20"/>
          <w:color w:val="auto"/>
        </w:rPr>
      </w:pPr>
      <w:r>
        <w:rPr>
          <w:rFonts w:ascii="Arial" w:cs="Arial" w:eastAsia="Arial" w:hAnsi="Arial"/>
          <w:sz w:val="11"/>
          <w:szCs w:val="11"/>
          <w:color w:val="050505"/>
        </w:rPr>
        <w:t>The following tables set forth our consolidated results of operations in dollars and as a percentage of total revenue for the periods presented.</w:t>
      </w:r>
    </w:p>
    <w:p>
      <w:pPr>
        <w:ind w:left="2060"/>
        <w:spacing w:after="0"/>
        <w:rPr>
          <w:sz w:val="20"/>
          <w:szCs w:val="20"/>
          <w:color w:val="auto"/>
        </w:rPr>
      </w:pPr>
      <w:r>
        <w:rPr>
          <w:rFonts w:ascii="Arial" w:cs="Arial" w:eastAsia="Arial" w:hAnsi="Arial"/>
          <w:sz w:val="11"/>
          <w:szCs w:val="11"/>
          <w:color w:val="050505"/>
        </w:rPr>
        <w:t>The period-to-period comparisons of our historical results are not necessarily indicative of the results that may be expected in the future.</w:t>
      </w:r>
    </w:p>
    <w:p>
      <w:pPr>
        <w:spacing w:after="0" w:line="150" w:lineRule="exact"/>
        <w:rPr>
          <w:sz w:val="20"/>
          <w:szCs w:val="20"/>
          <w:color w:val="auto"/>
        </w:rPr>
      </w:pPr>
    </w:p>
    <w:tbl>
      <w:tblPr>
        <w:tblLayout w:type="fixed"/>
        <w:tblInd w:w="2060" w:type="dxa"/>
        <w:tblCellMar>
          <w:top w:w="0" w:type="dxa"/>
          <w:left w:w="0" w:type="dxa"/>
          <w:bottom w:w="0" w:type="dxa"/>
          <w:right w:w="0" w:type="dxa"/>
        </w:tblCellMar>
      </w:tblPr>
      <w:tr>
        <w:trPr>
          <w:trHeight w:val="137"/>
        </w:trPr>
        <w:tc>
          <w:tcPr>
            <w:tcW w:w="468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900" w:type="dxa"/>
            <w:vAlign w:val="bottom"/>
            <w:tcBorders>
              <w:bottom w:val="single" w:sz="8" w:color="auto"/>
            </w:tcBorders>
            <w:gridSpan w:val="7"/>
          </w:tcPr>
          <w:p>
            <w:pPr>
              <w:jc w:val="center"/>
              <w:ind w:left="349"/>
              <w:spacing w:after="0"/>
              <w:rPr>
                <w:sz w:val="20"/>
                <w:szCs w:val="20"/>
                <w:color w:val="auto"/>
              </w:rPr>
            </w:pPr>
            <w:r>
              <w:rPr>
                <w:rFonts w:ascii="Arial" w:cs="Arial" w:eastAsia="Arial" w:hAnsi="Arial"/>
                <w:sz w:val="11"/>
                <w:szCs w:val="11"/>
                <w:b w:val="1"/>
                <w:bCs w:val="1"/>
                <w:color w:val="050505"/>
                <w:w w:val="97"/>
              </w:rPr>
              <w:t>Fiscal Year Ended June 30,</w:t>
            </w:r>
          </w:p>
        </w:tc>
        <w:tc>
          <w:tcPr>
            <w:tcW w:w="56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r>
      <w:tr>
        <w:trPr>
          <w:trHeight w:val="115"/>
        </w:trPr>
        <w:tc>
          <w:tcPr>
            <w:tcW w:w="468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jc w:val="right"/>
              <w:ind w:right="209"/>
              <w:spacing w:after="0" w:line="115" w:lineRule="exact"/>
              <w:rPr>
                <w:sz w:val="20"/>
                <w:szCs w:val="20"/>
                <w:color w:val="auto"/>
              </w:rPr>
            </w:pPr>
            <w:r>
              <w:rPr>
                <w:rFonts w:ascii="Arial" w:cs="Arial" w:eastAsia="Arial" w:hAnsi="Arial"/>
                <w:sz w:val="11"/>
                <w:szCs w:val="11"/>
                <w:b w:val="1"/>
                <w:bCs w:val="1"/>
                <w:color w:val="050505"/>
              </w:rPr>
              <w:t>2017</w:t>
            </w:r>
          </w:p>
        </w:tc>
        <w:tc>
          <w:tcPr>
            <w:tcW w:w="12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jc w:val="center"/>
              <w:ind w:right="29"/>
              <w:spacing w:after="0" w:line="115" w:lineRule="exact"/>
              <w:rPr>
                <w:sz w:val="20"/>
                <w:szCs w:val="20"/>
                <w:color w:val="auto"/>
              </w:rPr>
            </w:pPr>
            <w:r>
              <w:rPr>
                <w:rFonts w:ascii="Arial" w:cs="Arial" w:eastAsia="Arial" w:hAnsi="Arial"/>
                <w:sz w:val="11"/>
                <w:szCs w:val="11"/>
                <w:b w:val="1"/>
                <w:bCs w:val="1"/>
                <w:color w:val="050505"/>
                <w:w w:val="97"/>
              </w:rPr>
              <w:t>2018</w:t>
            </w:r>
          </w:p>
        </w:tc>
        <w:tc>
          <w:tcPr>
            <w:tcW w:w="1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jc w:val="right"/>
              <w:ind w:right="209"/>
              <w:spacing w:after="0" w:line="115" w:lineRule="exact"/>
              <w:rPr>
                <w:sz w:val="20"/>
                <w:szCs w:val="20"/>
                <w:color w:val="auto"/>
              </w:rPr>
            </w:pPr>
            <w:r>
              <w:rPr>
                <w:rFonts w:ascii="Arial" w:cs="Arial" w:eastAsia="Arial" w:hAnsi="Arial"/>
                <w:sz w:val="11"/>
                <w:szCs w:val="11"/>
                <w:b w:val="1"/>
                <w:bCs w:val="1"/>
                <w:color w:val="050505"/>
              </w:rPr>
              <w:t>2019</w:t>
            </w:r>
          </w:p>
        </w:tc>
        <w:tc>
          <w:tcPr>
            <w:tcW w:w="60" w:type="dxa"/>
            <w:vAlign w:val="bottom"/>
          </w:tcPr>
          <w:p>
            <w:pPr>
              <w:spacing w:after="0"/>
              <w:rPr>
                <w:sz w:val="10"/>
                <w:szCs w:val="10"/>
                <w:color w:val="auto"/>
              </w:rPr>
            </w:pPr>
          </w:p>
        </w:tc>
      </w:tr>
      <w:tr>
        <w:trPr>
          <w:trHeight w:val="115"/>
        </w:trPr>
        <w:tc>
          <w:tcPr>
            <w:tcW w:w="46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80" w:type="dxa"/>
            <w:vAlign w:val="bottom"/>
            <w:gridSpan w:val="2"/>
          </w:tcPr>
          <w:p>
            <w:pPr>
              <w:jc w:val="center"/>
              <w:ind w:right="180"/>
              <w:spacing w:after="0" w:line="115" w:lineRule="exact"/>
              <w:rPr>
                <w:sz w:val="20"/>
                <w:szCs w:val="20"/>
                <w:color w:val="auto"/>
              </w:rPr>
            </w:pPr>
            <w:r>
              <w:rPr>
                <w:rFonts w:ascii="Arial" w:cs="Arial" w:eastAsia="Arial" w:hAnsi="Arial"/>
                <w:sz w:val="11"/>
                <w:szCs w:val="11"/>
                <w:b w:val="1"/>
                <w:bCs w:val="1"/>
                <w:color w:val="050505"/>
                <w:w w:val="97"/>
              </w:rPr>
              <w:t>(in millions)</w:t>
            </w: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r>
      <w:tr>
        <w:trPr>
          <w:trHeight w:val="108"/>
        </w:trPr>
        <w:tc>
          <w:tcPr>
            <w:tcW w:w="4680" w:type="dxa"/>
            <w:vAlign w:val="bottom"/>
            <w:shd w:val="clear" w:color="auto" w:fill="CCEEFF"/>
          </w:tcPr>
          <w:p>
            <w:pPr>
              <w:spacing w:after="0" w:line="108" w:lineRule="exact"/>
              <w:rPr>
                <w:sz w:val="20"/>
                <w:szCs w:val="20"/>
                <w:color w:val="auto"/>
              </w:rPr>
            </w:pPr>
            <w:r>
              <w:rPr>
                <w:rFonts w:ascii="Arial" w:cs="Arial" w:eastAsia="Arial" w:hAnsi="Arial"/>
                <w:sz w:val="10"/>
                <w:szCs w:val="10"/>
                <w:color w:val="050505"/>
              </w:rPr>
              <w:t>Consolidated Statement of Operations Data:</w:t>
            </w:r>
          </w:p>
        </w:tc>
        <w:tc>
          <w:tcPr>
            <w:tcW w:w="16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40" w:type="dxa"/>
            <w:vAlign w:val="bottom"/>
            <w:tcBorders>
              <w:right w:val="single" w:sz="8" w:color="CCEEFF"/>
            </w:tcBorders>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r>
      <w:tr>
        <w:trPr>
          <w:trHeight w:val="108"/>
        </w:trPr>
        <w:tc>
          <w:tcPr>
            <w:tcW w:w="4680" w:type="dxa"/>
            <w:vAlign w:val="bottom"/>
          </w:tcPr>
          <w:p>
            <w:pPr>
              <w:spacing w:after="0" w:line="108" w:lineRule="exact"/>
              <w:rPr>
                <w:sz w:val="20"/>
                <w:szCs w:val="20"/>
                <w:color w:val="auto"/>
              </w:rPr>
            </w:pPr>
            <w:r>
              <w:rPr>
                <w:rFonts w:ascii="Arial" w:cs="Arial" w:eastAsia="Arial" w:hAnsi="Arial"/>
                <w:sz w:val="10"/>
                <w:szCs w:val="10"/>
                <w:color w:val="050505"/>
              </w:rPr>
              <w:t>Revenue:</w:t>
            </w: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r>
      <w:tr>
        <w:trPr>
          <w:trHeight w:val="108"/>
        </w:trPr>
        <w:tc>
          <w:tcPr>
            <w:tcW w:w="4680" w:type="dxa"/>
            <w:vAlign w:val="bottom"/>
            <w:shd w:val="clear" w:color="auto" w:fill="CCEEFF"/>
          </w:tcPr>
          <w:p>
            <w:pPr>
              <w:ind w:left="160"/>
              <w:spacing w:after="0" w:line="108" w:lineRule="exact"/>
              <w:rPr>
                <w:sz w:val="20"/>
                <w:szCs w:val="20"/>
                <w:color w:val="auto"/>
              </w:rPr>
            </w:pPr>
            <w:r>
              <w:rPr>
                <w:rFonts w:ascii="Arial" w:cs="Arial" w:eastAsia="Arial" w:hAnsi="Arial"/>
                <w:sz w:val="10"/>
                <w:szCs w:val="10"/>
                <w:color w:val="050505"/>
              </w:rPr>
              <w:t>Connected Fitness Products</w:t>
            </w:r>
          </w:p>
        </w:tc>
        <w:tc>
          <w:tcPr>
            <w:tcW w:w="160" w:type="dxa"/>
            <w:vAlign w:val="bottom"/>
            <w:shd w:val="clear" w:color="auto" w:fill="CCEEFF"/>
          </w:tcPr>
          <w:p>
            <w:pPr>
              <w:jc w:val="right"/>
              <w:ind w:right="49"/>
              <w:spacing w:after="0" w:line="108" w:lineRule="exact"/>
              <w:rPr>
                <w:sz w:val="20"/>
                <w:szCs w:val="20"/>
                <w:color w:val="auto"/>
              </w:rPr>
            </w:pPr>
            <w:r>
              <w:rPr>
                <w:rFonts w:ascii="Arial" w:cs="Arial" w:eastAsia="Arial" w:hAnsi="Arial"/>
                <w:sz w:val="10"/>
                <w:szCs w:val="10"/>
                <w:color w:val="050505"/>
                <w:w w:val="71"/>
              </w:rPr>
              <w:t>$</w:t>
            </w:r>
          </w:p>
        </w:tc>
        <w:tc>
          <w:tcPr>
            <w:tcW w:w="58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050505"/>
              </w:rPr>
              <w:t>183.5</w:t>
            </w:r>
          </w:p>
        </w:tc>
        <w:tc>
          <w:tcPr>
            <w:tcW w:w="120" w:type="dxa"/>
            <w:vAlign w:val="bottom"/>
            <w:shd w:val="clear" w:color="auto" w:fill="CCEEFF"/>
          </w:tcPr>
          <w:p>
            <w:pPr>
              <w:spacing w:after="0"/>
              <w:rPr>
                <w:sz w:val="9"/>
                <w:szCs w:val="9"/>
                <w:color w:val="auto"/>
              </w:rPr>
            </w:pPr>
          </w:p>
        </w:tc>
        <w:tc>
          <w:tcPr>
            <w:tcW w:w="140" w:type="dxa"/>
            <w:vAlign w:val="bottom"/>
            <w:tcBorders>
              <w:right w:val="single" w:sz="8" w:color="CCEEFF"/>
            </w:tcBorders>
            <w:shd w:val="clear" w:color="auto" w:fill="CCEEFF"/>
          </w:tcPr>
          <w:p>
            <w:pPr>
              <w:jc w:val="right"/>
              <w:spacing w:after="0" w:line="108" w:lineRule="exact"/>
              <w:rPr>
                <w:sz w:val="20"/>
                <w:szCs w:val="20"/>
                <w:color w:val="auto"/>
              </w:rPr>
            </w:pPr>
            <w:r>
              <w:rPr>
                <w:rFonts w:ascii="Arial" w:cs="Arial" w:eastAsia="Arial" w:hAnsi="Arial"/>
                <w:sz w:val="10"/>
                <w:szCs w:val="10"/>
                <w:color w:val="050505"/>
              </w:rPr>
              <w:t>$</w:t>
            </w:r>
          </w:p>
        </w:tc>
        <w:tc>
          <w:tcPr>
            <w:tcW w:w="68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050505"/>
              </w:rPr>
              <w:t>348.6</w:t>
            </w:r>
          </w:p>
        </w:tc>
        <w:tc>
          <w:tcPr>
            <w:tcW w:w="100" w:type="dxa"/>
            <w:vAlign w:val="bottom"/>
            <w:shd w:val="clear" w:color="auto" w:fill="CCEEFF"/>
          </w:tcPr>
          <w:p>
            <w:pPr>
              <w:spacing w:after="0"/>
              <w:rPr>
                <w:sz w:val="9"/>
                <w:szCs w:val="9"/>
                <w:color w:val="auto"/>
              </w:rPr>
            </w:pPr>
          </w:p>
        </w:tc>
        <w:tc>
          <w:tcPr>
            <w:tcW w:w="280" w:type="dxa"/>
            <w:vAlign w:val="bottom"/>
            <w:gridSpan w:val="2"/>
            <w:shd w:val="clear" w:color="auto" w:fill="CCEEFF"/>
          </w:tcPr>
          <w:p>
            <w:pPr>
              <w:jc w:val="right"/>
              <w:ind w:right="120"/>
              <w:spacing w:after="0" w:line="108" w:lineRule="exact"/>
              <w:rPr>
                <w:sz w:val="20"/>
                <w:szCs w:val="20"/>
                <w:color w:val="auto"/>
              </w:rPr>
            </w:pPr>
            <w:r>
              <w:rPr>
                <w:rFonts w:ascii="Arial" w:cs="Arial" w:eastAsia="Arial" w:hAnsi="Arial"/>
                <w:sz w:val="10"/>
                <w:szCs w:val="10"/>
                <w:color w:val="050505"/>
              </w:rPr>
              <w:t>$</w:t>
            </w:r>
          </w:p>
        </w:tc>
        <w:tc>
          <w:tcPr>
            <w:tcW w:w="56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050505"/>
              </w:rPr>
              <w:t>719.2</w:t>
            </w:r>
          </w:p>
        </w:tc>
        <w:tc>
          <w:tcPr>
            <w:tcW w:w="60" w:type="dxa"/>
            <w:vAlign w:val="bottom"/>
            <w:shd w:val="clear" w:color="auto" w:fill="CCEEFF"/>
          </w:tcPr>
          <w:p>
            <w:pPr>
              <w:spacing w:after="0"/>
              <w:rPr>
                <w:sz w:val="9"/>
                <w:szCs w:val="9"/>
                <w:color w:val="auto"/>
              </w:rPr>
            </w:pPr>
          </w:p>
        </w:tc>
      </w:tr>
      <w:tr>
        <w:trPr>
          <w:trHeight w:val="108"/>
        </w:trPr>
        <w:tc>
          <w:tcPr>
            <w:tcW w:w="4680" w:type="dxa"/>
            <w:vAlign w:val="bottom"/>
          </w:tcPr>
          <w:p>
            <w:pPr>
              <w:ind w:left="160"/>
              <w:spacing w:after="0" w:line="108" w:lineRule="exact"/>
              <w:rPr>
                <w:sz w:val="20"/>
                <w:szCs w:val="20"/>
                <w:color w:val="auto"/>
              </w:rPr>
            </w:pPr>
            <w:r>
              <w:rPr>
                <w:rFonts w:ascii="Arial" w:cs="Arial" w:eastAsia="Arial" w:hAnsi="Arial"/>
                <w:sz w:val="10"/>
                <w:szCs w:val="10"/>
                <w:color w:val="050505"/>
              </w:rPr>
              <w:t>Subscription</w:t>
            </w:r>
          </w:p>
        </w:tc>
        <w:tc>
          <w:tcPr>
            <w:tcW w:w="160" w:type="dxa"/>
            <w:vAlign w:val="bottom"/>
          </w:tcPr>
          <w:p>
            <w:pPr>
              <w:spacing w:after="0"/>
              <w:rPr>
                <w:sz w:val="9"/>
                <w:szCs w:val="9"/>
                <w:color w:val="auto"/>
              </w:rPr>
            </w:pPr>
          </w:p>
        </w:tc>
        <w:tc>
          <w:tcPr>
            <w:tcW w:w="580" w:type="dxa"/>
            <w:vAlign w:val="bottom"/>
          </w:tcPr>
          <w:p>
            <w:pPr>
              <w:jc w:val="right"/>
              <w:spacing w:after="0" w:line="108" w:lineRule="exact"/>
              <w:rPr>
                <w:sz w:val="20"/>
                <w:szCs w:val="20"/>
                <w:color w:val="auto"/>
              </w:rPr>
            </w:pPr>
            <w:r>
              <w:rPr>
                <w:rFonts w:ascii="Arial" w:cs="Arial" w:eastAsia="Arial" w:hAnsi="Arial"/>
                <w:sz w:val="10"/>
                <w:szCs w:val="10"/>
                <w:color w:val="050505"/>
              </w:rPr>
              <w:t>32.5</w:t>
            </w: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80" w:type="dxa"/>
            <w:vAlign w:val="bottom"/>
          </w:tcPr>
          <w:p>
            <w:pPr>
              <w:jc w:val="right"/>
              <w:spacing w:after="0" w:line="108" w:lineRule="exact"/>
              <w:rPr>
                <w:sz w:val="20"/>
                <w:szCs w:val="20"/>
                <w:color w:val="auto"/>
              </w:rPr>
            </w:pPr>
            <w:r>
              <w:rPr>
                <w:rFonts w:ascii="Arial" w:cs="Arial" w:eastAsia="Arial" w:hAnsi="Arial"/>
                <w:sz w:val="10"/>
                <w:szCs w:val="10"/>
                <w:color w:val="050505"/>
              </w:rPr>
              <w:t>80.3</w:t>
            </w: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560" w:type="dxa"/>
            <w:vAlign w:val="bottom"/>
          </w:tcPr>
          <w:p>
            <w:pPr>
              <w:jc w:val="right"/>
              <w:spacing w:after="0" w:line="108" w:lineRule="exact"/>
              <w:rPr>
                <w:sz w:val="20"/>
                <w:szCs w:val="20"/>
                <w:color w:val="auto"/>
              </w:rPr>
            </w:pPr>
            <w:r>
              <w:rPr>
                <w:rFonts w:ascii="Arial" w:cs="Arial" w:eastAsia="Arial" w:hAnsi="Arial"/>
                <w:sz w:val="10"/>
                <w:szCs w:val="10"/>
                <w:color w:val="050505"/>
              </w:rPr>
              <w:t>181.1</w:t>
            </w:r>
          </w:p>
        </w:tc>
        <w:tc>
          <w:tcPr>
            <w:tcW w:w="60" w:type="dxa"/>
            <w:vAlign w:val="bottom"/>
          </w:tcPr>
          <w:p>
            <w:pPr>
              <w:spacing w:after="0"/>
              <w:rPr>
                <w:sz w:val="9"/>
                <w:szCs w:val="9"/>
                <w:color w:val="auto"/>
              </w:rPr>
            </w:pPr>
          </w:p>
        </w:tc>
      </w:tr>
      <w:tr>
        <w:trPr>
          <w:trHeight w:val="108"/>
        </w:trPr>
        <w:tc>
          <w:tcPr>
            <w:tcW w:w="4680" w:type="dxa"/>
            <w:vAlign w:val="bottom"/>
            <w:shd w:val="clear" w:color="auto" w:fill="CCEEFF"/>
          </w:tcPr>
          <w:p>
            <w:pPr>
              <w:ind w:left="160"/>
              <w:spacing w:after="0" w:line="108" w:lineRule="exact"/>
              <w:rPr>
                <w:sz w:val="20"/>
                <w:szCs w:val="20"/>
                <w:color w:val="auto"/>
              </w:rPr>
            </w:pPr>
            <w:r>
              <w:rPr>
                <w:rFonts w:ascii="Arial" w:cs="Arial" w:eastAsia="Arial" w:hAnsi="Arial"/>
                <w:sz w:val="10"/>
                <w:szCs w:val="10"/>
                <w:color w:val="050505"/>
              </w:rPr>
              <w:t>Other</w:t>
            </w:r>
          </w:p>
        </w:tc>
        <w:tc>
          <w:tcPr>
            <w:tcW w:w="160" w:type="dxa"/>
            <w:vAlign w:val="bottom"/>
            <w:tcBorders>
              <w:bottom w:val="single" w:sz="8" w:color="auto"/>
            </w:tcBorders>
            <w:shd w:val="clear" w:color="auto" w:fill="CCEEFF"/>
          </w:tcPr>
          <w:p>
            <w:pPr>
              <w:spacing w:after="0"/>
              <w:rPr>
                <w:sz w:val="9"/>
                <w:szCs w:val="9"/>
                <w:color w:val="auto"/>
              </w:rPr>
            </w:pPr>
          </w:p>
        </w:tc>
        <w:tc>
          <w:tcPr>
            <w:tcW w:w="580" w:type="dxa"/>
            <w:vAlign w:val="bottom"/>
            <w:tcBorders>
              <w:bottom w:val="single" w:sz="8" w:color="auto"/>
            </w:tcBorders>
            <w:shd w:val="clear" w:color="auto" w:fill="CCEEFF"/>
          </w:tcPr>
          <w:p>
            <w:pPr>
              <w:jc w:val="right"/>
              <w:spacing w:after="0" w:line="108" w:lineRule="exact"/>
              <w:rPr>
                <w:sz w:val="20"/>
                <w:szCs w:val="20"/>
                <w:color w:val="auto"/>
              </w:rPr>
            </w:pPr>
            <w:r>
              <w:rPr>
                <w:rFonts w:ascii="Arial" w:cs="Arial" w:eastAsia="Arial" w:hAnsi="Arial"/>
                <w:sz w:val="10"/>
                <w:szCs w:val="10"/>
                <w:color w:val="050505"/>
              </w:rPr>
              <w:t>2.6</w:t>
            </w:r>
          </w:p>
        </w:tc>
        <w:tc>
          <w:tcPr>
            <w:tcW w:w="120" w:type="dxa"/>
            <w:vAlign w:val="bottom"/>
            <w:shd w:val="clear" w:color="auto" w:fill="CCEEFF"/>
          </w:tcPr>
          <w:p>
            <w:pPr>
              <w:spacing w:after="0"/>
              <w:rPr>
                <w:sz w:val="9"/>
                <w:szCs w:val="9"/>
                <w:color w:val="auto"/>
              </w:rPr>
            </w:pPr>
          </w:p>
        </w:tc>
        <w:tc>
          <w:tcPr>
            <w:tcW w:w="140" w:type="dxa"/>
            <w:vAlign w:val="bottom"/>
            <w:tcBorders>
              <w:right w:val="single" w:sz="8" w:color="CCEEFF"/>
            </w:tcBorders>
            <w:shd w:val="clear" w:color="auto" w:fill="CCEEFF"/>
          </w:tcPr>
          <w:p>
            <w:pPr>
              <w:spacing w:after="0"/>
              <w:rPr>
                <w:sz w:val="9"/>
                <w:szCs w:val="9"/>
                <w:color w:val="auto"/>
              </w:rPr>
            </w:pPr>
          </w:p>
        </w:tc>
        <w:tc>
          <w:tcPr>
            <w:tcW w:w="680" w:type="dxa"/>
            <w:vAlign w:val="bottom"/>
            <w:tcBorders>
              <w:bottom w:val="single" w:sz="8" w:color="auto"/>
            </w:tcBorders>
            <w:shd w:val="clear" w:color="auto" w:fill="CCEEFF"/>
          </w:tcPr>
          <w:p>
            <w:pPr>
              <w:jc w:val="right"/>
              <w:spacing w:after="0" w:line="108" w:lineRule="exact"/>
              <w:rPr>
                <w:sz w:val="20"/>
                <w:szCs w:val="20"/>
                <w:color w:val="auto"/>
              </w:rPr>
            </w:pPr>
            <w:r>
              <w:rPr>
                <w:rFonts w:ascii="Arial" w:cs="Arial" w:eastAsia="Arial" w:hAnsi="Arial"/>
                <w:sz w:val="10"/>
                <w:szCs w:val="10"/>
                <w:color w:val="050505"/>
              </w:rPr>
              <w:t>6.2</w:t>
            </w: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80" w:type="dxa"/>
            <w:vAlign w:val="bottom"/>
            <w:tcBorders>
              <w:bottom w:val="single" w:sz="8" w:color="auto"/>
            </w:tcBorders>
            <w:shd w:val="clear" w:color="auto" w:fill="CCEEFF"/>
          </w:tcPr>
          <w:p>
            <w:pPr>
              <w:spacing w:after="0"/>
              <w:rPr>
                <w:sz w:val="9"/>
                <w:szCs w:val="9"/>
                <w:color w:val="auto"/>
              </w:rPr>
            </w:pPr>
          </w:p>
        </w:tc>
        <w:tc>
          <w:tcPr>
            <w:tcW w:w="560" w:type="dxa"/>
            <w:vAlign w:val="bottom"/>
            <w:tcBorders>
              <w:bottom w:val="single" w:sz="8" w:color="auto"/>
            </w:tcBorders>
            <w:shd w:val="clear" w:color="auto" w:fill="CCEEFF"/>
          </w:tcPr>
          <w:p>
            <w:pPr>
              <w:jc w:val="right"/>
              <w:spacing w:after="0" w:line="108" w:lineRule="exact"/>
              <w:rPr>
                <w:sz w:val="20"/>
                <w:szCs w:val="20"/>
                <w:color w:val="auto"/>
              </w:rPr>
            </w:pPr>
            <w:r>
              <w:rPr>
                <w:rFonts w:ascii="Arial" w:cs="Arial" w:eastAsia="Arial" w:hAnsi="Arial"/>
                <w:sz w:val="10"/>
                <w:szCs w:val="10"/>
                <w:color w:val="050505"/>
              </w:rPr>
              <w:t>14.7</w:t>
            </w:r>
          </w:p>
        </w:tc>
        <w:tc>
          <w:tcPr>
            <w:tcW w:w="60" w:type="dxa"/>
            <w:vAlign w:val="bottom"/>
            <w:shd w:val="clear" w:color="auto" w:fill="CCEEFF"/>
          </w:tcPr>
          <w:p>
            <w:pPr>
              <w:spacing w:after="0"/>
              <w:rPr>
                <w:sz w:val="9"/>
                <w:szCs w:val="9"/>
                <w:color w:val="auto"/>
              </w:rPr>
            </w:pPr>
          </w:p>
        </w:tc>
      </w:tr>
      <w:tr>
        <w:trPr>
          <w:trHeight w:val="106"/>
        </w:trPr>
        <w:tc>
          <w:tcPr>
            <w:tcW w:w="4680" w:type="dxa"/>
            <w:vAlign w:val="bottom"/>
          </w:tcPr>
          <w:p>
            <w:pPr>
              <w:ind w:left="260"/>
              <w:spacing w:after="0" w:line="106" w:lineRule="exact"/>
              <w:rPr>
                <w:sz w:val="20"/>
                <w:szCs w:val="20"/>
                <w:color w:val="auto"/>
              </w:rPr>
            </w:pPr>
            <w:r>
              <w:rPr>
                <w:rFonts w:ascii="Arial" w:cs="Arial" w:eastAsia="Arial" w:hAnsi="Arial"/>
                <w:sz w:val="10"/>
                <w:szCs w:val="10"/>
                <w:color w:val="050505"/>
              </w:rPr>
              <w:t>Total revenue</w:t>
            </w:r>
          </w:p>
        </w:tc>
        <w:tc>
          <w:tcPr>
            <w:tcW w:w="16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jc w:val="right"/>
              <w:spacing w:after="0" w:line="106" w:lineRule="exact"/>
              <w:rPr>
                <w:sz w:val="20"/>
                <w:szCs w:val="20"/>
                <w:color w:val="auto"/>
              </w:rPr>
            </w:pPr>
            <w:r>
              <w:rPr>
                <w:rFonts w:ascii="Arial" w:cs="Arial" w:eastAsia="Arial" w:hAnsi="Arial"/>
                <w:sz w:val="10"/>
                <w:szCs w:val="10"/>
                <w:color w:val="050505"/>
              </w:rPr>
              <w:t>218.6</w:t>
            </w: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80" w:type="dxa"/>
            <w:vAlign w:val="bottom"/>
            <w:tcBorders>
              <w:bottom w:val="single" w:sz="8" w:color="auto"/>
            </w:tcBorders>
          </w:tcPr>
          <w:p>
            <w:pPr>
              <w:jc w:val="right"/>
              <w:spacing w:after="0" w:line="106" w:lineRule="exact"/>
              <w:rPr>
                <w:sz w:val="20"/>
                <w:szCs w:val="20"/>
                <w:color w:val="auto"/>
              </w:rPr>
            </w:pPr>
            <w:r>
              <w:rPr>
                <w:rFonts w:ascii="Arial" w:cs="Arial" w:eastAsia="Arial" w:hAnsi="Arial"/>
                <w:sz w:val="10"/>
                <w:szCs w:val="10"/>
                <w:color w:val="050505"/>
              </w:rPr>
              <w:t>435.0</w:t>
            </w: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jc w:val="right"/>
              <w:spacing w:after="0" w:line="106" w:lineRule="exact"/>
              <w:rPr>
                <w:sz w:val="20"/>
                <w:szCs w:val="20"/>
                <w:color w:val="auto"/>
              </w:rPr>
            </w:pPr>
            <w:r>
              <w:rPr>
                <w:rFonts w:ascii="Arial" w:cs="Arial" w:eastAsia="Arial" w:hAnsi="Arial"/>
                <w:sz w:val="10"/>
                <w:szCs w:val="10"/>
                <w:color w:val="050505"/>
              </w:rPr>
              <w:t>915.0</w:t>
            </w:r>
          </w:p>
        </w:tc>
        <w:tc>
          <w:tcPr>
            <w:tcW w:w="60" w:type="dxa"/>
            <w:vAlign w:val="bottom"/>
          </w:tcPr>
          <w:p>
            <w:pPr>
              <w:spacing w:after="0"/>
              <w:rPr>
                <w:sz w:val="9"/>
                <w:szCs w:val="9"/>
                <w:color w:val="auto"/>
              </w:rPr>
            </w:pPr>
          </w:p>
        </w:tc>
      </w:tr>
      <w:tr>
        <w:trPr>
          <w:trHeight w:val="106"/>
        </w:trPr>
        <w:tc>
          <w:tcPr>
            <w:tcW w:w="4680" w:type="dxa"/>
            <w:vAlign w:val="bottom"/>
            <w:shd w:val="clear" w:color="auto" w:fill="CCEEFF"/>
          </w:tcPr>
          <w:p>
            <w:pPr>
              <w:spacing w:after="0" w:line="106" w:lineRule="exact"/>
              <w:rPr>
                <w:sz w:val="20"/>
                <w:szCs w:val="20"/>
                <w:color w:val="auto"/>
              </w:rPr>
            </w:pPr>
            <w:r>
              <w:rPr>
                <w:rFonts w:ascii="Arial" w:cs="Arial" w:eastAsia="Arial" w:hAnsi="Arial"/>
                <w:sz w:val="10"/>
                <w:szCs w:val="10"/>
                <w:color w:val="050505"/>
              </w:rPr>
              <w:t>Cost of revenue</w:t>
            </w:r>
            <w:r>
              <w:rPr>
                <w:rFonts w:ascii="Arial" w:cs="Arial" w:eastAsia="Arial" w:hAnsi="Arial"/>
                <w:sz w:val="8"/>
                <w:szCs w:val="8"/>
                <w:color w:val="050505"/>
              </w:rPr>
              <w:t>(1)(2)</w:t>
            </w:r>
            <w:r>
              <w:rPr>
                <w:rFonts w:ascii="Arial" w:cs="Arial" w:eastAsia="Arial" w:hAnsi="Arial"/>
                <w:sz w:val="10"/>
                <w:szCs w:val="10"/>
                <w:color w:val="050505"/>
              </w:rPr>
              <w:t>:</w:t>
            </w:r>
          </w:p>
        </w:tc>
        <w:tc>
          <w:tcPr>
            <w:tcW w:w="16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40" w:type="dxa"/>
            <w:vAlign w:val="bottom"/>
            <w:tcBorders>
              <w:right w:val="single" w:sz="8" w:color="CCEEFF"/>
            </w:tcBorders>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r>
      <w:tr>
        <w:trPr>
          <w:trHeight w:val="108"/>
        </w:trPr>
        <w:tc>
          <w:tcPr>
            <w:tcW w:w="4680" w:type="dxa"/>
            <w:vAlign w:val="bottom"/>
          </w:tcPr>
          <w:p>
            <w:pPr>
              <w:ind w:left="160"/>
              <w:spacing w:after="0" w:line="108" w:lineRule="exact"/>
              <w:rPr>
                <w:sz w:val="20"/>
                <w:szCs w:val="20"/>
                <w:color w:val="auto"/>
              </w:rPr>
            </w:pPr>
            <w:r>
              <w:rPr>
                <w:rFonts w:ascii="Arial" w:cs="Arial" w:eastAsia="Arial" w:hAnsi="Arial"/>
                <w:sz w:val="10"/>
                <w:szCs w:val="10"/>
                <w:color w:val="050505"/>
              </w:rPr>
              <w:t>Connected Fitness Products</w:t>
            </w:r>
          </w:p>
        </w:tc>
        <w:tc>
          <w:tcPr>
            <w:tcW w:w="160" w:type="dxa"/>
            <w:vAlign w:val="bottom"/>
          </w:tcPr>
          <w:p>
            <w:pPr>
              <w:spacing w:after="0"/>
              <w:rPr>
                <w:sz w:val="9"/>
                <w:szCs w:val="9"/>
                <w:color w:val="auto"/>
              </w:rPr>
            </w:pPr>
          </w:p>
        </w:tc>
        <w:tc>
          <w:tcPr>
            <w:tcW w:w="580" w:type="dxa"/>
            <w:vAlign w:val="bottom"/>
          </w:tcPr>
          <w:p>
            <w:pPr>
              <w:jc w:val="right"/>
              <w:spacing w:after="0" w:line="108" w:lineRule="exact"/>
              <w:rPr>
                <w:sz w:val="20"/>
                <w:szCs w:val="20"/>
                <w:color w:val="auto"/>
              </w:rPr>
            </w:pPr>
            <w:r>
              <w:rPr>
                <w:rFonts w:ascii="Arial" w:cs="Arial" w:eastAsia="Arial" w:hAnsi="Arial"/>
                <w:sz w:val="10"/>
                <w:szCs w:val="10"/>
                <w:color w:val="050505"/>
              </w:rPr>
              <w:t>113.5</w:t>
            </w: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80" w:type="dxa"/>
            <w:vAlign w:val="bottom"/>
          </w:tcPr>
          <w:p>
            <w:pPr>
              <w:jc w:val="right"/>
              <w:spacing w:after="0" w:line="108" w:lineRule="exact"/>
              <w:rPr>
                <w:sz w:val="20"/>
                <w:szCs w:val="20"/>
                <w:color w:val="auto"/>
              </w:rPr>
            </w:pPr>
            <w:r>
              <w:rPr>
                <w:rFonts w:ascii="Arial" w:cs="Arial" w:eastAsia="Arial" w:hAnsi="Arial"/>
                <w:sz w:val="10"/>
                <w:szCs w:val="10"/>
                <w:color w:val="050505"/>
              </w:rPr>
              <w:t>195.0</w:t>
            </w: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560" w:type="dxa"/>
            <w:vAlign w:val="bottom"/>
          </w:tcPr>
          <w:p>
            <w:pPr>
              <w:jc w:val="right"/>
              <w:spacing w:after="0" w:line="108" w:lineRule="exact"/>
              <w:rPr>
                <w:sz w:val="20"/>
                <w:szCs w:val="20"/>
                <w:color w:val="auto"/>
              </w:rPr>
            </w:pPr>
            <w:r>
              <w:rPr>
                <w:rFonts w:ascii="Arial" w:cs="Arial" w:eastAsia="Arial" w:hAnsi="Arial"/>
                <w:sz w:val="10"/>
                <w:szCs w:val="10"/>
                <w:color w:val="050505"/>
              </w:rPr>
              <w:t>410.8</w:t>
            </w:r>
          </w:p>
        </w:tc>
        <w:tc>
          <w:tcPr>
            <w:tcW w:w="60" w:type="dxa"/>
            <w:vAlign w:val="bottom"/>
          </w:tcPr>
          <w:p>
            <w:pPr>
              <w:spacing w:after="0"/>
              <w:rPr>
                <w:sz w:val="9"/>
                <w:szCs w:val="9"/>
                <w:color w:val="auto"/>
              </w:rPr>
            </w:pPr>
          </w:p>
        </w:tc>
      </w:tr>
      <w:tr>
        <w:trPr>
          <w:trHeight w:val="108"/>
        </w:trPr>
        <w:tc>
          <w:tcPr>
            <w:tcW w:w="4680" w:type="dxa"/>
            <w:vAlign w:val="bottom"/>
            <w:shd w:val="clear" w:color="auto" w:fill="CCEEFF"/>
          </w:tcPr>
          <w:p>
            <w:pPr>
              <w:ind w:left="160"/>
              <w:spacing w:after="0" w:line="108" w:lineRule="exact"/>
              <w:rPr>
                <w:sz w:val="20"/>
                <w:szCs w:val="20"/>
                <w:color w:val="auto"/>
              </w:rPr>
            </w:pPr>
            <w:r>
              <w:rPr>
                <w:rFonts w:ascii="Arial" w:cs="Arial" w:eastAsia="Arial" w:hAnsi="Arial"/>
                <w:sz w:val="10"/>
                <w:szCs w:val="10"/>
                <w:color w:val="050505"/>
              </w:rPr>
              <w:t>Subscription</w:t>
            </w:r>
            <w:r>
              <w:rPr>
                <w:rFonts w:ascii="Arial" w:cs="Arial" w:eastAsia="Arial" w:hAnsi="Arial"/>
                <w:sz w:val="8"/>
                <w:szCs w:val="8"/>
                <w:color w:val="050505"/>
              </w:rPr>
              <w:t>(3)</w:t>
            </w:r>
          </w:p>
        </w:tc>
        <w:tc>
          <w:tcPr>
            <w:tcW w:w="160" w:type="dxa"/>
            <w:vAlign w:val="bottom"/>
            <w:shd w:val="clear" w:color="auto" w:fill="CCEEFF"/>
          </w:tcPr>
          <w:p>
            <w:pPr>
              <w:spacing w:after="0"/>
              <w:rPr>
                <w:sz w:val="9"/>
                <w:szCs w:val="9"/>
                <w:color w:val="auto"/>
              </w:rPr>
            </w:pPr>
          </w:p>
        </w:tc>
        <w:tc>
          <w:tcPr>
            <w:tcW w:w="58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050505"/>
              </w:rPr>
              <w:t>29.3</w:t>
            </w:r>
          </w:p>
        </w:tc>
        <w:tc>
          <w:tcPr>
            <w:tcW w:w="120" w:type="dxa"/>
            <w:vAlign w:val="bottom"/>
            <w:shd w:val="clear" w:color="auto" w:fill="CCEEFF"/>
          </w:tcPr>
          <w:p>
            <w:pPr>
              <w:spacing w:after="0"/>
              <w:rPr>
                <w:sz w:val="9"/>
                <w:szCs w:val="9"/>
                <w:color w:val="auto"/>
              </w:rPr>
            </w:pPr>
          </w:p>
        </w:tc>
        <w:tc>
          <w:tcPr>
            <w:tcW w:w="140" w:type="dxa"/>
            <w:vAlign w:val="bottom"/>
            <w:tcBorders>
              <w:right w:val="single" w:sz="8" w:color="CCEEFF"/>
            </w:tcBorders>
            <w:shd w:val="clear" w:color="auto" w:fill="CCEEFF"/>
          </w:tcPr>
          <w:p>
            <w:pPr>
              <w:spacing w:after="0"/>
              <w:rPr>
                <w:sz w:val="9"/>
                <w:szCs w:val="9"/>
                <w:color w:val="auto"/>
              </w:rPr>
            </w:pPr>
          </w:p>
        </w:tc>
        <w:tc>
          <w:tcPr>
            <w:tcW w:w="68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050505"/>
              </w:rPr>
              <w:t>45.5</w:t>
            </w: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56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050505"/>
              </w:rPr>
              <w:t>103.7</w:t>
            </w:r>
          </w:p>
        </w:tc>
        <w:tc>
          <w:tcPr>
            <w:tcW w:w="60" w:type="dxa"/>
            <w:vAlign w:val="bottom"/>
            <w:shd w:val="clear" w:color="auto" w:fill="CCEEFF"/>
          </w:tcPr>
          <w:p>
            <w:pPr>
              <w:spacing w:after="0"/>
              <w:rPr>
                <w:sz w:val="9"/>
                <w:szCs w:val="9"/>
                <w:color w:val="auto"/>
              </w:rPr>
            </w:pPr>
          </w:p>
        </w:tc>
      </w:tr>
      <w:tr>
        <w:trPr>
          <w:trHeight w:val="108"/>
        </w:trPr>
        <w:tc>
          <w:tcPr>
            <w:tcW w:w="4680" w:type="dxa"/>
            <w:vAlign w:val="bottom"/>
          </w:tcPr>
          <w:p>
            <w:pPr>
              <w:ind w:left="160"/>
              <w:spacing w:after="0" w:line="108" w:lineRule="exact"/>
              <w:rPr>
                <w:sz w:val="20"/>
                <w:szCs w:val="20"/>
                <w:color w:val="auto"/>
              </w:rPr>
            </w:pPr>
            <w:r>
              <w:rPr>
                <w:rFonts w:ascii="Arial" w:cs="Arial" w:eastAsia="Arial" w:hAnsi="Arial"/>
                <w:sz w:val="10"/>
                <w:szCs w:val="10"/>
                <w:color w:val="050505"/>
              </w:rPr>
              <w:t>Other</w:t>
            </w:r>
          </w:p>
        </w:tc>
        <w:tc>
          <w:tcPr>
            <w:tcW w:w="16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jc w:val="right"/>
              <w:spacing w:after="0" w:line="108" w:lineRule="exact"/>
              <w:rPr>
                <w:sz w:val="20"/>
                <w:szCs w:val="20"/>
                <w:color w:val="auto"/>
              </w:rPr>
            </w:pPr>
            <w:r>
              <w:rPr>
                <w:rFonts w:ascii="Arial" w:cs="Arial" w:eastAsia="Arial" w:hAnsi="Arial"/>
                <w:sz w:val="10"/>
                <w:szCs w:val="10"/>
                <w:color w:val="050505"/>
              </w:rPr>
              <w:t>1.9</w:t>
            </w: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80" w:type="dxa"/>
            <w:vAlign w:val="bottom"/>
            <w:tcBorders>
              <w:bottom w:val="single" w:sz="8" w:color="auto"/>
            </w:tcBorders>
          </w:tcPr>
          <w:p>
            <w:pPr>
              <w:jc w:val="right"/>
              <w:spacing w:after="0" w:line="108" w:lineRule="exact"/>
              <w:rPr>
                <w:sz w:val="20"/>
                <w:szCs w:val="20"/>
                <w:color w:val="auto"/>
              </w:rPr>
            </w:pPr>
            <w:r>
              <w:rPr>
                <w:rFonts w:ascii="Arial" w:cs="Arial" w:eastAsia="Arial" w:hAnsi="Arial"/>
                <w:sz w:val="10"/>
                <w:szCs w:val="10"/>
                <w:color w:val="050505"/>
              </w:rPr>
              <w:t>4.9</w:t>
            </w: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jc w:val="right"/>
              <w:spacing w:after="0" w:line="108" w:lineRule="exact"/>
              <w:rPr>
                <w:sz w:val="20"/>
                <w:szCs w:val="20"/>
                <w:color w:val="auto"/>
              </w:rPr>
            </w:pPr>
            <w:r>
              <w:rPr>
                <w:rFonts w:ascii="Arial" w:cs="Arial" w:eastAsia="Arial" w:hAnsi="Arial"/>
                <w:sz w:val="10"/>
                <w:szCs w:val="10"/>
                <w:color w:val="050505"/>
              </w:rPr>
              <w:t>17.0</w:t>
            </w:r>
          </w:p>
        </w:tc>
        <w:tc>
          <w:tcPr>
            <w:tcW w:w="60" w:type="dxa"/>
            <w:vAlign w:val="bottom"/>
          </w:tcPr>
          <w:p>
            <w:pPr>
              <w:spacing w:after="0"/>
              <w:rPr>
                <w:sz w:val="9"/>
                <w:szCs w:val="9"/>
                <w:color w:val="auto"/>
              </w:rPr>
            </w:pPr>
          </w:p>
        </w:tc>
      </w:tr>
      <w:tr>
        <w:trPr>
          <w:trHeight w:val="106"/>
        </w:trPr>
        <w:tc>
          <w:tcPr>
            <w:tcW w:w="4680" w:type="dxa"/>
            <w:vAlign w:val="bottom"/>
            <w:shd w:val="clear" w:color="auto" w:fill="CCEEFF"/>
          </w:tcPr>
          <w:p>
            <w:pPr>
              <w:ind w:left="260"/>
              <w:spacing w:after="0" w:line="106" w:lineRule="exact"/>
              <w:rPr>
                <w:sz w:val="20"/>
                <w:szCs w:val="20"/>
                <w:color w:val="auto"/>
              </w:rPr>
            </w:pPr>
            <w:r>
              <w:rPr>
                <w:rFonts w:ascii="Arial" w:cs="Arial" w:eastAsia="Arial" w:hAnsi="Arial"/>
                <w:sz w:val="10"/>
                <w:szCs w:val="10"/>
                <w:color w:val="050505"/>
              </w:rPr>
              <w:t>Total cost of revenue</w:t>
            </w:r>
          </w:p>
        </w:tc>
        <w:tc>
          <w:tcPr>
            <w:tcW w:w="160" w:type="dxa"/>
            <w:vAlign w:val="bottom"/>
            <w:tcBorders>
              <w:bottom w:val="single" w:sz="8" w:color="auto"/>
            </w:tcBorders>
            <w:shd w:val="clear" w:color="auto" w:fill="CCEEFF"/>
          </w:tcPr>
          <w:p>
            <w:pPr>
              <w:spacing w:after="0"/>
              <w:rPr>
                <w:sz w:val="9"/>
                <w:szCs w:val="9"/>
                <w:color w:val="auto"/>
              </w:rPr>
            </w:pPr>
          </w:p>
        </w:tc>
        <w:tc>
          <w:tcPr>
            <w:tcW w:w="580" w:type="dxa"/>
            <w:vAlign w:val="bottom"/>
            <w:tcBorders>
              <w:bottom w:val="single" w:sz="8" w:color="auto"/>
            </w:tcBorders>
            <w:shd w:val="clear" w:color="auto" w:fill="CCEEFF"/>
          </w:tcPr>
          <w:p>
            <w:pPr>
              <w:jc w:val="right"/>
              <w:spacing w:after="0" w:line="106" w:lineRule="exact"/>
              <w:rPr>
                <w:sz w:val="20"/>
                <w:szCs w:val="20"/>
                <w:color w:val="auto"/>
              </w:rPr>
            </w:pPr>
            <w:r>
              <w:rPr>
                <w:rFonts w:ascii="Arial" w:cs="Arial" w:eastAsia="Arial" w:hAnsi="Arial"/>
                <w:sz w:val="10"/>
                <w:szCs w:val="10"/>
                <w:color w:val="050505"/>
              </w:rPr>
              <w:t>144.7</w:t>
            </w:r>
          </w:p>
        </w:tc>
        <w:tc>
          <w:tcPr>
            <w:tcW w:w="120" w:type="dxa"/>
            <w:vAlign w:val="bottom"/>
            <w:shd w:val="clear" w:color="auto" w:fill="CCEEFF"/>
          </w:tcPr>
          <w:p>
            <w:pPr>
              <w:spacing w:after="0"/>
              <w:rPr>
                <w:sz w:val="9"/>
                <w:szCs w:val="9"/>
                <w:color w:val="auto"/>
              </w:rPr>
            </w:pPr>
          </w:p>
        </w:tc>
        <w:tc>
          <w:tcPr>
            <w:tcW w:w="140" w:type="dxa"/>
            <w:vAlign w:val="bottom"/>
            <w:tcBorders>
              <w:right w:val="single" w:sz="8" w:color="CCEEFF"/>
            </w:tcBorders>
            <w:shd w:val="clear" w:color="auto" w:fill="CCEEFF"/>
          </w:tcPr>
          <w:p>
            <w:pPr>
              <w:spacing w:after="0"/>
              <w:rPr>
                <w:sz w:val="9"/>
                <w:szCs w:val="9"/>
                <w:color w:val="auto"/>
              </w:rPr>
            </w:pPr>
          </w:p>
        </w:tc>
        <w:tc>
          <w:tcPr>
            <w:tcW w:w="680" w:type="dxa"/>
            <w:vAlign w:val="bottom"/>
            <w:tcBorders>
              <w:bottom w:val="single" w:sz="8" w:color="auto"/>
            </w:tcBorders>
            <w:shd w:val="clear" w:color="auto" w:fill="CCEEFF"/>
          </w:tcPr>
          <w:p>
            <w:pPr>
              <w:jc w:val="right"/>
              <w:spacing w:after="0" w:line="106" w:lineRule="exact"/>
              <w:rPr>
                <w:sz w:val="20"/>
                <w:szCs w:val="20"/>
                <w:color w:val="auto"/>
              </w:rPr>
            </w:pPr>
            <w:r>
              <w:rPr>
                <w:rFonts w:ascii="Arial" w:cs="Arial" w:eastAsia="Arial" w:hAnsi="Arial"/>
                <w:sz w:val="10"/>
                <w:szCs w:val="10"/>
                <w:color w:val="050505"/>
              </w:rPr>
              <w:t>245.4</w:t>
            </w: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80" w:type="dxa"/>
            <w:vAlign w:val="bottom"/>
            <w:tcBorders>
              <w:bottom w:val="single" w:sz="8" w:color="auto"/>
            </w:tcBorders>
            <w:shd w:val="clear" w:color="auto" w:fill="CCEEFF"/>
          </w:tcPr>
          <w:p>
            <w:pPr>
              <w:spacing w:after="0"/>
              <w:rPr>
                <w:sz w:val="9"/>
                <w:szCs w:val="9"/>
                <w:color w:val="auto"/>
              </w:rPr>
            </w:pPr>
          </w:p>
        </w:tc>
        <w:tc>
          <w:tcPr>
            <w:tcW w:w="560" w:type="dxa"/>
            <w:vAlign w:val="bottom"/>
            <w:tcBorders>
              <w:bottom w:val="single" w:sz="8" w:color="auto"/>
            </w:tcBorders>
            <w:shd w:val="clear" w:color="auto" w:fill="CCEEFF"/>
          </w:tcPr>
          <w:p>
            <w:pPr>
              <w:jc w:val="right"/>
              <w:spacing w:after="0" w:line="106" w:lineRule="exact"/>
              <w:rPr>
                <w:sz w:val="20"/>
                <w:szCs w:val="20"/>
                <w:color w:val="auto"/>
              </w:rPr>
            </w:pPr>
            <w:r>
              <w:rPr>
                <w:rFonts w:ascii="Arial" w:cs="Arial" w:eastAsia="Arial" w:hAnsi="Arial"/>
                <w:sz w:val="10"/>
                <w:szCs w:val="10"/>
                <w:color w:val="050505"/>
              </w:rPr>
              <w:t>531.4</w:t>
            </w:r>
          </w:p>
        </w:tc>
        <w:tc>
          <w:tcPr>
            <w:tcW w:w="60" w:type="dxa"/>
            <w:vAlign w:val="bottom"/>
            <w:shd w:val="clear" w:color="auto" w:fill="CCEEFF"/>
          </w:tcPr>
          <w:p>
            <w:pPr>
              <w:spacing w:after="0"/>
              <w:rPr>
                <w:sz w:val="9"/>
                <w:szCs w:val="9"/>
                <w:color w:val="auto"/>
              </w:rPr>
            </w:pPr>
          </w:p>
        </w:tc>
      </w:tr>
      <w:tr>
        <w:trPr>
          <w:trHeight w:val="106"/>
        </w:trPr>
        <w:tc>
          <w:tcPr>
            <w:tcW w:w="4680" w:type="dxa"/>
            <w:vAlign w:val="bottom"/>
          </w:tcPr>
          <w:p>
            <w:pPr>
              <w:spacing w:after="0" w:line="106" w:lineRule="exact"/>
              <w:rPr>
                <w:sz w:val="20"/>
                <w:szCs w:val="20"/>
                <w:color w:val="auto"/>
              </w:rPr>
            </w:pPr>
            <w:r>
              <w:rPr>
                <w:rFonts w:ascii="Arial" w:cs="Arial" w:eastAsia="Arial" w:hAnsi="Arial"/>
                <w:sz w:val="10"/>
                <w:szCs w:val="10"/>
                <w:color w:val="050505"/>
              </w:rPr>
              <w:t>Gross profit</w:t>
            </w:r>
          </w:p>
        </w:tc>
        <w:tc>
          <w:tcPr>
            <w:tcW w:w="160" w:type="dxa"/>
            <w:vAlign w:val="bottom"/>
          </w:tcPr>
          <w:p>
            <w:pPr>
              <w:spacing w:after="0"/>
              <w:rPr>
                <w:sz w:val="9"/>
                <w:szCs w:val="9"/>
                <w:color w:val="auto"/>
              </w:rPr>
            </w:pPr>
          </w:p>
        </w:tc>
        <w:tc>
          <w:tcPr>
            <w:tcW w:w="580" w:type="dxa"/>
            <w:vAlign w:val="bottom"/>
          </w:tcPr>
          <w:p>
            <w:pPr>
              <w:jc w:val="right"/>
              <w:spacing w:after="0" w:line="106" w:lineRule="exact"/>
              <w:rPr>
                <w:sz w:val="20"/>
                <w:szCs w:val="20"/>
                <w:color w:val="auto"/>
              </w:rPr>
            </w:pPr>
            <w:r>
              <w:rPr>
                <w:rFonts w:ascii="Arial" w:cs="Arial" w:eastAsia="Arial" w:hAnsi="Arial"/>
                <w:sz w:val="10"/>
                <w:szCs w:val="10"/>
                <w:color w:val="050505"/>
              </w:rPr>
              <w:t>73.9</w:t>
            </w: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80" w:type="dxa"/>
            <w:vAlign w:val="bottom"/>
          </w:tcPr>
          <w:p>
            <w:pPr>
              <w:jc w:val="right"/>
              <w:spacing w:after="0" w:line="106" w:lineRule="exact"/>
              <w:rPr>
                <w:sz w:val="20"/>
                <w:szCs w:val="20"/>
                <w:color w:val="auto"/>
              </w:rPr>
            </w:pPr>
            <w:r>
              <w:rPr>
                <w:rFonts w:ascii="Arial" w:cs="Arial" w:eastAsia="Arial" w:hAnsi="Arial"/>
                <w:sz w:val="10"/>
                <w:szCs w:val="10"/>
                <w:color w:val="050505"/>
              </w:rPr>
              <w:t>189.6</w:t>
            </w: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560" w:type="dxa"/>
            <w:vAlign w:val="bottom"/>
          </w:tcPr>
          <w:p>
            <w:pPr>
              <w:jc w:val="right"/>
              <w:spacing w:after="0" w:line="106" w:lineRule="exact"/>
              <w:rPr>
                <w:sz w:val="20"/>
                <w:szCs w:val="20"/>
                <w:color w:val="auto"/>
              </w:rPr>
            </w:pPr>
            <w:r>
              <w:rPr>
                <w:rFonts w:ascii="Arial" w:cs="Arial" w:eastAsia="Arial" w:hAnsi="Arial"/>
                <w:sz w:val="10"/>
                <w:szCs w:val="10"/>
                <w:color w:val="050505"/>
              </w:rPr>
              <w:t>383.6</w:t>
            </w:r>
          </w:p>
        </w:tc>
        <w:tc>
          <w:tcPr>
            <w:tcW w:w="60" w:type="dxa"/>
            <w:vAlign w:val="bottom"/>
          </w:tcPr>
          <w:p>
            <w:pPr>
              <w:spacing w:after="0"/>
              <w:rPr>
                <w:sz w:val="9"/>
                <w:szCs w:val="9"/>
                <w:color w:val="auto"/>
              </w:rPr>
            </w:pPr>
          </w:p>
        </w:tc>
      </w:tr>
      <w:tr>
        <w:trPr>
          <w:trHeight w:val="108"/>
        </w:trPr>
        <w:tc>
          <w:tcPr>
            <w:tcW w:w="4680" w:type="dxa"/>
            <w:vAlign w:val="bottom"/>
            <w:shd w:val="clear" w:color="auto" w:fill="CCEEFF"/>
          </w:tcPr>
          <w:p>
            <w:pPr>
              <w:spacing w:after="0" w:line="108" w:lineRule="exact"/>
              <w:rPr>
                <w:sz w:val="20"/>
                <w:szCs w:val="20"/>
                <w:color w:val="auto"/>
              </w:rPr>
            </w:pPr>
            <w:r>
              <w:rPr>
                <w:rFonts w:ascii="Arial" w:cs="Arial" w:eastAsia="Arial" w:hAnsi="Arial"/>
                <w:sz w:val="10"/>
                <w:szCs w:val="10"/>
                <w:color w:val="050505"/>
              </w:rPr>
              <w:t>Operating expenses:</w:t>
            </w:r>
          </w:p>
        </w:tc>
        <w:tc>
          <w:tcPr>
            <w:tcW w:w="16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40" w:type="dxa"/>
            <w:vAlign w:val="bottom"/>
            <w:tcBorders>
              <w:right w:val="single" w:sz="8" w:color="CCEEFF"/>
            </w:tcBorders>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r>
      <w:tr>
        <w:trPr>
          <w:trHeight w:val="108"/>
        </w:trPr>
        <w:tc>
          <w:tcPr>
            <w:tcW w:w="4680" w:type="dxa"/>
            <w:vAlign w:val="bottom"/>
          </w:tcPr>
          <w:p>
            <w:pPr>
              <w:ind w:left="160"/>
              <w:spacing w:after="0" w:line="108" w:lineRule="exact"/>
              <w:rPr>
                <w:sz w:val="20"/>
                <w:szCs w:val="20"/>
                <w:color w:val="auto"/>
              </w:rPr>
            </w:pPr>
            <w:r>
              <w:rPr>
                <w:rFonts w:ascii="Arial" w:cs="Arial" w:eastAsia="Arial" w:hAnsi="Arial"/>
                <w:sz w:val="10"/>
                <w:szCs w:val="10"/>
                <w:color w:val="050505"/>
              </w:rPr>
              <w:t>Research and development</w:t>
            </w:r>
            <w:r>
              <w:rPr>
                <w:rFonts w:ascii="Arial" w:cs="Arial" w:eastAsia="Arial" w:hAnsi="Arial"/>
                <w:sz w:val="8"/>
                <w:szCs w:val="8"/>
                <w:color w:val="050505"/>
              </w:rPr>
              <w:t>(1)(2)</w:t>
            </w:r>
          </w:p>
        </w:tc>
        <w:tc>
          <w:tcPr>
            <w:tcW w:w="160" w:type="dxa"/>
            <w:vAlign w:val="bottom"/>
          </w:tcPr>
          <w:p>
            <w:pPr>
              <w:spacing w:after="0"/>
              <w:rPr>
                <w:sz w:val="9"/>
                <w:szCs w:val="9"/>
                <w:color w:val="auto"/>
              </w:rPr>
            </w:pPr>
          </w:p>
        </w:tc>
        <w:tc>
          <w:tcPr>
            <w:tcW w:w="580" w:type="dxa"/>
            <w:vAlign w:val="bottom"/>
          </w:tcPr>
          <w:p>
            <w:pPr>
              <w:jc w:val="right"/>
              <w:spacing w:after="0" w:line="108" w:lineRule="exact"/>
              <w:rPr>
                <w:sz w:val="20"/>
                <w:szCs w:val="20"/>
                <w:color w:val="auto"/>
              </w:rPr>
            </w:pPr>
            <w:r>
              <w:rPr>
                <w:rFonts w:ascii="Arial" w:cs="Arial" w:eastAsia="Arial" w:hAnsi="Arial"/>
                <w:sz w:val="10"/>
                <w:szCs w:val="10"/>
                <w:color w:val="050505"/>
              </w:rPr>
              <w:t>13.0</w:t>
            </w: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80" w:type="dxa"/>
            <w:vAlign w:val="bottom"/>
          </w:tcPr>
          <w:p>
            <w:pPr>
              <w:jc w:val="right"/>
              <w:spacing w:after="0" w:line="108" w:lineRule="exact"/>
              <w:rPr>
                <w:sz w:val="20"/>
                <w:szCs w:val="20"/>
                <w:color w:val="auto"/>
              </w:rPr>
            </w:pPr>
            <w:r>
              <w:rPr>
                <w:rFonts w:ascii="Arial" w:cs="Arial" w:eastAsia="Arial" w:hAnsi="Arial"/>
                <w:sz w:val="10"/>
                <w:szCs w:val="10"/>
                <w:color w:val="050505"/>
              </w:rPr>
              <w:t>23.4</w:t>
            </w: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560" w:type="dxa"/>
            <w:vAlign w:val="bottom"/>
          </w:tcPr>
          <w:p>
            <w:pPr>
              <w:jc w:val="right"/>
              <w:spacing w:after="0" w:line="108" w:lineRule="exact"/>
              <w:rPr>
                <w:sz w:val="20"/>
                <w:szCs w:val="20"/>
                <w:color w:val="auto"/>
              </w:rPr>
            </w:pPr>
            <w:r>
              <w:rPr>
                <w:rFonts w:ascii="Arial" w:cs="Arial" w:eastAsia="Arial" w:hAnsi="Arial"/>
                <w:sz w:val="10"/>
                <w:szCs w:val="10"/>
                <w:color w:val="050505"/>
              </w:rPr>
              <w:t>54.8</w:t>
            </w:r>
          </w:p>
        </w:tc>
        <w:tc>
          <w:tcPr>
            <w:tcW w:w="60" w:type="dxa"/>
            <w:vAlign w:val="bottom"/>
          </w:tcPr>
          <w:p>
            <w:pPr>
              <w:spacing w:after="0"/>
              <w:rPr>
                <w:sz w:val="9"/>
                <w:szCs w:val="9"/>
                <w:color w:val="auto"/>
              </w:rPr>
            </w:pPr>
          </w:p>
        </w:tc>
      </w:tr>
      <w:tr>
        <w:trPr>
          <w:trHeight w:val="108"/>
        </w:trPr>
        <w:tc>
          <w:tcPr>
            <w:tcW w:w="4680" w:type="dxa"/>
            <w:vAlign w:val="bottom"/>
            <w:shd w:val="clear" w:color="auto" w:fill="CCEEFF"/>
          </w:tcPr>
          <w:p>
            <w:pPr>
              <w:ind w:left="160"/>
              <w:spacing w:after="0" w:line="108" w:lineRule="exact"/>
              <w:rPr>
                <w:sz w:val="20"/>
                <w:szCs w:val="20"/>
                <w:color w:val="auto"/>
              </w:rPr>
            </w:pPr>
            <w:r>
              <w:rPr>
                <w:rFonts w:ascii="Arial" w:cs="Arial" w:eastAsia="Arial" w:hAnsi="Arial"/>
                <w:sz w:val="10"/>
                <w:szCs w:val="10"/>
                <w:color w:val="050505"/>
              </w:rPr>
              <w:t>Sales and marketing</w:t>
            </w:r>
            <w:r>
              <w:rPr>
                <w:rFonts w:ascii="Arial" w:cs="Arial" w:eastAsia="Arial" w:hAnsi="Arial"/>
                <w:sz w:val="8"/>
                <w:szCs w:val="8"/>
                <w:color w:val="050505"/>
              </w:rPr>
              <w:t>(1)(2)</w:t>
            </w:r>
          </w:p>
        </w:tc>
        <w:tc>
          <w:tcPr>
            <w:tcW w:w="160" w:type="dxa"/>
            <w:vAlign w:val="bottom"/>
            <w:shd w:val="clear" w:color="auto" w:fill="CCEEFF"/>
          </w:tcPr>
          <w:p>
            <w:pPr>
              <w:spacing w:after="0"/>
              <w:rPr>
                <w:sz w:val="9"/>
                <w:szCs w:val="9"/>
                <w:color w:val="auto"/>
              </w:rPr>
            </w:pPr>
          </w:p>
        </w:tc>
        <w:tc>
          <w:tcPr>
            <w:tcW w:w="58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050505"/>
              </w:rPr>
              <w:t>86.0</w:t>
            </w:r>
          </w:p>
        </w:tc>
        <w:tc>
          <w:tcPr>
            <w:tcW w:w="120" w:type="dxa"/>
            <w:vAlign w:val="bottom"/>
            <w:shd w:val="clear" w:color="auto" w:fill="CCEEFF"/>
          </w:tcPr>
          <w:p>
            <w:pPr>
              <w:spacing w:after="0"/>
              <w:rPr>
                <w:sz w:val="9"/>
                <w:szCs w:val="9"/>
                <w:color w:val="auto"/>
              </w:rPr>
            </w:pPr>
          </w:p>
        </w:tc>
        <w:tc>
          <w:tcPr>
            <w:tcW w:w="140" w:type="dxa"/>
            <w:vAlign w:val="bottom"/>
            <w:tcBorders>
              <w:right w:val="single" w:sz="8" w:color="CCEEFF"/>
            </w:tcBorders>
            <w:shd w:val="clear" w:color="auto" w:fill="CCEEFF"/>
          </w:tcPr>
          <w:p>
            <w:pPr>
              <w:spacing w:after="0"/>
              <w:rPr>
                <w:sz w:val="9"/>
                <w:szCs w:val="9"/>
                <w:color w:val="auto"/>
              </w:rPr>
            </w:pPr>
          </w:p>
        </w:tc>
        <w:tc>
          <w:tcPr>
            <w:tcW w:w="68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050505"/>
              </w:rPr>
              <w:t>151.4</w:t>
            </w: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56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050505"/>
              </w:rPr>
              <w:t>324.0</w:t>
            </w:r>
          </w:p>
        </w:tc>
        <w:tc>
          <w:tcPr>
            <w:tcW w:w="60" w:type="dxa"/>
            <w:vAlign w:val="bottom"/>
            <w:shd w:val="clear" w:color="auto" w:fill="CCEEFF"/>
          </w:tcPr>
          <w:p>
            <w:pPr>
              <w:spacing w:after="0"/>
              <w:rPr>
                <w:sz w:val="9"/>
                <w:szCs w:val="9"/>
                <w:color w:val="auto"/>
              </w:rPr>
            </w:pPr>
          </w:p>
        </w:tc>
      </w:tr>
      <w:tr>
        <w:trPr>
          <w:trHeight w:val="108"/>
        </w:trPr>
        <w:tc>
          <w:tcPr>
            <w:tcW w:w="4680" w:type="dxa"/>
            <w:vAlign w:val="bottom"/>
          </w:tcPr>
          <w:p>
            <w:pPr>
              <w:ind w:left="160"/>
              <w:spacing w:after="0" w:line="108" w:lineRule="exact"/>
              <w:rPr>
                <w:sz w:val="20"/>
                <w:szCs w:val="20"/>
                <w:color w:val="auto"/>
              </w:rPr>
            </w:pPr>
            <w:r>
              <w:rPr>
                <w:rFonts w:ascii="Arial" w:cs="Arial" w:eastAsia="Arial" w:hAnsi="Arial"/>
                <w:sz w:val="10"/>
                <w:szCs w:val="10"/>
                <w:color w:val="050505"/>
              </w:rPr>
              <w:t>General and administrative</w:t>
            </w:r>
            <w:r>
              <w:rPr>
                <w:rFonts w:ascii="Arial" w:cs="Arial" w:eastAsia="Arial" w:hAnsi="Arial"/>
                <w:sz w:val="8"/>
                <w:szCs w:val="8"/>
                <w:color w:val="050505"/>
              </w:rPr>
              <w:t>(1)(2)</w:t>
            </w:r>
          </w:p>
        </w:tc>
        <w:tc>
          <w:tcPr>
            <w:tcW w:w="16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jc w:val="right"/>
              <w:spacing w:after="0" w:line="108" w:lineRule="exact"/>
              <w:rPr>
                <w:sz w:val="20"/>
                <w:szCs w:val="20"/>
                <w:color w:val="auto"/>
              </w:rPr>
            </w:pPr>
            <w:r>
              <w:rPr>
                <w:rFonts w:ascii="Arial" w:cs="Arial" w:eastAsia="Arial" w:hAnsi="Arial"/>
                <w:sz w:val="10"/>
                <w:szCs w:val="10"/>
                <w:color w:val="050505"/>
              </w:rPr>
              <w:t>45.6</w:t>
            </w: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80" w:type="dxa"/>
            <w:vAlign w:val="bottom"/>
            <w:tcBorders>
              <w:bottom w:val="single" w:sz="8" w:color="auto"/>
            </w:tcBorders>
          </w:tcPr>
          <w:p>
            <w:pPr>
              <w:jc w:val="right"/>
              <w:spacing w:after="0" w:line="108" w:lineRule="exact"/>
              <w:rPr>
                <w:sz w:val="20"/>
                <w:szCs w:val="20"/>
                <w:color w:val="auto"/>
              </w:rPr>
            </w:pPr>
            <w:r>
              <w:rPr>
                <w:rFonts w:ascii="Arial" w:cs="Arial" w:eastAsia="Arial" w:hAnsi="Arial"/>
                <w:sz w:val="10"/>
                <w:szCs w:val="10"/>
                <w:color w:val="050505"/>
              </w:rPr>
              <w:t>62.4</w:t>
            </w: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jc w:val="right"/>
              <w:spacing w:after="0" w:line="108" w:lineRule="exact"/>
              <w:rPr>
                <w:sz w:val="20"/>
                <w:szCs w:val="20"/>
                <w:color w:val="auto"/>
              </w:rPr>
            </w:pPr>
            <w:r>
              <w:rPr>
                <w:rFonts w:ascii="Arial" w:cs="Arial" w:eastAsia="Arial" w:hAnsi="Arial"/>
                <w:sz w:val="10"/>
                <w:szCs w:val="10"/>
                <w:color w:val="050505"/>
              </w:rPr>
              <w:t>207.0</w:t>
            </w:r>
          </w:p>
        </w:tc>
        <w:tc>
          <w:tcPr>
            <w:tcW w:w="60" w:type="dxa"/>
            <w:vAlign w:val="bottom"/>
          </w:tcPr>
          <w:p>
            <w:pPr>
              <w:spacing w:after="0"/>
              <w:rPr>
                <w:sz w:val="9"/>
                <w:szCs w:val="9"/>
                <w:color w:val="auto"/>
              </w:rPr>
            </w:pPr>
          </w:p>
        </w:tc>
      </w:tr>
      <w:tr>
        <w:trPr>
          <w:trHeight w:val="106"/>
        </w:trPr>
        <w:tc>
          <w:tcPr>
            <w:tcW w:w="4680" w:type="dxa"/>
            <w:vAlign w:val="bottom"/>
            <w:shd w:val="clear" w:color="auto" w:fill="CCEEFF"/>
          </w:tcPr>
          <w:p>
            <w:pPr>
              <w:ind w:left="380"/>
              <w:spacing w:after="0" w:line="106" w:lineRule="exact"/>
              <w:rPr>
                <w:sz w:val="20"/>
                <w:szCs w:val="20"/>
                <w:color w:val="auto"/>
              </w:rPr>
            </w:pPr>
            <w:r>
              <w:rPr>
                <w:rFonts w:ascii="Arial" w:cs="Arial" w:eastAsia="Arial" w:hAnsi="Arial"/>
                <w:sz w:val="10"/>
                <w:szCs w:val="10"/>
                <w:color w:val="050505"/>
              </w:rPr>
              <w:t>Total operating expenses</w:t>
            </w:r>
          </w:p>
        </w:tc>
        <w:tc>
          <w:tcPr>
            <w:tcW w:w="160" w:type="dxa"/>
            <w:vAlign w:val="bottom"/>
            <w:tcBorders>
              <w:bottom w:val="single" w:sz="8" w:color="auto"/>
            </w:tcBorders>
            <w:shd w:val="clear" w:color="auto" w:fill="CCEEFF"/>
          </w:tcPr>
          <w:p>
            <w:pPr>
              <w:spacing w:after="0"/>
              <w:rPr>
                <w:sz w:val="9"/>
                <w:szCs w:val="9"/>
                <w:color w:val="auto"/>
              </w:rPr>
            </w:pPr>
          </w:p>
        </w:tc>
        <w:tc>
          <w:tcPr>
            <w:tcW w:w="580" w:type="dxa"/>
            <w:vAlign w:val="bottom"/>
            <w:tcBorders>
              <w:bottom w:val="single" w:sz="8" w:color="auto"/>
            </w:tcBorders>
            <w:shd w:val="clear" w:color="auto" w:fill="CCEEFF"/>
          </w:tcPr>
          <w:p>
            <w:pPr>
              <w:jc w:val="right"/>
              <w:spacing w:after="0" w:line="106" w:lineRule="exact"/>
              <w:rPr>
                <w:sz w:val="20"/>
                <w:szCs w:val="20"/>
                <w:color w:val="auto"/>
              </w:rPr>
            </w:pPr>
            <w:r>
              <w:rPr>
                <w:rFonts w:ascii="Arial" w:cs="Arial" w:eastAsia="Arial" w:hAnsi="Arial"/>
                <w:sz w:val="10"/>
                <w:szCs w:val="10"/>
                <w:color w:val="050505"/>
              </w:rPr>
              <w:t>144.7</w:t>
            </w:r>
          </w:p>
        </w:tc>
        <w:tc>
          <w:tcPr>
            <w:tcW w:w="120" w:type="dxa"/>
            <w:vAlign w:val="bottom"/>
            <w:shd w:val="clear" w:color="auto" w:fill="CCEEFF"/>
          </w:tcPr>
          <w:p>
            <w:pPr>
              <w:spacing w:after="0"/>
              <w:rPr>
                <w:sz w:val="9"/>
                <w:szCs w:val="9"/>
                <w:color w:val="auto"/>
              </w:rPr>
            </w:pPr>
          </w:p>
        </w:tc>
        <w:tc>
          <w:tcPr>
            <w:tcW w:w="140" w:type="dxa"/>
            <w:vAlign w:val="bottom"/>
            <w:tcBorders>
              <w:right w:val="single" w:sz="8" w:color="CCEEFF"/>
            </w:tcBorders>
            <w:shd w:val="clear" w:color="auto" w:fill="CCEEFF"/>
          </w:tcPr>
          <w:p>
            <w:pPr>
              <w:spacing w:after="0"/>
              <w:rPr>
                <w:sz w:val="9"/>
                <w:szCs w:val="9"/>
                <w:color w:val="auto"/>
              </w:rPr>
            </w:pPr>
          </w:p>
        </w:tc>
        <w:tc>
          <w:tcPr>
            <w:tcW w:w="680" w:type="dxa"/>
            <w:vAlign w:val="bottom"/>
            <w:tcBorders>
              <w:bottom w:val="single" w:sz="8" w:color="auto"/>
            </w:tcBorders>
            <w:shd w:val="clear" w:color="auto" w:fill="CCEEFF"/>
          </w:tcPr>
          <w:p>
            <w:pPr>
              <w:jc w:val="right"/>
              <w:spacing w:after="0" w:line="106" w:lineRule="exact"/>
              <w:rPr>
                <w:sz w:val="20"/>
                <w:szCs w:val="20"/>
                <w:color w:val="auto"/>
              </w:rPr>
            </w:pPr>
            <w:r>
              <w:rPr>
                <w:rFonts w:ascii="Arial" w:cs="Arial" w:eastAsia="Arial" w:hAnsi="Arial"/>
                <w:sz w:val="10"/>
                <w:szCs w:val="10"/>
                <w:color w:val="050505"/>
              </w:rPr>
              <w:t>237.1</w:t>
            </w: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80" w:type="dxa"/>
            <w:vAlign w:val="bottom"/>
            <w:tcBorders>
              <w:bottom w:val="single" w:sz="8" w:color="auto"/>
            </w:tcBorders>
            <w:shd w:val="clear" w:color="auto" w:fill="CCEEFF"/>
          </w:tcPr>
          <w:p>
            <w:pPr>
              <w:spacing w:after="0"/>
              <w:rPr>
                <w:sz w:val="9"/>
                <w:szCs w:val="9"/>
                <w:color w:val="auto"/>
              </w:rPr>
            </w:pPr>
          </w:p>
        </w:tc>
        <w:tc>
          <w:tcPr>
            <w:tcW w:w="560" w:type="dxa"/>
            <w:vAlign w:val="bottom"/>
            <w:tcBorders>
              <w:bottom w:val="single" w:sz="8" w:color="auto"/>
            </w:tcBorders>
            <w:shd w:val="clear" w:color="auto" w:fill="CCEEFF"/>
          </w:tcPr>
          <w:p>
            <w:pPr>
              <w:jc w:val="right"/>
              <w:spacing w:after="0" w:line="106" w:lineRule="exact"/>
              <w:rPr>
                <w:sz w:val="20"/>
                <w:szCs w:val="20"/>
                <w:color w:val="auto"/>
              </w:rPr>
            </w:pPr>
            <w:r>
              <w:rPr>
                <w:rFonts w:ascii="Arial" w:cs="Arial" w:eastAsia="Arial" w:hAnsi="Arial"/>
                <w:sz w:val="10"/>
                <w:szCs w:val="10"/>
                <w:color w:val="050505"/>
              </w:rPr>
              <w:t>585.8</w:t>
            </w:r>
          </w:p>
        </w:tc>
        <w:tc>
          <w:tcPr>
            <w:tcW w:w="60" w:type="dxa"/>
            <w:vAlign w:val="bottom"/>
            <w:shd w:val="clear" w:color="auto" w:fill="CCEEFF"/>
          </w:tcPr>
          <w:p>
            <w:pPr>
              <w:spacing w:after="0"/>
              <w:rPr>
                <w:sz w:val="9"/>
                <w:szCs w:val="9"/>
                <w:color w:val="auto"/>
              </w:rPr>
            </w:pPr>
          </w:p>
        </w:tc>
      </w:tr>
      <w:tr>
        <w:trPr>
          <w:trHeight w:val="106"/>
        </w:trPr>
        <w:tc>
          <w:tcPr>
            <w:tcW w:w="4680" w:type="dxa"/>
            <w:vAlign w:val="bottom"/>
          </w:tcPr>
          <w:p>
            <w:pPr>
              <w:spacing w:after="0" w:line="106" w:lineRule="exact"/>
              <w:rPr>
                <w:sz w:val="20"/>
                <w:szCs w:val="20"/>
                <w:color w:val="auto"/>
              </w:rPr>
            </w:pPr>
            <w:r>
              <w:rPr>
                <w:rFonts w:ascii="Arial" w:cs="Arial" w:eastAsia="Arial" w:hAnsi="Arial"/>
                <w:sz w:val="10"/>
                <w:szCs w:val="10"/>
                <w:color w:val="050505"/>
              </w:rPr>
              <w:t>Loss from operations</w:t>
            </w:r>
          </w:p>
        </w:tc>
        <w:tc>
          <w:tcPr>
            <w:tcW w:w="160" w:type="dxa"/>
            <w:vAlign w:val="bottom"/>
          </w:tcPr>
          <w:p>
            <w:pPr>
              <w:spacing w:after="0"/>
              <w:rPr>
                <w:sz w:val="9"/>
                <w:szCs w:val="9"/>
                <w:color w:val="auto"/>
              </w:rPr>
            </w:pPr>
          </w:p>
        </w:tc>
        <w:tc>
          <w:tcPr>
            <w:tcW w:w="700" w:type="dxa"/>
            <w:vAlign w:val="bottom"/>
            <w:gridSpan w:val="2"/>
          </w:tcPr>
          <w:p>
            <w:pPr>
              <w:jc w:val="right"/>
              <w:ind w:right="100"/>
              <w:spacing w:after="0" w:line="106" w:lineRule="exact"/>
              <w:rPr>
                <w:sz w:val="20"/>
                <w:szCs w:val="20"/>
                <w:color w:val="auto"/>
              </w:rPr>
            </w:pPr>
            <w:r>
              <w:rPr>
                <w:rFonts w:ascii="Arial" w:cs="Arial" w:eastAsia="Arial" w:hAnsi="Arial"/>
                <w:sz w:val="10"/>
                <w:szCs w:val="10"/>
                <w:color w:val="050505"/>
              </w:rPr>
              <w:t>(70.7)</w:t>
            </w:r>
          </w:p>
        </w:tc>
        <w:tc>
          <w:tcPr>
            <w:tcW w:w="140" w:type="dxa"/>
            <w:vAlign w:val="bottom"/>
          </w:tcPr>
          <w:p>
            <w:pPr>
              <w:spacing w:after="0"/>
              <w:rPr>
                <w:sz w:val="9"/>
                <w:szCs w:val="9"/>
                <w:color w:val="auto"/>
              </w:rPr>
            </w:pPr>
          </w:p>
        </w:tc>
        <w:tc>
          <w:tcPr>
            <w:tcW w:w="780" w:type="dxa"/>
            <w:vAlign w:val="bottom"/>
            <w:gridSpan w:val="2"/>
          </w:tcPr>
          <w:p>
            <w:pPr>
              <w:jc w:val="right"/>
              <w:ind w:right="80"/>
              <w:spacing w:after="0" w:line="106" w:lineRule="exact"/>
              <w:rPr>
                <w:sz w:val="20"/>
                <w:szCs w:val="20"/>
                <w:color w:val="auto"/>
              </w:rPr>
            </w:pPr>
            <w:r>
              <w:rPr>
                <w:rFonts w:ascii="Arial" w:cs="Arial" w:eastAsia="Arial" w:hAnsi="Arial"/>
                <w:sz w:val="10"/>
                <w:szCs w:val="10"/>
                <w:color w:val="050505"/>
              </w:rPr>
              <w:t>(47.5)</w:t>
            </w: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620" w:type="dxa"/>
            <w:vAlign w:val="bottom"/>
            <w:gridSpan w:val="2"/>
          </w:tcPr>
          <w:p>
            <w:pPr>
              <w:jc w:val="right"/>
              <w:ind w:right="40"/>
              <w:spacing w:after="0" w:line="106" w:lineRule="exact"/>
              <w:rPr>
                <w:sz w:val="20"/>
                <w:szCs w:val="20"/>
                <w:color w:val="auto"/>
              </w:rPr>
            </w:pPr>
            <w:r>
              <w:rPr>
                <w:rFonts w:ascii="Arial" w:cs="Arial" w:eastAsia="Arial" w:hAnsi="Arial"/>
                <w:sz w:val="10"/>
                <w:szCs w:val="10"/>
                <w:color w:val="050505"/>
              </w:rPr>
              <w:t>(202.3)</w:t>
            </w:r>
          </w:p>
        </w:tc>
      </w:tr>
      <w:tr>
        <w:trPr>
          <w:trHeight w:val="108"/>
        </w:trPr>
        <w:tc>
          <w:tcPr>
            <w:tcW w:w="4680" w:type="dxa"/>
            <w:vAlign w:val="bottom"/>
            <w:shd w:val="clear" w:color="auto" w:fill="CCEEFF"/>
          </w:tcPr>
          <w:p>
            <w:pPr>
              <w:spacing w:after="0" w:line="108" w:lineRule="exact"/>
              <w:rPr>
                <w:sz w:val="20"/>
                <w:szCs w:val="20"/>
                <w:color w:val="auto"/>
              </w:rPr>
            </w:pPr>
            <w:r>
              <w:rPr>
                <w:rFonts w:ascii="Arial" w:cs="Arial" w:eastAsia="Arial" w:hAnsi="Arial"/>
                <w:sz w:val="10"/>
                <w:szCs w:val="10"/>
                <w:color w:val="050505"/>
              </w:rPr>
              <w:t>Other (expense) income, net</w:t>
            </w:r>
          </w:p>
        </w:tc>
        <w:tc>
          <w:tcPr>
            <w:tcW w:w="160" w:type="dxa"/>
            <w:vAlign w:val="bottom"/>
            <w:shd w:val="clear" w:color="auto" w:fill="CCEEFF"/>
          </w:tcPr>
          <w:p>
            <w:pPr>
              <w:spacing w:after="0"/>
              <w:rPr>
                <w:sz w:val="9"/>
                <w:szCs w:val="9"/>
                <w:color w:val="auto"/>
              </w:rPr>
            </w:pPr>
          </w:p>
        </w:tc>
        <w:tc>
          <w:tcPr>
            <w:tcW w:w="70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050505"/>
              </w:rPr>
              <w:t>(0.3)</w:t>
            </w:r>
          </w:p>
        </w:tc>
        <w:tc>
          <w:tcPr>
            <w:tcW w:w="140" w:type="dxa"/>
            <w:vAlign w:val="bottom"/>
            <w:tcBorders>
              <w:right w:val="single" w:sz="8" w:color="CCEEFF"/>
            </w:tcBorders>
            <w:shd w:val="clear" w:color="auto" w:fill="CCEEFF"/>
          </w:tcPr>
          <w:p>
            <w:pPr>
              <w:spacing w:after="0"/>
              <w:rPr>
                <w:sz w:val="9"/>
                <w:szCs w:val="9"/>
                <w:color w:val="auto"/>
              </w:rPr>
            </w:pPr>
          </w:p>
        </w:tc>
        <w:tc>
          <w:tcPr>
            <w:tcW w:w="780" w:type="dxa"/>
            <w:vAlign w:val="bottom"/>
            <w:gridSpan w:val="2"/>
            <w:shd w:val="clear" w:color="auto" w:fill="CCEEFF"/>
          </w:tcPr>
          <w:p>
            <w:pPr>
              <w:jc w:val="right"/>
              <w:ind w:right="80"/>
              <w:spacing w:after="0" w:line="108" w:lineRule="exact"/>
              <w:rPr>
                <w:sz w:val="20"/>
                <w:szCs w:val="20"/>
                <w:color w:val="auto"/>
              </w:rPr>
            </w:pPr>
            <w:r>
              <w:rPr>
                <w:rFonts w:ascii="Arial" w:cs="Arial" w:eastAsia="Arial" w:hAnsi="Arial"/>
                <w:sz w:val="10"/>
                <w:szCs w:val="10"/>
                <w:color w:val="050505"/>
              </w:rPr>
              <w:t>(0.3)</w:t>
            </w:r>
          </w:p>
        </w:tc>
        <w:tc>
          <w:tcPr>
            <w:tcW w:w="10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56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050505"/>
              </w:rPr>
              <w:t>6.7</w:t>
            </w:r>
          </w:p>
        </w:tc>
        <w:tc>
          <w:tcPr>
            <w:tcW w:w="60" w:type="dxa"/>
            <w:vAlign w:val="bottom"/>
            <w:shd w:val="clear" w:color="auto" w:fill="CCEEFF"/>
          </w:tcPr>
          <w:p>
            <w:pPr>
              <w:spacing w:after="0"/>
              <w:rPr>
                <w:sz w:val="9"/>
                <w:szCs w:val="9"/>
                <w:color w:val="auto"/>
              </w:rPr>
            </w:pPr>
          </w:p>
        </w:tc>
      </w:tr>
      <w:tr>
        <w:trPr>
          <w:trHeight w:val="20"/>
        </w:trPr>
        <w:tc>
          <w:tcPr>
            <w:tcW w:w="46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06"/>
        </w:trPr>
        <w:tc>
          <w:tcPr>
            <w:tcW w:w="4680" w:type="dxa"/>
            <w:vAlign w:val="bottom"/>
          </w:tcPr>
          <w:p>
            <w:pPr>
              <w:spacing w:after="0" w:line="106" w:lineRule="exact"/>
              <w:rPr>
                <w:sz w:val="20"/>
                <w:szCs w:val="20"/>
                <w:color w:val="auto"/>
              </w:rPr>
            </w:pPr>
            <w:r>
              <w:rPr>
                <w:rFonts w:ascii="Arial" w:cs="Arial" w:eastAsia="Arial" w:hAnsi="Arial"/>
                <w:sz w:val="10"/>
                <w:szCs w:val="10"/>
                <w:color w:val="050505"/>
              </w:rPr>
              <w:t>Loss before provision for income taxes</w:t>
            </w:r>
          </w:p>
        </w:tc>
        <w:tc>
          <w:tcPr>
            <w:tcW w:w="160" w:type="dxa"/>
            <w:vAlign w:val="bottom"/>
          </w:tcPr>
          <w:p>
            <w:pPr>
              <w:spacing w:after="0"/>
              <w:rPr>
                <w:sz w:val="9"/>
                <w:szCs w:val="9"/>
                <w:color w:val="auto"/>
              </w:rPr>
            </w:pPr>
          </w:p>
        </w:tc>
        <w:tc>
          <w:tcPr>
            <w:tcW w:w="700" w:type="dxa"/>
            <w:vAlign w:val="bottom"/>
            <w:gridSpan w:val="2"/>
          </w:tcPr>
          <w:p>
            <w:pPr>
              <w:jc w:val="right"/>
              <w:ind w:right="100"/>
              <w:spacing w:after="0" w:line="106" w:lineRule="exact"/>
              <w:rPr>
                <w:sz w:val="20"/>
                <w:szCs w:val="20"/>
                <w:color w:val="auto"/>
              </w:rPr>
            </w:pPr>
            <w:r>
              <w:rPr>
                <w:rFonts w:ascii="Arial" w:cs="Arial" w:eastAsia="Arial" w:hAnsi="Arial"/>
                <w:sz w:val="10"/>
                <w:szCs w:val="10"/>
                <w:color w:val="050505"/>
              </w:rPr>
              <w:t>(71.1)</w:t>
            </w:r>
          </w:p>
        </w:tc>
        <w:tc>
          <w:tcPr>
            <w:tcW w:w="140" w:type="dxa"/>
            <w:vAlign w:val="bottom"/>
          </w:tcPr>
          <w:p>
            <w:pPr>
              <w:spacing w:after="0"/>
              <w:rPr>
                <w:sz w:val="9"/>
                <w:szCs w:val="9"/>
                <w:color w:val="auto"/>
              </w:rPr>
            </w:pPr>
          </w:p>
        </w:tc>
        <w:tc>
          <w:tcPr>
            <w:tcW w:w="780" w:type="dxa"/>
            <w:vAlign w:val="bottom"/>
            <w:gridSpan w:val="2"/>
          </w:tcPr>
          <w:p>
            <w:pPr>
              <w:jc w:val="right"/>
              <w:ind w:right="80"/>
              <w:spacing w:after="0" w:line="106" w:lineRule="exact"/>
              <w:rPr>
                <w:sz w:val="20"/>
                <w:szCs w:val="20"/>
                <w:color w:val="auto"/>
              </w:rPr>
            </w:pPr>
            <w:r>
              <w:rPr>
                <w:rFonts w:ascii="Arial" w:cs="Arial" w:eastAsia="Arial" w:hAnsi="Arial"/>
                <w:sz w:val="10"/>
                <w:szCs w:val="10"/>
                <w:color w:val="050505"/>
              </w:rPr>
              <w:t>(47.8)</w:t>
            </w: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620" w:type="dxa"/>
            <w:vAlign w:val="bottom"/>
            <w:gridSpan w:val="2"/>
          </w:tcPr>
          <w:p>
            <w:pPr>
              <w:jc w:val="right"/>
              <w:ind w:right="40"/>
              <w:spacing w:after="0" w:line="106" w:lineRule="exact"/>
              <w:rPr>
                <w:sz w:val="20"/>
                <w:szCs w:val="20"/>
                <w:color w:val="auto"/>
              </w:rPr>
            </w:pPr>
            <w:r>
              <w:rPr>
                <w:rFonts w:ascii="Arial" w:cs="Arial" w:eastAsia="Arial" w:hAnsi="Arial"/>
                <w:sz w:val="10"/>
                <w:szCs w:val="10"/>
                <w:color w:val="050505"/>
              </w:rPr>
              <w:t>(195.6)</w:t>
            </w:r>
          </w:p>
        </w:tc>
      </w:tr>
      <w:tr>
        <w:trPr>
          <w:trHeight w:val="106"/>
        </w:trPr>
        <w:tc>
          <w:tcPr>
            <w:tcW w:w="4680" w:type="dxa"/>
            <w:vAlign w:val="bottom"/>
            <w:shd w:val="clear" w:color="auto" w:fill="CCEEFF"/>
          </w:tcPr>
          <w:p>
            <w:pPr>
              <w:spacing w:after="0" w:line="106" w:lineRule="exact"/>
              <w:rPr>
                <w:sz w:val="20"/>
                <w:szCs w:val="20"/>
                <w:color w:val="auto"/>
              </w:rPr>
            </w:pPr>
            <w:r>
              <w:rPr>
                <w:rFonts w:ascii="Arial" w:cs="Arial" w:eastAsia="Arial" w:hAnsi="Arial"/>
                <w:sz w:val="10"/>
                <w:szCs w:val="10"/>
                <w:color w:val="050505"/>
              </w:rPr>
              <w:t>Provision for income taxes</w:t>
            </w:r>
          </w:p>
        </w:tc>
        <w:tc>
          <w:tcPr>
            <w:tcW w:w="160" w:type="dxa"/>
            <w:vAlign w:val="bottom"/>
            <w:tcBorders>
              <w:top w:val="single" w:sz="8" w:color="auto"/>
              <w:bottom w:val="single" w:sz="8" w:color="auto"/>
            </w:tcBorders>
            <w:shd w:val="clear" w:color="auto" w:fill="CCEEFF"/>
          </w:tcPr>
          <w:p>
            <w:pPr>
              <w:spacing w:after="0"/>
              <w:rPr>
                <w:sz w:val="9"/>
                <w:szCs w:val="9"/>
                <w:color w:val="auto"/>
              </w:rPr>
            </w:pPr>
          </w:p>
        </w:tc>
        <w:tc>
          <w:tcPr>
            <w:tcW w:w="580" w:type="dxa"/>
            <w:vAlign w:val="bottom"/>
            <w:tcBorders>
              <w:top w:val="single" w:sz="8" w:color="auto"/>
              <w:bottom w:val="single" w:sz="8" w:color="auto"/>
            </w:tcBorders>
            <w:shd w:val="clear" w:color="auto" w:fill="CCEEFF"/>
          </w:tcPr>
          <w:p>
            <w:pPr>
              <w:jc w:val="right"/>
              <w:spacing w:after="0" w:line="106" w:lineRule="exact"/>
              <w:rPr>
                <w:sz w:val="20"/>
                <w:szCs w:val="20"/>
                <w:color w:val="auto"/>
              </w:rPr>
            </w:pPr>
            <w:r>
              <w:rPr>
                <w:rFonts w:ascii="Arial" w:cs="Arial" w:eastAsia="Arial" w:hAnsi="Arial"/>
                <w:sz w:val="10"/>
                <w:szCs w:val="10"/>
                <w:color w:val="050505"/>
              </w:rPr>
              <w:t>—</w:t>
            </w:r>
          </w:p>
        </w:tc>
        <w:tc>
          <w:tcPr>
            <w:tcW w:w="120" w:type="dxa"/>
            <w:vAlign w:val="bottom"/>
            <w:shd w:val="clear" w:color="auto" w:fill="CCEEFF"/>
          </w:tcPr>
          <w:p>
            <w:pPr>
              <w:spacing w:after="0"/>
              <w:rPr>
                <w:sz w:val="9"/>
                <w:szCs w:val="9"/>
                <w:color w:val="auto"/>
              </w:rPr>
            </w:pPr>
          </w:p>
        </w:tc>
        <w:tc>
          <w:tcPr>
            <w:tcW w:w="140" w:type="dxa"/>
            <w:vAlign w:val="bottom"/>
            <w:tcBorders>
              <w:right w:val="single" w:sz="8" w:color="CCEEFF"/>
            </w:tcBorders>
            <w:shd w:val="clear" w:color="auto" w:fill="CCEEFF"/>
          </w:tcPr>
          <w:p>
            <w:pPr>
              <w:spacing w:after="0"/>
              <w:rPr>
                <w:sz w:val="9"/>
                <w:szCs w:val="9"/>
                <w:color w:val="auto"/>
              </w:rPr>
            </w:pPr>
          </w:p>
        </w:tc>
        <w:tc>
          <w:tcPr>
            <w:tcW w:w="680" w:type="dxa"/>
            <w:vAlign w:val="bottom"/>
            <w:tcBorders>
              <w:top w:val="single" w:sz="8" w:color="auto"/>
              <w:bottom w:val="single" w:sz="8" w:color="auto"/>
            </w:tcBorders>
            <w:shd w:val="clear" w:color="auto" w:fill="CCEEFF"/>
          </w:tcPr>
          <w:p>
            <w:pPr>
              <w:jc w:val="right"/>
              <w:spacing w:after="0" w:line="106" w:lineRule="exact"/>
              <w:rPr>
                <w:sz w:val="20"/>
                <w:szCs w:val="20"/>
                <w:color w:val="auto"/>
              </w:rPr>
            </w:pPr>
            <w:r>
              <w:rPr>
                <w:rFonts w:ascii="Arial" w:cs="Arial" w:eastAsia="Arial" w:hAnsi="Arial"/>
                <w:sz w:val="10"/>
                <w:szCs w:val="10"/>
                <w:color w:val="050505"/>
              </w:rPr>
              <w:t>0.1</w:t>
            </w: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80" w:type="dxa"/>
            <w:vAlign w:val="bottom"/>
            <w:tcBorders>
              <w:top w:val="single" w:sz="8" w:color="auto"/>
              <w:bottom w:val="single" w:sz="8" w:color="auto"/>
            </w:tcBorders>
            <w:shd w:val="clear" w:color="auto" w:fill="CCEEFF"/>
          </w:tcPr>
          <w:p>
            <w:pPr>
              <w:spacing w:after="0"/>
              <w:rPr>
                <w:sz w:val="9"/>
                <w:szCs w:val="9"/>
                <w:color w:val="auto"/>
              </w:rPr>
            </w:pPr>
          </w:p>
        </w:tc>
        <w:tc>
          <w:tcPr>
            <w:tcW w:w="560" w:type="dxa"/>
            <w:vAlign w:val="bottom"/>
            <w:tcBorders>
              <w:top w:val="single" w:sz="8" w:color="auto"/>
              <w:bottom w:val="single" w:sz="8" w:color="auto"/>
            </w:tcBorders>
            <w:shd w:val="clear" w:color="auto" w:fill="CCEEFF"/>
          </w:tcPr>
          <w:p>
            <w:pPr>
              <w:jc w:val="right"/>
              <w:spacing w:after="0" w:line="106" w:lineRule="exact"/>
              <w:rPr>
                <w:sz w:val="20"/>
                <w:szCs w:val="20"/>
                <w:color w:val="auto"/>
              </w:rPr>
            </w:pPr>
            <w:r>
              <w:rPr>
                <w:rFonts w:ascii="Arial" w:cs="Arial" w:eastAsia="Arial" w:hAnsi="Arial"/>
                <w:sz w:val="10"/>
                <w:szCs w:val="10"/>
                <w:color w:val="050505"/>
              </w:rPr>
              <w:t>0.1</w:t>
            </w:r>
          </w:p>
        </w:tc>
        <w:tc>
          <w:tcPr>
            <w:tcW w:w="60" w:type="dxa"/>
            <w:vAlign w:val="bottom"/>
            <w:shd w:val="clear" w:color="auto" w:fill="CCEEFF"/>
          </w:tcPr>
          <w:p>
            <w:pPr>
              <w:spacing w:after="0"/>
              <w:rPr>
                <w:sz w:val="9"/>
                <w:szCs w:val="9"/>
                <w:color w:val="auto"/>
              </w:rPr>
            </w:pPr>
          </w:p>
        </w:tc>
      </w:tr>
      <w:tr>
        <w:trPr>
          <w:trHeight w:val="106"/>
        </w:trPr>
        <w:tc>
          <w:tcPr>
            <w:tcW w:w="4680" w:type="dxa"/>
            <w:vAlign w:val="bottom"/>
          </w:tcPr>
          <w:p>
            <w:pPr>
              <w:spacing w:after="0" w:line="106" w:lineRule="exact"/>
              <w:rPr>
                <w:sz w:val="20"/>
                <w:szCs w:val="20"/>
                <w:color w:val="auto"/>
              </w:rPr>
            </w:pPr>
            <w:r>
              <w:rPr>
                <w:rFonts w:ascii="Arial" w:cs="Arial" w:eastAsia="Arial" w:hAnsi="Arial"/>
                <w:sz w:val="10"/>
                <w:szCs w:val="10"/>
                <w:color w:val="050505"/>
              </w:rPr>
              <w:t>Net loss</w:t>
            </w:r>
          </w:p>
        </w:tc>
        <w:tc>
          <w:tcPr>
            <w:tcW w:w="160" w:type="dxa"/>
            <w:vAlign w:val="bottom"/>
          </w:tcPr>
          <w:p>
            <w:pPr>
              <w:jc w:val="right"/>
              <w:ind w:right="49"/>
              <w:spacing w:after="0" w:line="106" w:lineRule="exact"/>
              <w:rPr>
                <w:sz w:val="20"/>
                <w:szCs w:val="20"/>
                <w:color w:val="auto"/>
              </w:rPr>
            </w:pPr>
            <w:r>
              <w:rPr>
                <w:rFonts w:ascii="Arial" w:cs="Arial" w:eastAsia="Arial" w:hAnsi="Arial"/>
                <w:sz w:val="10"/>
                <w:szCs w:val="10"/>
                <w:color w:val="050505"/>
                <w:w w:val="71"/>
              </w:rPr>
              <w:t>$</w:t>
            </w:r>
          </w:p>
        </w:tc>
        <w:tc>
          <w:tcPr>
            <w:tcW w:w="700" w:type="dxa"/>
            <w:vAlign w:val="bottom"/>
            <w:gridSpan w:val="2"/>
          </w:tcPr>
          <w:p>
            <w:pPr>
              <w:jc w:val="right"/>
              <w:ind w:right="100"/>
              <w:spacing w:after="0" w:line="106" w:lineRule="exact"/>
              <w:rPr>
                <w:sz w:val="20"/>
                <w:szCs w:val="20"/>
                <w:color w:val="auto"/>
              </w:rPr>
            </w:pPr>
            <w:r>
              <w:rPr>
                <w:rFonts w:ascii="Arial" w:cs="Arial" w:eastAsia="Arial" w:hAnsi="Arial"/>
                <w:sz w:val="10"/>
                <w:szCs w:val="10"/>
                <w:color w:val="050505"/>
              </w:rPr>
              <w:t>(71.1)</w:t>
            </w:r>
          </w:p>
        </w:tc>
        <w:tc>
          <w:tcPr>
            <w:tcW w:w="140" w:type="dxa"/>
            <w:vAlign w:val="bottom"/>
          </w:tcPr>
          <w:p>
            <w:pPr>
              <w:jc w:val="right"/>
              <w:spacing w:after="0" w:line="106" w:lineRule="exact"/>
              <w:rPr>
                <w:sz w:val="20"/>
                <w:szCs w:val="20"/>
                <w:color w:val="auto"/>
              </w:rPr>
            </w:pPr>
            <w:r>
              <w:rPr>
                <w:rFonts w:ascii="Arial" w:cs="Arial" w:eastAsia="Arial" w:hAnsi="Arial"/>
                <w:sz w:val="10"/>
                <w:szCs w:val="10"/>
                <w:color w:val="050505"/>
              </w:rPr>
              <w:t>$</w:t>
            </w:r>
          </w:p>
        </w:tc>
        <w:tc>
          <w:tcPr>
            <w:tcW w:w="780" w:type="dxa"/>
            <w:vAlign w:val="bottom"/>
            <w:gridSpan w:val="2"/>
          </w:tcPr>
          <w:p>
            <w:pPr>
              <w:jc w:val="right"/>
              <w:ind w:right="80"/>
              <w:spacing w:after="0" w:line="106" w:lineRule="exact"/>
              <w:rPr>
                <w:sz w:val="20"/>
                <w:szCs w:val="20"/>
                <w:color w:val="auto"/>
              </w:rPr>
            </w:pPr>
            <w:r>
              <w:rPr>
                <w:rFonts w:ascii="Arial" w:cs="Arial" w:eastAsia="Arial" w:hAnsi="Arial"/>
                <w:sz w:val="10"/>
                <w:szCs w:val="10"/>
                <w:color w:val="050505"/>
              </w:rPr>
              <w:t>(47.9)</w:t>
            </w:r>
          </w:p>
        </w:tc>
        <w:tc>
          <w:tcPr>
            <w:tcW w:w="280" w:type="dxa"/>
            <w:vAlign w:val="bottom"/>
            <w:gridSpan w:val="2"/>
          </w:tcPr>
          <w:p>
            <w:pPr>
              <w:jc w:val="right"/>
              <w:ind w:right="120"/>
              <w:spacing w:after="0" w:line="106" w:lineRule="exact"/>
              <w:rPr>
                <w:sz w:val="20"/>
                <w:szCs w:val="20"/>
                <w:color w:val="auto"/>
              </w:rPr>
            </w:pPr>
            <w:r>
              <w:rPr>
                <w:rFonts w:ascii="Arial" w:cs="Arial" w:eastAsia="Arial" w:hAnsi="Arial"/>
                <w:sz w:val="10"/>
                <w:szCs w:val="10"/>
                <w:color w:val="050505"/>
              </w:rPr>
              <w:t>$</w:t>
            </w:r>
          </w:p>
        </w:tc>
        <w:tc>
          <w:tcPr>
            <w:tcW w:w="620" w:type="dxa"/>
            <w:vAlign w:val="bottom"/>
            <w:gridSpan w:val="2"/>
          </w:tcPr>
          <w:p>
            <w:pPr>
              <w:jc w:val="right"/>
              <w:ind w:right="40"/>
              <w:spacing w:after="0" w:line="106" w:lineRule="exact"/>
              <w:rPr>
                <w:sz w:val="20"/>
                <w:szCs w:val="20"/>
                <w:color w:val="auto"/>
              </w:rPr>
            </w:pPr>
            <w:r>
              <w:rPr>
                <w:rFonts w:ascii="Arial" w:cs="Arial" w:eastAsia="Arial" w:hAnsi="Arial"/>
                <w:sz w:val="10"/>
                <w:szCs w:val="10"/>
                <w:color w:val="050505"/>
              </w:rPr>
              <w:t>(195.6)</w:t>
            </w:r>
          </w:p>
        </w:tc>
      </w:tr>
      <w:tr>
        <w:trPr>
          <w:trHeight w:val="27"/>
        </w:trPr>
        <w:tc>
          <w:tcPr>
            <w:tcW w:w="46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bl>
    <w:p>
      <w:pPr>
        <w:spacing w:after="0" w:line="109" w:lineRule="exact"/>
        <w:rPr>
          <w:sz w:val="20"/>
          <w:szCs w:val="20"/>
          <w:color w:val="auto"/>
        </w:rPr>
      </w:pPr>
    </w:p>
    <w:p>
      <w:pPr>
        <w:ind w:left="5680"/>
        <w:spacing w:after="0"/>
        <w:rPr>
          <w:sz w:val="20"/>
          <w:szCs w:val="20"/>
          <w:color w:val="auto"/>
        </w:rPr>
      </w:pPr>
      <w:r>
        <w:rPr>
          <w:rFonts w:ascii="Arial" w:cs="Arial" w:eastAsia="Arial" w:hAnsi="Arial"/>
          <w:sz w:val="11"/>
          <w:szCs w:val="11"/>
          <w:color w:val="050505"/>
        </w:rPr>
        <w:t>71</w:t>
      </w:r>
    </w:p>
    <w:p>
      <w:pPr>
        <w:sectPr>
          <w:pgSz w:w="11900" w:h="16838" w:orient="portrait"/>
          <w:cols w:equalWidth="0" w:num="1">
            <w:col w:w="10239"/>
          </w:cols>
          <w:pgMar w:left="220" w:top="354" w:right="1440" w:bottom="1440" w:gutter="0" w:footer="0" w:header="0"/>
        </w:sectPr>
      </w:pPr>
    </w:p>
    <w:bookmarkStart w:id="76" w:name="page77"/>
    <w:bookmarkEnd w:id="76"/>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hyperlink w:anchor="page5">
        <w:r>
          <w:rPr>
            <w:rFonts w:ascii="Arial" w:cs="Arial" w:eastAsia="Arial" w:hAnsi="Arial"/>
            <w:sz w:val="12"/>
            <w:szCs w:val="12"/>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1310640</wp:posOffset>
            </wp:positionH>
            <wp:positionV relativeFrom="paragraph">
              <wp:posOffset>193675</wp:posOffset>
            </wp:positionV>
            <wp:extent cx="1212215" cy="571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212215" cy="5715"/>
                    </a:xfrm>
                    <a:prstGeom prst="rect">
                      <a:avLst/>
                    </a:prstGeom>
                    <a:noFill/>
                  </pic:spPr>
                </pic:pic>
              </a:graphicData>
            </a:graphic>
          </wp:anchor>
        </w:drawing>
      </w:r>
    </w:p>
    <w:p>
      <w:pPr>
        <w:spacing w:after="0" w:line="317" w:lineRule="exact"/>
        <w:rPr>
          <w:sz w:val="20"/>
          <w:szCs w:val="20"/>
          <w:color w:val="auto"/>
        </w:rPr>
      </w:pPr>
    </w:p>
    <w:tbl>
      <w:tblPr>
        <w:tblLayout w:type="fixed"/>
        <w:tblInd w:w="2060" w:type="dxa"/>
        <w:tblCellMar>
          <w:top w:w="0" w:type="dxa"/>
          <w:left w:w="0" w:type="dxa"/>
          <w:bottom w:w="0" w:type="dxa"/>
          <w:right w:w="0" w:type="dxa"/>
        </w:tblCellMar>
      </w:tblPr>
      <w:tr>
        <w:trPr>
          <w:trHeight w:val="100"/>
        </w:trPr>
        <w:tc>
          <w:tcPr>
            <w:tcW w:w="3660" w:type="dxa"/>
            <w:vAlign w:val="bottom"/>
            <w:gridSpan w:val="3"/>
          </w:tcPr>
          <w:p>
            <w:pPr>
              <w:spacing w:after="0"/>
              <w:rPr>
                <w:sz w:val="20"/>
                <w:szCs w:val="20"/>
                <w:color w:val="auto"/>
              </w:rPr>
            </w:pPr>
            <w:r>
              <w:rPr>
                <w:rFonts w:ascii="Arial" w:cs="Arial" w:eastAsia="Arial" w:hAnsi="Arial"/>
                <w:sz w:val="8"/>
                <w:szCs w:val="8"/>
                <w:color w:val="050505"/>
              </w:rPr>
              <w:t>(1)  Includes stock-based compensation expense as follows:</w:t>
            </w:r>
          </w:p>
        </w:tc>
        <w:tc>
          <w:tcPr>
            <w:tcW w:w="96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 w:type="dxa"/>
            <w:vAlign w:val="bottom"/>
          </w:tcPr>
          <w:p>
            <w:pPr>
              <w:spacing w:after="0"/>
              <w:rPr>
                <w:sz w:val="8"/>
                <w:szCs w:val="8"/>
                <w:color w:val="auto"/>
              </w:rPr>
            </w:pPr>
          </w:p>
        </w:tc>
      </w:tr>
      <w:tr>
        <w:trPr>
          <w:trHeight w:val="165"/>
        </w:trPr>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gridSpan w:val="10"/>
          </w:tcPr>
          <w:p>
            <w:pPr>
              <w:jc w:val="center"/>
              <w:ind w:left="266"/>
              <w:spacing w:after="0"/>
              <w:rPr>
                <w:sz w:val="20"/>
                <w:szCs w:val="20"/>
                <w:color w:val="auto"/>
              </w:rPr>
            </w:pPr>
            <w:r>
              <w:rPr>
                <w:rFonts w:ascii="Arial" w:cs="Arial" w:eastAsia="Arial" w:hAnsi="Arial"/>
                <w:sz w:val="11"/>
                <w:szCs w:val="11"/>
                <w:b w:val="1"/>
                <w:bCs w:val="1"/>
                <w:color w:val="050505"/>
                <w:w w:val="97"/>
              </w:rPr>
              <w:t>Fiscal Year Ended June 30,</w:t>
            </w:r>
          </w:p>
        </w:tc>
        <w:tc>
          <w:tcPr>
            <w:tcW w:w="5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15"/>
        </w:trPr>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jc w:val="right"/>
              <w:ind w:right="206"/>
              <w:spacing w:after="0" w:line="115" w:lineRule="exact"/>
              <w:rPr>
                <w:sz w:val="20"/>
                <w:szCs w:val="20"/>
                <w:color w:val="auto"/>
              </w:rPr>
            </w:pPr>
            <w:r>
              <w:rPr>
                <w:rFonts w:ascii="Arial" w:cs="Arial" w:eastAsia="Arial" w:hAnsi="Arial"/>
                <w:sz w:val="11"/>
                <w:szCs w:val="11"/>
                <w:b w:val="1"/>
                <w:bCs w:val="1"/>
                <w:color w:val="050505"/>
              </w:rPr>
              <w:t>2017</w:t>
            </w:r>
          </w:p>
        </w:tc>
        <w:tc>
          <w:tcPr>
            <w:tcW w:w="10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jc w:val="center"/>
              <w:ind w:right="146"/>
              <w:spacing w:after="0" w:line="115" w:lineRule="exact"/>
              <w:rPr>
                <w:sz w:val="20"/>
                <w:szCs w:val="20"/>
                <w:color w:val="auto"/>
              </w:rPr>
            </w:pPr>
            <w:r>
              <w:rPr>
                <w:rFonts w:ascii="Arial" w:cs="Arial" w:eastAsia="Arial" w:hAnsi="Arial"/>
                <w:sz w:val="11"/>
                <w:szCs w:val="11"/>
                <w:b w:val="1"/>
                <w:bCs w:val="1"/>
                <w:color w:val="050505"/>
                <w:w w:val="97"/>
              </w:rPr>
              <w:t>2018</w:t>
            </w:r>
          </w:p>
        </w:tc>
        <w:tc>
          <w:tcPr>
            <w:tcW w:w="10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jc w:val="right"/>
              <w:ind w:right="206"/>
              <w:spacing w:after="0" w:line="115" w:lineRule="exact"/>
              <w:rPr>
                <w:sz w:val="20"/>
                <w:szCs w:val="20"/>
                <w:color w:val="auto"/>
              </w:rPr>
            </w:pPr>
            <w:r>
              <w:rPr>
                <w:rFonts w:ascii="Arial" w:cs="Arial" w:eastAsia="Arial" w:hAnsi="Arial"/>
                <w:sz w:val="11"/>
                <w:szCs w:val="11"/>
                <w:b w:val="1"/>
                <w:bCs w:val="1"/>
                <w:color w:val="050505"/>
              </w:rPr>
              <w:t>2019</w:t>
            </w: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r>
      <w:tr>
        <w:trPr>
          <w:trHeight w:val="115"/>
        </w:trPr>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gridSpan w:val="3"/>
          </w:tcPr>
          <w:p>
            <w:pPr>
              <w:jc w:val="center"/>
              <w:ind w:right="106"/>
              <w:spacing w:after="0" w:line="115" w:lineRule="exact"/>
              <w:rPr>
                <w:sz w:val="20"/>
                <w:szCs w:val="20"/>
                <w:color w:val="auto"/>
              </w:rPr>
            </w:pPr>
            <w:r>
              <w:rPr>
                <w:rFonts w:ascii="Arial" w:cs="Arial" w:eastAsia="Arial" w:hAnsi="Arial"/>
                <w:sz w:val="11"/>
                <w:szCs w:val="11"/>
                <w:b w:val="1"/>
                <w:bCs w:val="1"/>
                <w:color w:val="050505"/>
              </w:rPr>
              <w:t>(in millions)</w:t>
            </w: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r>
      <w:tr>
        <w:trPr>
          <w:trHeight w:val="126"/>
        </w:trPr>
        <w:tc>
          <w:tcPr>
            <w:tcW w:w="120" w:type="dxa"/>
            <w:vAlign w:val="bottom"/>
          </w:tcPr>
          <w:p>
            <w:pPr>
              <w:spacing w:after="0"/>
              <w:rPr>
                <w:sz w:val="10"/>
                <w:szCs w:val="10"/>
                <w:color w:val="auto"/>
              </w:rPr>
            </w:pPr>
          </w:p>
        </w:tc>
        <w:tc>
          <w:tcPr>
            <w:tcW w:w="3540" w:type="dxa"/>
            <w:vAlign w:val="bottom"/>
            <w:gridSpan w:val="2"/>
            <w:shd w:val="clear" w:color="auto" w:fill="CCEEFF"/>
          </w:tcPr>
          <w:p>
            <w:pPr>
              <w:ind w:left="20"/>
              <w:spacing w:after="0"/>
              <w:rPr>
                <w:sz w:val="20"/>
                <w:szCs w:val="20"/>
                <w:color w:val="auto"/>
              </w:rPr>
            </w:pPr>
            <w:r>
              <w:rPr>
                <w:rFonts w:ascii="Arial" w:cs="Arial" w:eastAsia="Arial" w:hAnsi="Arial"/>
                <w:sz w:val="11"/>
                <w:szCs w:val="11"/>
                <w:color w:val="050505"/>
              </w:rPr>
              <w:t>Cost of revenue:</w:t>
            </w:r>
          </w:p>
        </w:tc>
        <w:tc>
          <w:tcPr>
            <w:tcW w:w="9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20" w:type="dxa"/>
            <w:vAlign w:val="bottom"/>
            <w:tcBorders>
              <w:right w:val="single" w:sz="8" w:color="CCEEFF"/>
            </w:tcBorders>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20" w:type="dxa"/>
            <w:vAlign w:val="bottom"/>
            <w:tcBorders>
              <w:left w:val="single" w:sz="8" w:color="CCEEFF"/>
            </w:tcBorders>
          </w:tcPr>
          <w:p>
            <w:pPr>
              <w:spacing w:after="0"/>
              <w:rPr>
                <w:sz w:val="10"/>
                <w:szCs w:val="10"/>
                <w:color w:val="auto"/>
              </w:rPr>
            </w:pPr>
          </w:p>
        </w:tc>
        <w:tc>
          <w:tcPr>
            <w:tcW w:w="40" w:type="dxa"/>
            <w:vAlign w:val="bottom"/>
          </w:tcPr>
          <w:p>
            <w:pPr>
              <w:spacing w:after="0"/>
              <w:rPr>
                <w:sz w:val="10"/>
                <w:szCs w:val="10"/>
                <w:color w:val="auto"/>
              </w:rPr>
            </w:pPr>
          </w:p>
        </w:tc>
      </w:tr>
      <w:tr>
        <w:trPr>
          <w:trHeight w:val="126"/>
        </w:trPr>
        <w:tc>
          <w:tcPr>
            <w:tcW w:w="120" w:type="dxa"/>
            <w:vAlign w:val="bottom"/>
          </w:tcPr>
          <w:p>
            <w:pPr>
              <w:spacing w:after="0"/>
              <w:rPr>
                <w:sz w:val="10"/>
                <w:szCs w:val="10"/>
                <w:color w:val="auto"/>
              </w:rPr>
            </w:pPr>
          </w:p>
        </w:tc>
        <w:tc>
          <w:tcPr>
            <w:tcW w:w="3540" w:type="dxa"/>
            <w:vAlign w:val="bottom"/>
            <w:gridSpan w:val="2"/>
          </w:tcPr>
          <w:p>
            <w:pPr>
              <w:spacing w:after="0"/>
              <w:rPr>
                <w:sz w:val="20"/>
                <w:szCs w:val="20"/>
                <w:color w:val="auto"/>
              </w:rPr>
            </w:pPr>
            <w:r>
              <w:rPr>
                <w:rFonts w:ascii="Arial" w:cs="Arial" w:eastAsia="Arial" w:hAnsi="Arial"/>
                <w:sz w:val="11"/>
                <w:szCs w:val="11"/>
                <w:color w:val="050505"/>
              </w:rPr>
              <w:t>Connected Fitness Products</w:t>
            </w:r>
          </w:p>
        </w:tc>
        <w:tc>
          <w:tcPr>
            <w:tcW w:w="1100" w:type="dxa"/>
            <w:vAlign w:val="bottom"/>
            <w:gridSpan w:val="2"/>
          </w:tcPr>
          <w:p>
            <w:pPr>
              <w:jc w:val="right"/>
              <w:ind w:right="80"/>
              <w:spacing w:after="0"/>
              <w:rPr>
                <w:sz w:val="20"/>
                <w:szCs w:val="20"/>
                <w:color w:val="auto"/>
              </w:rPr>
            </w:pPr>
            <w:r>
              <w:rPr>
                <w:rFonts w:ascii="Arial" w:cs="Arial" w:eastAsia="Arial" w:hAnsi="Arial"/>
                <w:sz w:val="11"/>
                <w:szCs w:val="11"/>
                <w:color w:val="050505"/>
              </w:rPr>
              <w:t>$</w:t>
            </w:r>
          </w:p>
        </w:tc>
        <w:tc>
          <w:tcPr>
            <w:tcW w:w="80" w:type="dxa"/>
            <w:vAlign w:val="bottom"/>
          </w:tcPr>
          <w:p>
            <w:pPr>
              <w:spacing w:after="0"/>
              <w:rPr>
                <w:sz w:val="10"/>
                <w:szCs w:val="10"/>
                <w:color w:val="auto"/>
              </w:rPr>
            </w:pPr>
          </w:p>
        </w:tc>
        <w:tc>
          <w:tcPr>
            <w:tcW w:w="700" w:type="dxa"/>
            <w:vAlign w:val="bottom"/>
            <w:gridSpan w:val="3"/>
          </w:tcPr>
          <w:p>
            <w:pPr>
              <w:jc w:val="right"/>
              <w:ind w:right="160"/>
              <w:spacing w:after="0"/>
              <w:rPr>
                <w:sz w:val="20"/>
                <w:szCs w:val="20"/>
                <w:color w:val="auto"/>
              </w:rPr>
            </w:pPr>
            <w:r>
              <w:rPr>
                <w:rFonts w:ascii="Arial" w:cs="Arial" w:eastAsia="Arial" w:hAnsi="Arial"/>
                <w:sz w:val="11"/>
                <w:szCs w:val="11"/>
                <w:color w:val="050505"/>
              </w:rPr>
              <w:t>—</w:t>
            </w:r>
          </w:p>
        </w:tc>
        <w:tc>
          <w:tcPr>
            <w:tcW w:w="60" w:type="dxa"/>
            <w:vAlign w:val="bottom"/>
          </w:tcPr>
          <w:p>
            <w:pPr>
              <w:jc w:val="right"/>
              <w:spacing w:after="0"/>
              <w:rPr>
                <w:sz w:val="20"/>
                <w:szCs w:val="20"/>
                <w:color w:val="auto"/>
              </w:rPr>
            </w:pPr>
            <w:r>
              <w:rPr>
                <w:rFonts w:ascii="Arial" w:cs="Arial" w:eastAsia="Arial" w:hAnsi="Arial"/>
                <w:sz w:val="10"/>
                <w:szCs w:val="10"/>
                <w:color w:val="050505"/>
                <w:w w:val="71"/>
              </w:rPr>
              <w:t>$</w:t>
            </w:r>
          </w:p>
        </w:tc>
        <w:tc>
          <w:tcPr>
            <w:tcW w:w="120" w:type="dxa"/>
            <w:vAlign w:val="bottom"/>
          </w:tcPr>
          <w:p>
            <w:pPr>
              <w:spacing w:after="0"/>
              <w:rPr>
                <w:sz w:val="10"/>
                <w:szCs w:val="10"/>
                <w:color w:val="auto"/>
              </w:rPr>
            </w:pPr>
          </w:p>
        </w:tc>
        <w:tc>
          <w:tcPr>
            <w:tcW w:w="660" w:type="dxa"/>
            <w:vAlign w:val="bottom"/>
            <w:gridSpan w:val="2"/>
          </w:tcPr>
          <w:p>
            <w:pPr>
              <w:jc w:val="right"/>
              <w:ind w:right="46"/>
              <w:spacing w:after="0"/>
              <w:rPr>
                <w:sz w:val="20"/>
                <w:szCs w:val="20"/>
                <w:color w:val="auto"/>
              </w:rPr>
            </w:pPr>
            <w:r>
              <w:rPr>
                <w:rFonts w:ascii="Arial" w:cs="Arial" w:eastAsia="Arial" w:hAnsi="Arial"/>
                <w:sz w:val="11"/>
                <w:szCs w:val="11"/>
                <w:color w:val="050505"/>
              </w:rPr>
              <w:t>—</w:t>
            </w:r>
          </w:p>
        </w:tc>
        <w:tc>
          <w:tcPr>
            <w:tcW w:w="180" w:type="dxa"/>
            <w:vAlign w:val="bottom"/>
            <w:gridSpan w:val="2"/>
          </w:tcPr>
          <w:p>
            <w:pPr>
              <w:jc w:val="right"/>
              <w:ind w:right="60"/>
              <w:spacing w:after="0"/>
              <w:rPr>
                <w:sz w:val="20"/>
                <w:szCs w:val="20"/>
                <w:color w:val="auto"/>
              </w:rPr>
            </w:pPr>
            <w:r>
              <w:rPr>
                <w:rFonts w:ascii="Arial" w:cs="Arial" w:eastAsia="Arial" w:hAnsi="Arial"/>
                <w:sz w:val="11"/>
                <w:szCs w:val="11"/>
                <w:color w:val="050505"/>
              </w:rPr>
              <w:t>$</w:t>
            </w:r>
          </w:p>
        </w:tc>
        <w:tc>
          <w:tcPr>
            <w:tcW w:w="100" w:type="dxa"/>
            <w:vAlign w:val="bottom"/>
          </w:tcPr>
          <w:p>
            <w:pPr>
              <w:spacing w:after="0"/>
              <w:rPr>
                <w:sz w:val="10"/>
                <w:szCs w:val="10"/>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050505"/>
              </w:rPr>
              <w:t>0.3</w:t>
            </w: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r>
      <w:tr>
        <w:trPr>
          <w:trHeight w:val="126"/>
        </w:trPr>
        <w:tc>
          <w:tcPr>
            <w:tcW w:w="120" w:type="dxa"/>
            <w:vAlign w:val="bottom"/>
          </w:tcPr>
          <w:p>
            <w:pPr>
              <w:spacing w:after="0"/>
              <w:rPr>
                <w:sz w:val="10"/>
                <w:szCs w:val="10"/>
                <w:color w:val="auto"/>
              </w:rPr>
            </w:pPr>
          </w:p>
        </w:tc>
        <w:tc>
          <w:tcPr>
            <w:tcW w:w="3540" w:type="dxa"/>
            <w:vAlign w:val="bottom"/>
            <w:gridSpan w:val="2"/>
            <w:shd w:val="clear" w:color="auto" w:fill="CCEEFF"/>
          </w:tcPr>
          <w:p>
            <w:pPr>
              <w:ind w:left="100"/>
              <w:spacing w:after="0"/>
              <w:rPr>
                <w:sz w:val="20"/>
                <w:szCs w:val="20"/>
                <w:color w:val="auto"/>
              </w:rPr>
            </w:pPr>
            <w:r>
              <w:rPr>
                <w:rFonts w:ascii="Arial" w:cs="Arial" w:eastAsia="Arial" w:hAnsi="Arial"/>
                <w:sz w:val="11"/>
                <w:szCs w:val="11"/>
                <w:color w:val="050505"/>
              </w:rPr>
              <w:t>Subscription</w:t>
            </w:r>
          </w:p>
        </w:tc>
        <w:tc>
          <w:tcPr>
            <w:tcW w:w="9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1"/>
                <w:szCs w:val="11"/>
                <w:color w:val="050505"/>
              </w:rPr>
              <w:t>0.1</w:t>
            </w: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20" w:type="dxa"/>
            <w:vAlign w:val="bottom"/>
            <w:tcBorders>
              <w:right w:val="single" w:sz="8" w:color="CCEEFF"/>
            </w:tcBorders>
            <w:shd w:val="clear" w:color="auto" w:fill="CCEEFF"/>
          </w:tcPr>
          <w:p>
            <w:pPr>
              <w:spacing w:after="0"/>
              <w:rPr>
                <w:sz w:val="10"/>
                <w:szCs w:val="10"/>
                <w:color w:val="auto"/>
              </w:rPr>
            </w:pPr>
          </w:p>
        </w:tc>
        <w:tc>
          <w:tcPr>
            <w:tcW w:w="660" w:type="dxa"/>
            <w:vAlign w:val="bottom"/>
            <w:gridSpan w:val="2"/>
            <w:shd w:val="clear" w:color="auto" w:fill="CCEEFF"/>
          </w:tcPr>
          <w:p>
            <w:pPr>
              <w:jc w:val="right"/>
              <w:ind w:right="46"/>
              <w:spacing w:after="0"/>
              <w:rPr>
                <w:sz w:val="20"/>
                <w:szCs w:val="20"/>
                <w:color w:val="auto"/>
              </w:rPr>
            </w:pPr>
            <w:r>
              <w:rPr>
                <w:rFonts w:ascii="Arial" w:cs="Arial" w:eastAsia="Arial" w:hAnsi="Arial"/>
                <w:sz w:val="11"/>
                <w:szCs w:val="11"/>
                <w:color w:val="050505"/>
              </w:rPr>
              <w:t>0.5</w:t>
            </w:r>
          </w:p>
        </w:tc>
        <w:tc>
          <w:tcPr>
            <w:tcW w:w="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1"/>
                <w:szCs w:val="11"/>
                <w:color w:val="050505"/>
              </w:rPr>
              <w:t>3.2</w:t>
            </w:r>
          </w:p>
        </w:tc>
        <w:tc>
          <w:tcPr>
            <w:tcW w:w="120" w:type="dxa"/>
            <w:vAlign w:val="bottom"/>
            <w:tcBorders>
              <w:left w:val="single" w:sz="8" w:color="CCEEFF"/>
            </w:tcBorders>
          </w:tcPr>
          <w:p>
            <w:pPr>
              <w:spacing w:after="0"/>
              <w:rPr>
                <w:sz w:val="10"/>
                <w:szCs w:val="10"/>
                <w:color w:val="auto"/>
              </w:rPr>
            </w:pPr>
          </w:p>
        </w:tc>
        <w:tc>
          <w:tcPr>
            <w:tcW w:w="40" w:type="dxa"/>
            <w:vAlign w:val="bottom"/>
          </w:tcPr>
          <w:p>
            <w:pPr>
              <w:spacing w:after="0"/>
              <w:rPr>
                <w:sz w:val="10"/>
                <w:szCs w:val="10"/>
                <w:color w:val="auto"/>
              </w:rPr>
            </w:pPr>
          </w:p>
        </w:tc>
      </w:tr>
      <w:tr>
        <w:trPr>
          <w:trHeight w:val="126"/>
        </w:trPr>
        <w:tc>
          <w:tcPr>
            <w:tcW w:w="120" w:type="dxa"/>
            <w:vAlign w:val="bottom"/>
          </w:tcPr>
          <w:p>
            <w:pPr>
              <w:spacing w:after="0"/>
              <w:rPr>
                <w:sz w:val="10"/>
                <w:szCs w:val="10"/>
                <w:color w:val="auto"/>
              </w:rPr>
            </w:pPr>
          </w:p>
        </w:tc>
        <w:tc>
          <w:tcPr>
            <w:tcW w:w="3540" w:type="dxa"/>
            <w:vAlign w:val="bottom"/>
            <w:gridSpan w:val="2"/>
          </w:tcPr>
          <w:p>
            <w:pPr>
              <w:ind w:left="100"/>
              <w:spacing w:after="0"/>
              <w:rPr>
                <w:sz w:val="20"/>
                <w:szCs w:val="20"/>
                <w:color w:val="auto"/>
              </w:rPr>
            </w:pPr>
            <w:r>
              <w:rPr>
                <w:rFonts w:ascii="Arial" w:cs="Arial" w:eastAsia="Arial" w:hAnsi="Arial"/>
                <w:sz w:val="11"/>
                <w:szCs w:val="11"/>
                <w:color w:val="050505"/>
              </w:rPr>
              <w:t>Other</w:t>
            </w:r>
          </w:p>
        </w:tc>
        <w:tc>
          <w:tcPr>
            <w:tcW w:w="9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050505"/>
              </w:rPr>
              <w:t>—</w:t>
            </w:r>
          </w:p>
        </w:tc>
        <w:tc>
          <w:tcPr>
            <w:tcW w:w="160" w:type="dxa"/>
            <w:vAlign w:val="bottom"/>
            <w:gridSpan w:val="2"/>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050505"/>
              </w:rPr>
              <w:t>—</w:t>
            </w: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gridSpan w:val="3"/>
          </w:tcPr>
          <w:p>
            <w:pPr>
              <w:jc w:val="right"/>
              <w:ind w:right="160"/>
              <w:spacing w:after="0"/>
              <w:rPr>
                <w:sz w:val="20"/>
                <w:szCs w:val="20"/>
                <w:color w:val="auto"/>
              </w:rPr>
            </w:pPr>
            <w:r>
              <w:rPr>
                <w:rFonts w:ascii="Arial" w:cs="Arial" w:eastAsia="Arial" w:hAnsi="Arial"/>
                <w:sz w:val="11"/>
                <w:szCs w:val="11"/>
                <w:color w:val="050505"/>
              </w:rPr>
              <w:t>—</w:t>
            </w:r>
          </w:p>
        </w:tc>
      </w:tr>
      <w:tr>
        <w:trPr>
          <w:trHeight w:val="20"/>
        </w:trPr>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24"/>
        </w:trPr>
        <w:tc>
          <w:tcPr>
            <w:tcW w:w="120" w:type="dxa"/>
            <w:vAlign w:val="bottom"/>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440" w:type="dxa"/>
            <w:vAlign w:val="bottom"/>
            <w:shd w:val="clear" w:color="auto" w:fill="CCEEFF"/>
          </w:tcPr>
          <w:p>
            <w:pPr>
              <w:ind w:left="80"/>
              <w:spacing w:after="0" w:line="124" w:lineRule="exact"/>
              <w:rPr>
                <w:sz w:val="20"/>
                <w:szCs w:val="20"/>
                <w:color w:val="auto"/>
              </w:rPr>
            </w:pPr>
            <w:r>
              <w:rPr>
                <w:rFonts w:ascii="Arial" w:cs="Arial" w:eastAsia="Arial" w:hAnsi="Arial"/>
                <w:sz w:val="11"/>
                <w:szCs w:val="11"/>
                <w:color w:val="050505"/>
              </w:rPr>
              <w:t>Total cost of revenue</w:t>
            </w:r>
          </w:p>
        </w:tc>
        <w:tc>
          <w:tcPr>
            <w:tcW w:w="9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jc w:val="right"/>
              <w:spacing w:after="0" w:line="124" w:lineRule="exact"/>
              <w:rPr>
                <w:sz w:val="20"/>
                <w:szCs w:val="20"/>
                <w:color w:val="auto"/>
              </w:rPr>
            </w:pPr>
            <w:r>
              <w:rPr>
                <w:rFonts w:ascii="Arial" w:cs="Arial" w:eastAsia="Arial" w:hAnsi="Arial"/>
                <w:sz w:val="11"/>
                <w:szCs w:val="11"/>
                <w:color w:val="050505"/>
              </w:rPr>
              <w:t>0.1</w:t>
            </w: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20" w:type="dxa"/>
            <w:vAlign w:val="bottom"/>
            <w:tcBorders>
              <w:right w:val="single" w:sz="8" w:color="CCEEFF"/>
            </w:tcBorders>
            <w:shd w:val="clear" w:color="auto" w:fill="CCEEFF"/>
          </w:tcPr>
          <w:p>
            <w:pPr>
              <w:spacing w:after="0"/>
              <w:rPr>
                <w:sz w:val="10"/>
                <w:szCs w:val="10"/>
                <w:color w:val="auto"/>
              </w:rPr>
            </w:pPr>
          </w:p>
        </w:tc>
        <w:tc>
          <w:tcPr>
            <w:tcW w:w="560" w:type="dxa"/>
            <w:vAlign w:val="bottom"/>
            <w:shd w:val="clear" w:color="auto" w:fill="CCEEFF"/>
          </w:tcPr>
          <w:p>
            <w:pPr>
              <w:jc w:val="right"/>
              <w:spacing w:after="0" w:line="124" w:lineRule="exact"/>
              <w:rPr>
                <w:sz w:val="20"/>
                <w:szCs w:val="20"/>
                <w:color w:val="auto"/>
              </w:rPr>
            </w:pPr>
            <w:r>
              <w:rPr>
                <w:rFonts w:ascii="Arial" w:cs="Arial" w:eastAsia="Arial" w:hAnsi="Arial"/>
                <w:sz w:val="11"/>
                <w:szCs w:val="11"/>
                <w:color w:val="050505"/>
              </w:rPr>
              <w:t>0.5</w:t>
            </w: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jc w:val="right"/>
              <w:spacing w:after="0" w:line="124" w:lineRule="exact"/>
              <w:rPr>
                <w:sz w:val="20"/>
                <w:szCs w:val="20"/>
                <w:color w:val="auto"/>
              </w:rPr>
            </w:pPr>
            <w:r>
              <w:rPr>
                <w:rFonts w:ascii="Arial" w:cs="Arial" w:eastAsia="Arial" w:hAnsi="Arial"/>
                <w:sz w:val="11"/>
                <w:szCs w:val="11"/>
                <w:color w:val="050505"/>
              </w:rPr>
              <w:t>3.5</w:t>
            </w:r>
          </w:p>
        </w:tc>
        <w:tc>
          <w:tcPr>
            <w:tcW w:w="120" w:type="dxa"/>
            <w:vAlign w:val="bottom"/>
            <w:tcBorders>
              <w:left w:val="single" w:sz="8" w:color="CCEEFF"/>
            </w:tcBorders>
          </w:tcPr>
          <w:p>
            <w:pPr>
              <w:spacing w:after="0"/>
              <w:rPr>
                <w:sz w:val="10"/>
                <w:szCs w:val="10"/>
                <w:color w:val="auto"/>
              </w:rPr>
            </w:pPr>
          </w:p>
        </w:tc>
        <w:tc>
          <w:tcPr>
            <w:tcW w:w="40" w:type="dxa"/>
            <w:vAlign w:val="bottom"/>
          </w:tcPr>
          <w:p>
            <w:pPr>
              <w:spacing w:after="0"/>
              <w:rPr>
                <w:sz w:val="10"/>
                <w:szCs w:val="10"/>
                <w:color w:val="auto"/>
              </w:rPr>
            </w:pPr>
          </w:p>
        </w:tc>
      </w:tr>
      <w:tr>
        <w:trPr>
          <w:trHeight w:val="20"/>
        </w:trPr>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24"/>
        </w:trPr>
        <w:tc>
          <w:tcPr>
            <w:tcW w:w="120" w:type="dxa"/>
            <w:vAlign w:val="bottom"/>
          </w:tcPr>
          <w:p>
            <w:pPr>
              <w:spacing w:after="0"/>
              <w:rPr>
                <w:sz w:val="10"/>
                <w:szCs w:val="10"/>
                <w:color w:val="auto"/>
              </w:rPr>
            </w:pPr>
          </w:p>
        </w:tc>
        <w:tc>
          <w:tcPr>
            <w:tcW w:w="3540" w:type="dxa"/>
            <w:vAlign w:val="bottom"/>
            <w:gridSpan w:val="2"/>
          </w:tcPr>
          <w:p>
            <w:pPr>
              <w:ind w:left="20"/>
              <w:spacing w:after="0" w:line="124" w:lineRule="exact"/>
              <w:rPr>
                <w:sz w:val="20"/>
                <w:szCs w:val="20"/>
                <w:color w:val="auto"/>
              </w:rPr>
            </w:pPr>
            <w:r>
              <w:rPr>
                <w:rFonts w:ascii="Arial" w:cs="Arial" w:eastAsia="Arial" w:hAnsi="Arial"/>
                <w:sz w:val="11"/>
                <w:szCs w:val="11"/>
                <w:color w:val="050505"/>
              </w:rPr>
              <w:t>Research and development</w:t>
            </w:r>
          </w:p>
        </w:tc>
        <w:tc>
          <w:tcPr>
            <w:tcW w:w="9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jc w:val="right"/>
              <w:spacing w:after="0" w:line="124" w:lineRule="exact"/>
              <w:rPr>
                <w:sz w:val="20"/>
                <w:szCs w:val="20"/>
                <w:color w:val="auto"/>
              </w:rPr>
            </w:pPr>
            <w:r>
              <w:rPr>
                <w:rFonts w:ascii="Arial" w:cs="Arial" w:eastAsia="Arial" w:hAnsi="Arial"/>
                <w:sz w:val="11"/>
                <w:szCs w:val="11"/>
                <w:color w:val="050505"/>
              </w:rPr>
              <w:t>0.4</w:t>
            </w: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jc w:val="right"/>
              <w:spacing w:after="0" w:line="124" w:lineRule="exact"/>
              <w:rPr>
                <w:sz w:val="20"/>
                <w:szCs w:val="20"/>
                <w:color w:val="auto"/>
              </w:rPr>
            </w:pPr>
            <w:r>
              <w:rPr>
                <w:rFonts w:ascii="Arial" w:cs="Arial" w:eastAsia="Arial" w:hAnsi="Arial"/>
                <w:sz w:val="11"/>
                <w:szCs w:val="11"/>
                <w:color w:val="050505"/>
              </w:rPr>
              <w:t>0.8</w:t>
            </w: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jc w:val="right"/>
              <w:spacing w:after="0" w:line="124" w:lineRule="exact"/>
              <w:rPr>
                <w:sz w:val="20"/>
                <w:szCs w:val="20"/>
                <w:color w:val="auto"/>
              </w:rPr>
            </w:pPr>
            <w:r>
              <w:rPr>
                <w:rFonts w:ascii="Arial" w:cs="Arial" w:eastAsia="Arial" w:hAnsi="Arial"/>
                <w:sz w:val="11"/>
                <w:szCs w:val="11"/>
                <w:color w:val="050505"/>
              </w:rPr>
              <w:t>7.1</w:t>
            </w: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r>
      <w:tr>
        <w:trPr>
          <w:trHeight w:val="126"/>
        </w:trPr>
        <w:tc>
          <w:tcPr>
            <w:tcW w:w="120" w:type="dxa"/>
            <w:vAlign w:val="bottom"/>
          </w:tcPr>
          <w:p>
            <w:pPr>
              <w:spacing w:after="0"/>
              <w:rPr>
                <w:sz w:val="10"/>
                <w:szCs w:val="10"/>
                <w:color w:val="auto"/>
              </w:rPr>
            </w:pPr>
          </w:p>
        </w:tc>
        <w:tc>
          <w:tcPr>
            <w:tcW w:w="3540" w:type="dxa"/>
            <w:vAlign w:val="bottom"/>
            <w:gridSpan w:val="2"/>
            <w:shd w:val="clear" w:color="auto" w:fill="CCEEFF"/>
          </w:tcPr>
          <w:p>
            <w:pPr>
              <w:ind w:left="20"/>
              <w:spacing w:after="0"/>
              <w:rPr>
                <w:sz w:val="20"/>
                <w:szCs w:val="20"/>
                <w:color w:val="auto"/>
              </w:rPr>
            </w:pPr>
            <w:r>
              <w:rPr>
                <w:rFonts w:ascii="Arial" w:cs="Arial" w:eastAsia="Arial" w:hAnsi="Arial"/>
                <w:sz w:val="11"/>
                <w:szCs w:val="11"/>
                <w:color w:val="050505"/>
              </w:rPr>
              <w:t>Sales and marketing</w:t>
            </w:r>
          </w:p>
        </w:tc>
        <w:tc>
          <w:tcPr>
            <w:tcW w:w="9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1"/>
                <w:szCs w:val="11"/>
                <w:color w:val="050505"/>
              </w:rPr>
              <w:t>0.4</w:t>
            </w: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20" w:type="dxa"/>
            <w:vAlign w:val="bottom"/>
            <w:tcBorders>
              <w:right w:val="single" w:sz="8" w:color="CCEEFF"/>
            </w:tcBorders>
            <w:shd w:val="clear" w:color="auto" w:fill="CCEEFF"/>
          </w:tcPr>
          <w:p>
            <w:pPr>
              <w:spacing w:after="0"/>
              <w:rPr>
                <w:sz w:val="10"/>
                <w:szCs w:val="10"/>
                <w:color w:val="auto"/>
              </w:rPr>
            </w:pPr>
          </w:p>
        </w:tc>
        <w:tc>
          <w:tcPr>
            <w:tcW w:w="660" w:type="dxa"/>
            <w:vAlign w:val="bottom"/>
            <w:gridSpan w:val="2"/>
            <w:shd w:val="clear" w:color="auto" w:fill="CCEEFF"/>
          </w:tcPr>
          <w:p>
            <w:pPr>
              <w:jc w:val="right"/>
              <w:ind w:right="46"/>
              <w:spacing w:after="0"/>
              <w:rPr>
                <w:sz w:val="20"/>
                <w:szCs w:val="20"/>
                <w:color w:val="auto"/>
              </w:rPr>
            </w:pPr>
            <w:r>
              <w:rPr>
                <w:rFonts w:ascii="Arial" w:cs="Arial" w:eastAsia="Arial" w:hAnsi="Arial"/>
                <w:sz w:val="11"/>
                <w:szCs w:val="11"/>
                <w:color w:val="050505"/>
              </w:rPr>
              <w:t>0.7</w:t>
            </w:r>
          </w:p>
        </w:tc>
        <w:tc>
          <w:tcPr>
            <w:tcW w:w="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1"/>
                <w:szCs w:val="11"/>
                <w:color w:val="050505"/>
              </w:rPr>
              <w:t>8.4</w:t>
            </w:r>
          </w:p>
        </w:tc>
        <w:tc>
          <w:tcPr>
            <w:tcW w:w="120" w:type="dxa"/>
            <w:vAlign w:val="bottom"/>
            <w:tcBorders>
              <w:left w:val="single" w:sz="8" w:color="CCEEFF"/>
            </w:tcBorders>
          </w:tcPr>
          <w:p>
            <w:pPr>
              <w:spacing w:after="0"/>
              <w:rPr>
                <w:sz w:val="10"/>
                <w:szCs w:val="10"/>
                <w:color w:val="auto"/>
              </w:rPr>
            </w:pPr>
          </w:p>
        </w:tc>
        <w:tc>
          <w:tcPr>
            <w:tcW w:w="40" w:type="dxa"/>
            <w:vAlign w:val="bottom"/>
          </w:tcPr>
          <w:p>
            <w:pPr>
              <w:spacing w:after="0"/>
              <w:rPr>
                <w:sz w:val="10"/>
                <w:szCs w:val="10"/>
                <w:color w:val="auto"/>
              </w:rPr>
            </w:pPr>
          </w:p>
        </w:tc>
      </w:tr>
      <w:tr>
        <w:trPr>
          <w:trHeight w:val="126"/>
        </w:trPr>
        <w:tc>
          <w:tcPr>
            <w:tcW w:w="120" w:type="dxa"/>
            <w:vAlign w:val="bottom"/>
          </w:tcPr>
          <w:p>
            <w:pPr>
              <w:spacing w:after="0"/>
              <w:rPr>
                <w:sz w:val="10"/>
                <w:szCs w:val="10"/>
                <w:color w:val="auto"/>
              </w:rPr>
            </w:pPr>
          </w:p>
        </w:tc>
        <w:tc>
          <w:tcPr>
            <w:tcW w:w="3540" w:type="dxa"/>
            <w:vAlign w:val="bottom"/>
            <w:gridSpan w:val="2"/>
          </w:tcPr>
          <w:p>
            <w:pPr>
              <w:ind w:left="20"/>
              <w:spacing w:after="0"/>
              <w:rPr>
                <w:sz w:val="20"/>
                <w:szCs w:val="20"/>
                <w:color w:val="auto"/>
              </w:rPr>
            </w:pPr>
            <w:r>
              <w:rPr>
                <w:rFonts w:ascii="Arial" w:cs="Arial" w:eastAsia="Arial" w:hAnsi="Arial"/>
                <w:sz w:val="11"/>
                <w:szCs w:val="11"/>
                <w:color w:val="050505"/>
              </w:rPr>
              <w:t>General and administrative</w:t>
            </w:r>
          </w:p>
        </w:tc>
        <w:tc>
          <w:tcPr>
            <w:tcW w:w="9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050505"/>
              </w:rPr>
              <w:t>9.5</w:t>
            </w: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050505"/>
              </w:rPr>
              <w:t>6.5</w:t>
            </w: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050505"/>
              </w:rPr>
              <w:t>70.5</w:t>
            </w: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r>
      <w:tr>
        <w:trPr>
          <w:trHeight w:val="20"/>
        </w:trPr>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31"/>
        </w:trPr>
        <w:tc>
          <w:tcPr>
            <w:tcW w:w="120" w:type="dxa"/>
            <w:vAlign w:val="bottom"/>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440" w:type="dxa"/>
            <w:vAlign w:val="bottom"/>
            <w:shd w:val="clear" w:color="auto" w:fill="CCEEFF"/>
          </w:tcPr>
          <w:p>
            <w:pPr>
              <w:ind w:left="260"/>
              <w:spacing w:after="0" w:line="124" w:lineRule="exact"/>
              <w:rPr>
                <w:sz w:val="20"/>
                <w:szCs w:val="20"/>
                <w:color w:val="auto"/>
              </w:rPr>
            </w:pPr>
            <w:r>
              <w:rPr>
                <w:rFonts w:ascii="Arial" w:cs="Arial" w:eastAsia="Arial" w:hAnsi="Arial"/>
                <w:sz w:val="11"/>
                <w:szCs w:val="11"/>
                <w:color w:val="050505"/>
              </w:rPr>
              <w:t>Total stock-based compensation expense</w:t>
            </w:r>
          </w:p>
        </w:tc>
        <w:tc>
          <w:tcPr>
            <w:tcW w:w="1100" w:type="dxa"/>
            <w:vAlign w:val="bottom"/>
            <w:gridSpan w:val="2"/>
            <w:shd w:val="clear" w:color="auto" w:fill="CCEEFF"/>
          </w:tcPr>
          <w:p>
            <w:pPr>
              <w:jc w:val="right"/>
              <w:ind w:right="80"/>
              <w:spacing w:after="0" w:line="124" w:lineRule="exact"/>
              <w:rPr>
                <w:sz w:val="20"/>
                <w:szCs w:val="20"/>
                <w:color w:val="auto"/>
              </w:rPr>
            </w:pPr>
            <w:r>
              <w:rPr>
                <w:rFonts w:ascii="Arial" w:cs="Arial" w:eastAsia="Arial" w:hAnsi="Arial"/>
                <w:sz w:val="11"/>
                <w:szCs w:val="11"/>
                <w:color w:val="050505"/>
              </w:rPr>
              <w:t>$</w:t>
            </w:r>
          </w:p>
        </w:tc>
        <w:tc>
          <w:tcPr>
            <w:tcW w:w="8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46"/>
              <w:spacing w:after="0" w:line="124" w:lineRule="exact"/>
              <w:rPr>
                <w:sz w:val="20"/>
                <w:szCs w:val="20"/>
                <w:color w:val="auto"/>
              </w:rPr>
            </w:pPr>
            <w:r>
              <w:rPr>
                <w:rFonts w:ascii="Arial" w:cs="Arial" w:eastAsia="Arial" w:hAnsi="Arial"/>
                <w:sz w:val="11"/>
                <w:szCs w:val="11"/>
                <w:color w:val="050505"/>
              </w:rPr>
              <w:t>10.3</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050505"/>
                <w:w w:val="71"/>
              </w:rPr>
              <w:t>$</w:t>
            </w:r>
          </w:p>
        </w:tc>
        <w:tc>
          <w:tcPr>
            <w:tcW w:w="120" w:type="dxa"/>
            <w:vAlign w:val="bottom"/>
            <w:tcBorders>
              <w:right w:val="single" w:sz="8" w:color="CCEEFF"/>
            </w:tcBorders>
            <w:shd w:val="clear" w:color="auto" w:fill="CCEEFF"/>
          </w:tcPr>
          <w:p>
            <w:pPr>
              <w:spacing w:after="0"/>
              <w:rPr>
                <w:sz w:val="11"/>
                <w:szCs w:val="11"/>
                <w:color w:val="auto"/>
              </w:rPr>
            </w:pPr>
          </w:p>
        </w:tc>
        <w:tc>
          <w:tcPr>
            <w:tcW w:w="660" w:type="dxa"/>
            <w:vAlign w:val="bottom"/>
            <w:gridSpan w:val="2"/>
            <w:shd w:val="clear" w:color="auto" w:fill="CCEEFF"/>
          </w:tcPr>
          <w:p>
            <w:pPr>
              <w:jc w:val="right"/>
              <w:ind w:right="46"/>
              <w:spacing w:after="0" w:line="124" w:lineRule="exact"/>
              <w:rPr>
                <w:sz w:val="20"/>
                <w:szCs w:val="20"/>
                <w:color w:val="auto"/>
              </w:rPr>
            </w:pPr>
            <w:r>
              <w:rPr>
                <w:rFonts w:ascii="Arial" w:cs="Arial" w:eastAsia="Arial" w:hAnsi="Arial"/>
                <w:sz w:val="11"/>
                <w:szCs w:val="11"/>
                <w:color w:val="050505"/>
              </w:rPr>
              <w:t>8.5</w:t>
            </w:r>
          </w:p>
        </w:tc>
        <w:tc>
          <w:tcPr>
            <w:tcW w:w="180" w:type="dxa"/>
            <w:vAlign w:val="bottom"/>
            <w:gridSpan w:val="2"/>
            <w:shd w:val="clear" w:color="auto" w:fill="CCEEFF"/>
          </w:tcPr>
          <w:p>
            <w:pPr>
              <w:jc w:val="right"/>
              <w:ind w:right="60"/>
              <w:spacing w:after="0" w:line="124" w:lineRule="exact"/>
              <w:rPr>
                <w:sz w:val="20"/>
                <w:szCs w:val="20"/>
                <w:color w:val="auto"/>
              </w:rPr>
            </w:pPr>
            <w:r>
              <w:rPr>
                <w:rFonts w:ascii="Arial" w:cs="Arial" w:eastAsia="Arial" w:hAnsi="Arial"/>
                <w:sz w:val="11"/>
                <w:szCs w:val="11"/>
                <w:color w:val="050505"/>
              </w:rPr>
              <w:t>$</w:t>
            </w: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24" w:lineRule="exact"/>
              <w:rPr>
                <w:sz w:val="20"/>
                <w:szCs w:val="20"/>
                <w:color w:val="auto"/>
              </w:rPr>
            </w:pPr>
            <w:r>
              <w:rPr>
                <w:rFonts w:ascii="Arial" w:cs="Arial" w:eastAsia="Arial" w:hAnsi="Arial"/>
                <w:sz w:val="11"/>
                <w:szCs w:val="11"/>
                <w:color w:val="050505"/>
              </w:rPr>
              <w:t>89.5</w:t>
            </w:r>
          </w:p>
        </w:tc>
        <w:tc>
          <w:tcPr>
            <w:tcW w:w="120" w:type="dxa"/>
            <w:vAlign w:val="bottom"/>
            <w:tcBorders>
              <w:left w:val="single" w:sz="8" w:color="CCEEFF"/>
            </w:tcBorders>
          </w:tcPr>
          <w:p>
            <w:pPr>
              <w:spacing w:after="0"/>
              <w:rPr>
                <w:sz w:val="11"/>
                <w:szCs w:val="11"/>
                <w:color w:val="auto"/>
              </w:rPr>
            </w:pPr>
          </w:p>
        </w:tc>
        <w:tc>
          <w:tcPr>
            <w:tcW w:w="40" w:type="dxa"/>
            <w:vAlign w:val="bottom"/>
          </w:tcPr>
          <w:p>
            <w:pPr>
              <w:spacing w:after="0"/>
              <w:rPr>
                <w:sz w:val="11"/>
                <w:szCs w:val="11"/>
                <w:color w:val="auto"/>
              </w:rPr>
            </w:pPr>
          </w:p>
        </w:tc>
      </w:tr>
      <w:tr>
        <w:trPr>
          <w:trHeight w:val="150"/>
        </w:trPr>
        <w:tc>
          <w:tcPr>
            <w:tcW w:w="3660" w:type="dxa"/>
            <w:vAlign w:val="bottom"/>
            <w:gridSpan w:val="3"/>
          </w:tcPr>
          <w:p>
            <w:pPr>
              <w:spacing w:after="0"/>
              <w:rPr>
                <w:sz w:val="20"/>
                <w:szCs w:val="20"/>
                <w:color w:val="auto"/>
              </w:rPr>
            </w:pPr>
            <w:r>
              <w:rPr>
                <w:rFonts w:ascii="Arial" w:cs="Arial" w:eastAsia="Arial" w:hAnsi="Arial"/>
                <w:sz w:val="8"/>
                <w:szCs w:val="8"/>
                <w:color w:val="050505"/>
              </w:rPr>
              <w:t>(2)  Includes depreciation and amortization expense as follows:</w:t>
            </w:r>
          </w:p>
        </w:tc>
        <w:tc>
          <w:tcPr>
            <w:tcW w:w="96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165"/>
        </w:trPr>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520" w:type="dxa"/>
            <w:vAlign w:val="bottom"/>
            <w:gridSpan w:val="13"/>
          </w:tcPr>
          <w:p>
            <w:pPr>
              <w:jc w:val="center"/>
              <w:ind w:right="140"/>
              <w:spacing w:after="0"/>
              <w:rPr>
                <w:sz w:val="20"/>
                <w:szCs w:val="20"/>
                <w:color w:val="auto"/>
              </w:rPr>
            </w:pPr>
            <w:r>
              <w:rPr>
                <w:rFonts w:ascii="Arial" w:cs="Arial" w:eastAsia="Arial" w:hAnsi="Arial"/>
                <w:sz w:val="11"/>
                <w:szCs w:val="11"/>
                <w:b w:val="1"/>
                <w:bCs w:val="1"/>
                <w:color w:val="050505"/>
                <w:w w:val="97"/>
              </w:rPr>
              <w:t>Fiscal Year Ended June 30,</w:t>
            </w:r>
          </w:p>
        </w:tc>
      </w:tr>
      <w:tr>
        <w:trPr>
          <w:trHeight w:val="115"/>
        </w:trPr>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Borders>
              <w:top w:val="single" w:sz="8" w:color="auto"/>
              <w:bottom w:val="single" w:sz="8" w:color="auto"/>
            </w:tcBorders>
          </w:tcPr>
          <w:p>
            <w:pPr>
              <w:spacing w:after="0"/>
              <w:rPr>
                <w:sz w:val="10"/>
                <w:szCs w:val="10"/>
                <w:color w:val="auto"/>
              </w:rPr>
            </w:pPr>
          </w:p>
        </w:tc>
        <w:tc>
          <w:tcPr>
            <w:tcW w:w="540" w:type="dxa"/>
            <w:vAlign w:val="bottom"/>
            <w:tcBorders>
              <w:top w:val="single" w:sz="8" w:color="auto"/>
              <w:bottom w:val="single" w:sz="8" w:color="auto"/>
            </w:tcBorders>
          </w:tcPr>
          <w:p>
            <w:pPr>
              <w:jc w:val="right"/>
              <w:ind w:right="86"/>
              <w:spacing w:after="0" w:line="115" w:lineRule="exact"/>
              <w:rPr>
                <w:sz w:val="20"/>
                <w:szCs w:val="20"/>
                <w:color w:val="auto"/>
              </w:rPr>
            </w:pPr>
            <w:r>
              <w:rPr>
                <w:rFonts w:ascii="Arial" w:cs="Arial" w:eastAsia="Arial" w:hAnsi="Arial"/>
                <w:sz w:val="11"/>
                <w:szCs w:val="11"/>
                <w:b w:val="1"/>
                <w:bCs w:val="1"/>
                <w:color w:val="050505"/>
              </w:rPr>
              <w:t>2017</w:t>
            </w:r>
          </w:p>
        </w:tc>
        <w:tc>
          <w:tcPr>
            <w:tcW w:w="100" w:type="dxa"/>
            <w:vAlign w:val="bottom"/>
            <w:tcBorders>
              <w:top w:val="single" w:sz="8" w:color="auto"/>
              <w:bottom w:val="single" w:sz="8" w:color="auto"/>
            </w:tcBorders>
          </w:tcPr>
          <w:p>
            <w:pPr>
              <w:spacing w:after="0"/>
              <w:rPr>
                <w:sz w:val="10"/>
                <w:szCs w:val="10"/>
                <w:color w:val="auto"/>
              </w:rPr>
            </w:pPr>
          </w:p>
        </w:tc>
        <w:tc>
          <w:tcPr>
            <w:tcW w:w="60" w:type="dxa"/>
            <w:vAlign w:val="bottom"/>
            <w:tcBorders>
              <w:top w:val="single" w:sz="8" w:color="auto"/>
              <w:bottom w:val="single" w:sz="8" w:color="auto"/>
            </w:tcBorders>
          </w:tcPr>
          <w:p>
            <w:pPr>
              <w:spacing w:after="0"/>
              <w:rPr>
                <w:sz w:val="10"/>
                <w:szCs w:val="10"/>
                <w:color w:val="auto"/>
              </w:rPr>
            </w:pPr>
          </w:p>
        </w:tc>
        <w:tc>
          <w:tcPr>
            <w:tcW w:w="60" w:type="dxa"/>
            <w:vAlign w:val="bottom"/>
            <w:tcBorders>
              <w:top w:val="single" w:sz="8" w:color="auto"/>
              <w:bottom w:val="single" w:sz="8" w:color="auto"/>
            </w:tcBorders>
          </w:tcPr>
          <w:p>
            <w:pPr>
              <w:spacing w:after="0"/>
              <w:rPr>
                <w:sz w:val="10"/>
                <w:szCs w:val="10"/>
                <w:color w:val="auto"/>
              </w:rPr>
            </w:pPr>
          </w:p>
        </w:tc>
        <w:tc>
          <w:tcPr>
            <w:tcW w:w="120" w:type="dxa"/>
            <w:vAlign w:val="bottom"/>
            <w:tcBorders>
              <w:top w:val="single" w:sz="8" w:color="auto"/>
              <w:bottom w:val="single" w:sz="8" w:color="auto"/>
            </w:tcBorders>
          </w:tcPr>
          <w:p>
            <w:pPr>
              <w:spacing w:after="0"/>
              <w:rPr>
                <w:sz w:val="10"/>
                <w:szCs w:val="10"/>
                <w:color w:val="auto"/>
              </w:rPr>
            </w:pPr>
          </w:p>
        </w:tc>
        <w:tc>
          <w:tcPr>
            <w:tcW w:w="560" w:type="dxa"/>
            <w:vAlign w:val="bottom"/>
            <w:tcBorders>
              <w:top w:val="single" w:sz="8" w:color="auto"/>
              <w:bottom w:val="single" w:sz="8" w:color="auto"/>
            </w:tcBorders>
          </w:tcPr>
          <w:p>
            <w:pPr>
              <w:jc w:val="center"/>
              <w:spacing w:after="0" w:line="115" w:lineRule="exact"/>
              <w:rPr>
                <w:sz w:val="20"/>
                <w:szCs w:val="20"/>
                <w:color w:val="auto"/>
              </w:rPr>
            </w:pPr>
            <w:r>
              <w:rPr>
                <w:rFonts w:ascii="Arial" w:cs="Arial" w:eastAsia="Arial" w:hAnsi="Arial"/>
                <w:sz w:val="11"/>
                <w:szCs w:val="11"/>
                <w:b w:val="1"/>
                <w:bCs w:val="1"/>
                <w:color w:val="050505"/>
                <w:w w:val="97"/>
              </w:rPr>
              <w:t>2018</w:t>
            </w:r>
          </w:p>
        </w:tc>
        <w:tc>
          <w:tcPr>
            <w:tcW w:w="100" w:type="dxa"/>
            <w:vAlign w:val="bottom"/>
            <w:tcBorders>
              <w:top w:val="single" w:sz="8" w:color="auto"/>
              <w:bottom w:val="single" w:sz="8" w:color="auto"/>
            </w:tcBorders>
          </w:tcPr>
          <w:p>
            <w:pPr>
              <w:spacing w:after="0"/>
              <w:rPr>
                <w:sz w:val="10"/>
                <w:szCs w:val="10"/>
                <w:color w:val="auto"/>
              </w:rPr>
            </w:pPr>
          </w:p>
        </w:tc>
        <w:tc>
          <w:tcPr>
            <w:tcW w:w="60" w:type="dxa"/>
            <w:vAlign w:val="bottom"/>
            <w:tcBorders>
              <w:top w:val="single" w:sz="8" w:color="auto"/>
              <w:bottom w:val="single" w:sz="8" w:color="auto"/>
            </w:tcBorders>
          </w:tcPr>
          <w:p>
            <w:pPr>
              <w:spacing w:after="0"/>
              <w:rPr>
                <w:sz w:val="10"/>
                <w:szCs w:val="10"/>
                <w:color w:val="auto"/>
              </w:rPr>
            </w:pPr>
          </w:p>
        </w:tc>
        <w:tc>
          <w:tcPr>
            <w:tcW w:w="120" w:type="dxa"/>
            <w:vAlign w:val="bottom"/>
            <w:tcBorders>
              <w:top w:val="single" w:sz="8" w:color="auto"/>
              <w:bottom w:val="single" w:sz="8" w:color="auto"/>
            </w:tcBorders>
          </w:tcPr>
          <w:p>
            <w:pPr>
              <w:spacing w:after="0"/>
              <w:rPr>
                <w:sz w:val="10"/>
                <w:szCs w:val="10"/>
                <w:color w:val="auto"/>
              </w:rPr>
            </w:pPr>
          </w:p>
        </w:tc>
        <w:tc>
          <w:tcPr>
            <w:tcW w:w="100" w:type="dxa"/>
            <w:vAlign w:val="bottom"/>
            <w:tcBorders>
              <w:top w:val="single" w:sz="8" w:color="auto"/>
              <w:bottom w:val="single" w:sz="8" w:color="auto"/>
            </w:tcBorders>
          </w:tcPr>
          <w:p>
            <w:pPr>
              <w:spacing w:after="0"/>
              <w:rPr>
                <w:sz w:val="10"/>
                <w:szCs w:val="10"/>
                <w:color w:val="auto"/>
              </w:rPr>
            </w:pPr>
          </w:p>
        </w:tc>
        <w:tc>
          <w:tcPr>
            <w:tcW w:w="540" w:type="dxa"/>
            <w:vAlign w:val="bottom"/>
            <w:tcBorders>
              <w:top w:val="single" w:sz="8" w:color="auto"/>
              <w:bottom w:val="single" w:sz="8" w:color="auto"/>
            </w:tcBorders>
          </w:tcPr>
          <w:p>
            <w:pPr>
              <w:jc w:val="right"/>
              <w:ind w:right="86"/>
              <w:spacing w:after="0" w:line="115" w:lineRule="exact"/>
              <w:rPr>
                <w:sz w:val="20"/>
                <w:szCs w:val="20"/>
                <w:color w:val="auto"/>
              </w:rPr>
            </w:pPr>
            <w:r>
              <w:rPr>
                <w:rFonts w:ascii="Arial" w:cs="Arial" w:eastAsia="Arial" w:hAnsi="Arial"/>
                <w:sz w:val="11"/>
                <w:szCs w:val="11"/>
                <w:b w:val="1"/>
                <w:bCs w:val="1"/>
                <w:color w:val="050505"/>
              </w:rPr>
              <w:t>2019</w:t>
            </w:r>
          </w:p>
        </w:tc>
        <w:tc>
          <w:tcPr>
            <w:tcW w:w="120" w:type="dxa"/>
            <w:vAlign w:val="bottom"/>
            <w:tcBorders>
              <w:top w:val="single" w:sz="8" w:color="auto"/>
              <w:bottom w:val="single" w:sz="8" w:color="auto"/>
            </w:tcBorders>
          </w:tcPr>
          <w:p>
            <w:pPr>
              <w:spacing w:after="0"/>
              <w:rPr>
                <w:sz w:val="10"/>
                <w:szCs w:val="10"/>
                <w:color w:val="auto"/>
              </w:rPr>
            </w:pPr>
          </w:p>
        </w:tc>
        <w:tc>
          <w:tcPr>
            <w:tcW w:w="40" w:type="dxa"/>
            <w:vAlign w:val="bottom"/>
          </w:tcPr>
          <w:p>
            <w:pPr>
              <w:spacing w:after="0"/>
              <w:rPr>
                <w:sz w:val="10"/>
                <w:szCs w:val="10"/>
                <w:color w:val="auto"/>
              </w:rPr>
            </w:pPr>
          </w:p>
        </w:tc>
      </w:tr>
      <w:tr>
        <w:trPr>
          <w:trHeight w:val="115"/>
        </w:trPr>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gridSpan w:val="2"/>
          </w:tcPr>
          <w:p>
            <w:pPr>
              <w:jc w:val="center"/>
              <w:spacing w:after="0" w:line="115" w:lineRule="exact"/>
              <w:rPr>
                <w:sz w:val="20"/>
                <w:szCs w:val="20"/>
                <w:color w:val="auto"/>
              </w:rPr>
            </w:pPr>
            <w:r>
              <w:rPr>
                <w:rFonts w:ascii="Arial" w:cs="Arial" w:eastAsia="Arial" w:hAnsi="Arial"/>
                <w:sz w:val="11"/>
                <w:szCs w:val="11"/>
                <w:b w:val="1"/>
                <w:bCs w:val="1"/>
                <w:color w:val="050505"/>
                <w:w w:val="97"/>
              </w:rPr>
              <w:t>(in millions)</w:t>
            </w: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r>
      <w:tr>
        <w:trPr>
          <w:trHeight w:val="126"/>
        </w:trPr>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40" w:type="dxa"/>
            <w:vAlign w:val="bottom"/>
            <w:shd w:val="clear" w:color="auto" w:fill="CCEEFF"/>
          </w:tcPr>
          <w:p>
            <w:pPr>
              <w:ind w:left="20"/>
              <w:spacing w:after="0"/>
              <w:rPr>
                <w:sz w:val="20"/>
                <w:szCs w:val="20"/>
                <w:color w:val="auto"/>
              </w:rPr>
            </w:pPr>
            <w:r>
              <w:rPr>
                <w:rFonts w:ascii="Arial" w:cs="Arial" w:eastAsia="Arial" w:hAnsi="Arial"/>
                <w:sz w:val="11"/>
                <w:szCs w:val="11"/>
                <w:color w:val="050505"/>
              </w:rPr>
              <w:t>Cost of revenue:</w:t>
            </w:r>
          </w:p>
        </w:tc>
        <w:tc>
          <w:tcPr>
            <w:tcW w:w="9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20" w:type="dxa"/>
            <w:vAlign w:val="bottom"/>
            <w:tcBorders>
              <w:right w:val="single" w:sz="8" w:color="CCEEFF"/>
            </w:tcBorders>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20" w:type="dxa"/>
            <w:vAlign w:val="bottom"/>
            <w:tcBorders>
              <w:left w:val="single" w:sz="8" w:color="CCEEFF"/>
            </w:tcBorders>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r>
      <w:tr>
        <w:trPr>
          <w:trHeight w:val="126"/>
        </w:trPr>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40" w:type="dxa"/>
            <w:vAlign w:val="bottom"/>
          </w:tcPr>
          <w:p>
            <w:pPr>
              <w:ind w:left="120"/>
              <w:spacing w:after="0"/>
              <w:rPr>
                <w:sz w:val="20"/>
                <w:szCs w:val="20"/>
                <w:color w:val="auto"/>
              </w:rPr>
            </w:pPr>
            <w:r>
              <w:rPr>
                <w:rFonts w:ascii="Arial" w:cs="Arial" w:eastAsia="Arial" w:hAnsi="Arial"/>
                <w:sz w:val="11"/>
                <w:szCs w:val="11"/>
                <w:color w:val="050505"/>
              </w:rPr>
              <w:t>Connected Fitness Products</w:t>
            </w:r>
          </w:p>
        </w:tc>
        <w:tc>
          <w:tcPr>
            <w:tcW w:w="1180" w:type="dxa"/>
            <w:vAlign w:val="bottom"/>
            <w:gridSpan w:val="3"/>
          </w:tcPr>
          <w:p>
            <w:pPr>
              <w:jc w:val="right"/>
              <w:ind w:right="20"/>
              <w:spacing w:after="0"/>
              <w:rPr>
                <w:sz w:val="20"/>
                <w:szCs w:val="20"/>
                <w:color w:val="auto"/>
              </w:rPr>
            </w:pPr>
            <w:r>
              <w:rPr>
                <w:rFonts w:ascii="Arial" w:cs="Arial" w:eastAsia="Arial" w:hAnsi="Arial"/>
                <w:sz w:val="11"/>
                <w:szCs w:val="11"/>
                <w:color w:val="050505"/>
              </w:rPr>
              <w:t>$</w:t>
            </w:r>
          </w:p>
        </w:tc>
        <w:tc>
          <w:tcPr>
            <w:tcW w:w="640" w:type="dxa"/>
            <w:vAlign w:val="bottom"/>
            <w:gridSpan w:val="2"/>
          </w:tcPr>
          <w:p>
            <w:pPr>
              <w:jc w:val="right"/>
              <w:spacing w:after="0"/>
              <w:rPr>
                <w:sz w:val="20"/>
                <w:szCs w:val="20"/>
                <w:color w:val="auto"/>
              </w:rPr>
            </w:pPr>
            <w:r>
              <w:rPr>
                <w:rFonts w:ascii="Arial" w:cs="Arial" w:eastAsia="Arial" w:hAnsi="Arial"/>
                <w:sz w:val="11"/>
                <w:szCs w:val="11"/>
                <w:color w:val="050505"/>
              </w:rPr>
              <w:t>0.4</w:t>
            </w: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050505"/>
              </w:rPr>
              <w:t>$</w:t>
            </w:r>
          </w:p>
        </w:tc>
        <w:tc>
          <w:tcPr>
            <w:tcW w:w="660" w:type="dxa"/>
            <w:vAlign w:val="bottom"/>
            <w:gridSpan w:val="2"/>
          </w:tcPr>
          <w:p>
            <w:pPr>
              <w:jc w:val="right"/>
              <w:spacing w:after="0"/>
              <w:rPr>
                <w:sz w:val="20"/>
                <w:szCs w:val="20"/>
                <w:color w:val="auto"/>
              </w:rPr>
            </w:pPr>
            <w:r>
              <w:rPr>
                <w:rFonts w:ascii="Arial" w:cs="Arial" w:eastAsia="Arial" w:hAnsi="Arial"/>
                <w:sz w:val="11"/>
                <w:szCs w:val="11"/>
                <w:color w:val="050505"/>
              </w:rPr>
              <w:t>0.3</w:t>
            </w:r>
          </w:p>
        </w:tc>
        <w:tc>
          <w:tcPr>
            <w:tcW w:w="280" w:type="dxa"/>
            <w:vAlign w:val="bottom"/>
            <w:gridSpan w:val="3"/>
          </w:tcPr>
          <w:p>
            <w:pPr>
              <w:jc w:val="right"/>
              <w:ind w:right="40"/>
              <w:spacing w:after="0"/>
              <w:rPr>
                <w:sz w:val="20"/>
                <w:szCs w:val="20"/>
                <w:color w:val="auto"/>
              </w:rPr>
            </w:pPr>
            <w:r>
              <w:rPr>
                <w:rFonts w:ascii="Arial" w:cs="Arial" w:eastAsia="Arial" w:hAnsi="Arial"/>
                <w:sz w:val="11"/>
                <w:szCs w:val="11"/>
                <w:color w:val="050505"/>
              </w:rPr>
              <w:t>$</w:t>
            </w:r>
          </w:p>
        </w:tc>
        <w:tc>
          <w:tcPr>
            <w:tcW w:w="660" w:type="dxa"/>
            <w:vAlign w:val="bottom"/>
            <w:gridSpan w:val="2"/>
          </w:tcPr>
          <w:p>
            <w:pPr>
              <w:jc w:val="right"/>
              <w:spacing w:after="0"/>
              <w:rPr>
                <w:sz w:val="20"/>
                <w:szCs w:val="20"/>
                <w:color w:val="auto"/>
              </w:rPr>
            </w:pPr>
            <w:r>
              <w:rPr>
                <w:rFonts w:ascii="Arial" w:cs="Arial" w:eastAsia="Arial" w:hAnsi="Arial"/>
                <w:sz w:val="11"/>
                <w:szCs w:val="11"/>
                <w:color w:val="050505"/>
              </w:rPr>
              <w:t>1.2</w:t>
            </w:r>
          </w:p>
        </w:tc>
        <w:tc>
          <w:tcPr>
            <w:tcW w:w="40" w:type="dxa"/>
            <w:vAlign w:val="bottom"/>
          </w:tcPr>
          <w:p>
            <w:pPr>
              <w:spacing w:after="0"/>
              <w:rPr>
                <w:sz w:val="10"/>
                <w:szCs w:val="10"/>
                <w:color w:val="auto"/>
              </w:rPr>
            </w:pPr>
          </w:p>
        </w:tc>
      </w:tr>
      <w:tr>
        <w:trPr>
          <w:trHeight w:val="126"/>
        </w:trPr>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40" w:type="dxa"/>
            <w:vAlign w:val="bottom"/>
            <w:shd w:val="clear" w:color="auto" w:fill="CCEEFF"/>
          </w:tcPr>
          <w:p>
            <w:pPr>
              <w:ind w:left="120"/>
              <w:spacing w:after="0"/>
              <w:rPr>
                <w:sz w:val="20"/>
                <w:szCs w:val="20"/>
                <w:color w:val="auto"/>
              </w:rPr>
            </w:pPr>
            <w:r>
              <w:rPr>
                <w:rFonts w:ascii="Arial" w:cs="Arial" w:eastAsia="Arial" w:hAnsi="Arial"/>
                <w:sz w:val="11"/>
                <w:szCs w:val="11"/>
                <w:color w:val="050505"/>
              </w:rPr>
              <w:t>Subscription</w:t>
            </w:r>
          </w:p>
        </w:tc>
        <w:tc>
          <w:tcPr>
            <w:tcW w:w="9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050505"/>
              </w:rPr>
              <w:t>1.2</w:t>
            </w: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20" w:type="dxa"/>
            <w:vAlign w:val="bottom"/>
            <w:tcBorders>
              <w:right w:val="single" w:sz="8" w:color="CCEEFF"/>
            </w:tcBorders>
            <w:shd w:val="clear" w:color="auto" w:fill="CCEEFF"/>
          </w:tcPr>
          <w:p>
            <w:pPr>
              <w:spacing w:after="0"/>
              <w:rPr>
                <w:sz w:val="10"/>
                <w:szCs w:val="10"/>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050505"/>
              </w:rPr>
              <w:t>2.8</w:t>
            </w:r>
          </w:p>
        </w:tc>
        <w:tc>
          <w:tcPr>
            <w:tcW w:w="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050505"/>
              </w:rPr>
              <w:t>11.3</w:t>
            </w:r>
          </w:p>
        </w:tc>
        <w:tc>
          <w:tcPr>
            <w:tcW w:w="40" w:type="dxa"/>
            <w:vAlign w:val="bottom"/>
            <w:shd w:val="clear" w:color="auto" w:fill="CCEEFF"/>
          </w:tcPr>
          <w:p>
            <w:pPr>
              <w:spacing w:after="0"/>
              <w:rPr>
                <w:sz w:val="10"/>
                <w:szCs w:val="10"/>
                <w:color w:val="auto"/>
              </w:rPr>
            </w:pPr>
          </w:p>
        </w:tc>
      </w:tr>
      <w:tr>
        <w:trPr>
          <w:trHeight w:val="126"/>
        </w:trPr>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40" w:type="dxa"/>
            <w:vAlign w:val="bottom"/>
          </w:tcPr>
          <w:p>
            <w:pPr>
              <w:ind w:left="120"/>
              <w:spacing w:after="0"/>
              <w:rPr>
                <w:sz w:val="20"/>
                <w:szCs w:val="20"/>
                <w:color w:val="auto"/>
              </w:rPr>
            </w:pPr>
            <w:r>
              <w:rPr>
                <w:rFonts w:ascii="Arial" w:cs="Arial" w:eastAsia="Arial" w:hAnsi="Arial"/>
                <w:sz w:val="11"/>
                <w:szCs w:val="11"/>
                <w:color w:val="050505"/>
              </w:rPr>
              <w:t>Other</w:t>
            </w:r>
          </w:p>
        </w:tc>
        <w:tc>
          <w:tcPr>
            <w:tcW w:w="9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60" w:type="dxa"/>
            <w:vAlign w:val="bottom"/>
            <w:gridSpan w:val="2"/>
          </w:tcPr>
          <w:p>
            <w:pPr>
              <w:jc w:val="right"/>
              <w:ind w:right="60"/>
              <w:spacing w:after="0"/>
              <w:rPr>
                <w:sz w:val="20"/>
                <w:szCs w:val="20"/>
                <w:color w:val="auto"/>
              </w:rPr>
            </w:pPr>
            <w:r>
              <w:rPr>
                <w:rFonts w:ascii="Arial" w:cs="Arial" w:eastAsia="Arial" w:hAnsi="Arial"/>
                <w:sz w:val="11"/>
                <w:szCs w:val="11"/>
                <w:color w:val="050505"/>
                <w:w w:val="72"/>
              </w:rPr>
              <w:t>—</w:t>
            </w: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050505"/>
                <w:w w:val="72"/>
              </w:rPr>
              <w:t>—</w:t>
            </w: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60" w:type="dxa"/>
            <w:vAlign w:val="bottom"/>
            <w:gridSpan w:val="2"/>
          </w:tcPr>
          <w:p>
            <w:pPr>
              <w:jc w:val="right"/>
              <w:ind w:right="40"/>
              <w:spacing w:after="0"/>
              <w:rPr>
                <w:sz w:val="20"/>
                <w:szCs w:val="20"/>
                <w:color w:val="auto"/>
              </w:rPr>
            </w:pPr>
            <w:r>
              <w:rPr>
                <w:rFonts w:ascii="Arial" w:cs="Arial" w:eastAsia="Arial" w:hAnsi="Arial"/>
                <w:sz w:val="11"/>
                <w:szCs w:val="11"/>
                <w:color w:val="050505"/>
                <w:w w:val="90"/>
              </w:rPr>
              <w:t>—</w:t>
            </w:r>
          </w:p>
        </w:tc>
      </w:tr>
      <w:tr>
        <w:trPr>
          <w:trHeight w:val="124"/>
        </w:trPr>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40" w:type="dxa"/>
            <w:vAlign w:val="bottom"/>
            <w:shd w:val="clear" w:color="auto" w:fill="CCEEFF"/>
          </w:tcPr>
          <w:p>
            <w:pPr>
              <w:ind w:left="200"/>
              <w:spacing w:after="0" w:line="124" w:lineRule="exact"/>
              <w:rPr>
                <w:sz w:val="20"/>
                <w:szCs w:val="20"/>
                <w:color w:val="auto"/>
              </w:rPr>
            </w:pPr>
            <w:r>
              <w:rPr>
                <w:rFonts w:ascii="Arial" w:cs="Arial" w:eastAsia="Arial" w:hAnsi="Arial"/>
                <w:sz w:val="11"/>
                <w:szCs w:val="11"/>
                <w:color w:val="050505"/>
              </w:rPr>
              <w:t>Total cost of revenue</w:t>
            </w:r>
          </w:p>
        </w:tc>
        <w:tc>
          <w:tcPr>
            <w:tcW w:w="9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tcBorders>
              <w:top w:val="single" w:sz="8" w:color="auto"/>
              <w:bottom w:val="single" w:sz="8" w:color="auto"/>
            </w:tcBorders>
            <w:shd w:val="clear" w:color="auto" w:fill="CCEEFF"/>
          </w:tcPr>
          <w:p>
            <w:pPr>
              <w:spacing w:after="0"/>
              <w:rPr>
                <w:sz w:val="10"/>
                <w:szCs w:val="10"/>
                <w:color w:val="auto"/>
              </w:rPr>
            </w:pPr>
          </w:p>
        </w:tc>
        <w:tc>
          <w:tcPr>
            <w:tcW w:w="640" w:type="dxa"/>
            <w:vAlign w:val="bottom"/>
            <w:tcBorders>
              <w:top w:val="single" w:sz="8" w:color="auto"/>
              <w:bottom w:val="single" w:sz="8" w:color="auto"/>
            </w:tcBorders>
            <w:gridSpan w:val="2"/>
            <w:shd w:val="clear" w:color="auto" w:fill="CCEEFF"/>
          </w:tcPr>
          <w:p>
            <w:pPr>
              <w:jc w:val="right"/>
              <w:spacing w:after="0" w:line="124" w:lineRule="exact"/>
              <w:rPr>
                <w:sz w:val="20"/>
                <w:szCs w:val="20"/>
                <w:color w:val="auto"/>
              </w:rPr>
            </w:pPr>
            <w:r>
              <w:rPr>
                <w:rFonts w:ascii="Arial" w:cs="Arial" w:eastAsia="Arial" w:hAnsi="Arial"/>
                <w:sz w:val="11"/>
                <w:szCs w:val="11"/>
                <w:color w:val="050505"/>
              </w:rPr>
              <w:t>1.6</w:t>
            </w: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20" w:type="dxa"/>
            <w:vAlign w:val="bottom"/>
            <w:tcBorders>
              <w:right w:val="single" w:sz="8" w:color="CCEEFF"/>
            </w:tcBorders>
            <w:shd w:val="clear" w:color="auto" w:fill="CCEEFF"/>
          </w:tcPr>
          <w:p>
            <w:pPr>
              <w:spacing w:after="0"/>
              <w:rPr>
                <w:sz w:val="10"/>
                <w:szCs w:val="10"/>
                <w:color w:val="auto"/>
              </w:rPr>
            </w:pPr>
          </w:p>
        </w:tc>
        <w:tc>
          <w:tcPr>
            <w:tcW w:w="660" w:type="dxa"/>
            <w:vAlign w:val="bottom"/>
            <w:tcBorders>
              <w:top w:val="single" w:sz="8" w:color="auto"/>
              <w:bottom w:val="single" w:sz="8" w:color="auto"/>
            </w:tcBorders>
            <w:gridSpan w:val="2"/>
            <w:shd w:val="clear" w:color="auto" w:fill="CCEEFF"/>
          </w:tcPr>
          <w:p>
            <w:pPr>
              <w:jc w:val="right"/>
              <w:spacing w:after="0" w:line="124" w:lineRule="exact"/>
              <w:rPr>
                <w:sz w:val="20"/>
                <w:szCs w:val="20"/>
                <w:color w:val="auto"/>
              </w:rPr>
            </w:pPr>
            <w:r>
              <w:rPr>
                <w:rFonts w:ascii="Arial" w:cs="Arial" w:eastAsia="Arial" w:hAnsi="Arial"/>
                <w:sz w:val="11"/>
                <w:szCs w:val="11"/>
                <w:color w:val="050505"/>
              </w:rPr>
              <w:t>3.1</w:t>
            </w:r>
          </w:p>
        </w:tc>
        <w:tc>
          <w:tcPr>
            <w:tcW w:w="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tcBorders>
              <w:top w:val="single" w:sz="8" w:color="auto"/>
              <w:bottom w:val="single" w:sz="8" w:color="auto"/>
            </w:tcBorders>
            <w:shd w:val="clear" w:color="auto" w:fill="CCEEFF"/>
          </w:tcPr>
          <w:p>
            <w:pPr>
              <w:spacing w:after="0"/>
              <w:rPr>
                <w:sz w:val="10"/>
                <w:szCs w:val="10"/>
                <w:color w:val="auto"/>
              </w:rPr>
            </w:pPr>
          </w:p>
        </w:tc>
        <w:tc>
          <w:tcPr>
            <w:tcW w:w="660" w:type="dxa"/>
            <w:vAlign w:val="bottom"/>
            <w:tcBorders>
              <w:top w:val="single" w:sz="8" w:color="auto"/>
              <w:bottom w:val="single" w:sz="8" w:color="auto"/>
            </w:tcBorders>
            <w:gridSpan w:val="2"/>
            <w:shd w:val="clear" w:color="auto" w:fill="CCEEFF"/>
          </w:tcPr>
          <w:p>
            <w:pPr>
              <w:jc w:val="right"/>
              <w:spacing w:after="0" w:line="124" w:lineRule="exact"/>
              <w:rPr>
                <w:sz w:val="20"/>
                <w:szCs w:val="20"/>
                <w:color w:val="auto"/>
              </w:rPr>
            </w:pPr>
            <w:r>
              <w:rPr>
                <w:rFonts w:ascii="Arial" w:cs="Arial" w:eastAsia="Arial" w:hAnsi="Arial"/>
                <w:sz w:val="11"/>
                <w:szCs w:val="11"/>
                <w:color w:val="050505"/>
              </w:rPr>
              <w:t>12.6</w:t>
            </w:r>
          </w:p>
        </w:tc>
        <w:tc>
          <w:tcPr>
            <w:tcW w:w="40" w:type="dxa"/>
            <w:vAlign w:val="bottom"/>
            <w:shd w:val="clear" w:color="auto" w:fill="CCEEFF"/>
          </w:tcPr>
          <w:p>
            <w:pPr>
              <w:spacing w:after="0"/>
              <w:rPr>
                <w:sz w:val="10"/>
                <w:szCs w:val="10"/>
                <w:color w:val="auto"/>
              </w:rPr>
            </w:pPr>
          </w:p>
        </w:tc>
      </w:tr>
      <w:tr>
        <w:trPr>
          <w:trHeight w:val="124"/>
        </w:trPr>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40" w:type="dxa"/>
            <w:vAlign w:val="bottom"/>
          </w:tcPr>
          <w:p>
            <w:pPr>
              <w:ind w:left="20"/>
              <w:spacing w:after="0" w:line="124" w:lineRule="exact"/>
              <w:rPr>
                <w:sz w:val="20"/>
                <w:szCs w:val="20"/>
                <w:color w:val="auto"/>
              </w:rPr>
            </w:pPr>
            <w:r>
              <w:rPr>
                <w:rFonts w:ascii="Arial" w:cs="Arial" w:eastAsia="Arial" w:hAnsi="Arial"/>
                <w:sz w:val="11"/>
                <w:szCs w:val="11"/>
                <w:color w:val="050505"/>
              </w:rPr>
              <w:t>Research and development</w:t>
            </w:r>
          </w:p>
        </w:tc>
        <w:tc>
          <w:tcPr>
            <w:tcW w:w="9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60" w:type="dxa"/>
            <w:vAlign w:val="bottom"/>
            <w:gridSpan w:val="2"/>
          </w:tcPr>
          <w:p>
            <w:pPr>
              <w:jc w:val="right"/>
              <w:ind w:right="60"/>
              <w:spacing w:after="0" w:line="124" w:lineRule="exact"/>
              <w:rPr>
                <w:sz w:val="20"/>
                <w:szCs w:val="20"/>
                <w:color w:val="auto"/>
              </w:rPr>
            </w:pPr>
            <w:r>
              <w:rPr>
                <w:rFonts w:ascii="Arial" w:cs="Arial" w:eastAsia="Arial" w:hAnsi="Arial"/>
                <w:sz w:val="11"/>
                <w:szCs w:val="11"/>
                <w:color w:val="050505"/>
                <w:w w:val="72"/>
              </w:rPr>
              <w:t>—</w:t>
            </w: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jc w:val="right"/>
              <w:spacing w:after="0" w:line="124" w:lineRule="exact"/>
              <w:rPr>
                <w:sz w:val="20"/>
                <w:szCs w:val="20"/>
                <w:color w:val="auto"/>
              </w:rPr>
            </w:pPr>
            <w:r>
              <w:rPr>
                <w:rFonts w:ascii="Arial" w:cs="Arial" w:eastAsia="Arial" w:hAnsi="Arial"/>
                <w:sz w:val="11"/>
                <w:szCs w:val="11"/>
                <w:color w:val="050505"/>
                <w:w w:val="72"/>
              </w:rPr>
              <w:t>—</w:t>
            </w: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60" w:type="dxa"/>
            <w:vAlign w:val="bottom"/>
            <w:gridSpan w:val="2"/>
          </w:tcPr>
          <w:p>
            <w:pPr>
              <w:jc w:val="right"/>
              <w:ind w:right="40"/>
              <w:spacing w:after="0" w:line="124" w:lineRule="exact"/>
              <w:rPr>
                <w:sz w:val="20"/>
                <w:szCs w:val="20"/>
                <w:color w:val="auto"/>
              </w:rPr>
            </w:pPr>
            <w:r>
              <w:rPr>
                <w:rFonts w:ascii="Arial" w:cs="Arial" w:eastAsia="Arial" w:hAnsi="Arial"/>
                <w:sz w:val="11"/>
                <w:szCs w:val="11"/>
                <w:color w:val="050505"/>
                <w:w w:val="90"/>
              </w:rPr>
              <w:t>—</w:t>
            </w:r>
          </w:p>
        </w:tc>
      </w:tr>
      <w:tr>
        <w:trPr>
          <w:trHeight w:val="126"/>
        </w:trPr>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40" w:type="dxa"/>
            <w:vAlign w:val="bottom"/>
            <w:shd w:val="clear" w:color="auto" w:fill="CCEEFF"/>
          </w:tcPr>
          <w:p>
            <w:pPr>
              <w:ind w:left="20"/>
              <w:spacing w:after="0"/>
              <w:rPr>
                <w:sz w:val="20"/>
                <w:szCs w:val="20"/>
                <w:color w:val="auto"/>
              </w:rPr>
            </w:pPr>
            <w:r>
              <w:rPr>
                <w:rFonts w:ascii="Arial" w:cs="Arial" w:eastAsia="Arial" w:hAnsi="Arial"/>
                <w:sz w:val="11"/>
                <w:szCs w:val="11"/>
                <w:color w:val="050505"/>
              </w:rPr>
              <w:t>Sales and marketing</w:t>
            </w:r>
          </w:p>
        </w:tc>
        <w:tc>
          <w:tcPr>
            <w:tcW w:w="9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050505"/>
              </w:rPr>
              <w:t>1.0</w:t>
            </w: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20" w:type="dxa"/>
            <w:vAlign w:val="bottom"/>
            <w:tcBorders>
              <w:right w:val="single" w:sz="8" w:color="CCEEFF"/>
            </w:tcBorders>
            <w:shd w:val="clear" w:color="auto" w:fill="CCEEFF"/>
          </w:tcPr>
          <w:p>
            <w:pPr>
              <w:spacing w:after="0"/>
              <w:rPr>
                <w:sz w:val="10"/>
                <w:szCs w:val="10"/>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050505"/>
              </w:rPr>
              <w:t>1.7</w:t>
            </w:r>
          </w:p>
        </w:tc>
        <w:tc>
          <w:tcPr>
            <w:tcW w:w="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050505"/>
              </w:rPr>
              <w:t>4.0</w:t>
            </w:r>
          </w:p>
        </w:tc>
        <w:tc>
          <w:tcPr>
            <w:tcW w:w="40" w:type="dxa"/>
            <w:vAlign w:val="bottom"/>
            <w:shd w:val="clear" w:color="auto" w:fill="CCEEFF"/>
          </w:tcPr>
          <w:p>
            <w:pPr>
              <w:spacing w:after="0"/>
              <w:rPr>
                <w:sz w:val="10"/>
                <w:szCs w:val="10"/>
                <w:color w:val="auto"/>
              </w:rPr>
            </w:pPr>
          </w:p>
        </w:tc>
      </w:tr>
      <w:tr>
        <w:trPr>
          <w:trHeight w:val="126"/>
        </w:trPr>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40" w:type="dxa"/>
            <w:vAlign w:val="bottom"/>
          </w:tcPr>
          <w:p>
            <w:pPr>
              <w:ind w:left="20"/>
              <w:spacing w:after="0"/>
              <w:rPr>
                <w:sz w:val="20"/>
                <w:szCs w:val="20"/>
                <w:color w:val="auto"/>
              </w:rPr>
            </w:pPr>
            <w:r>
              <w:rPr>
                <w:rFonts w:ascii="Arial" w:cs="Arial" w:eastAsia="Arial" w:hAnsi="Arial"/>
                <w:sz w:val="11"/>
                <w:szCs w:val="11"/>
                <w:color w:val="050505"/>
              </w:rPr>
              <w:t>General and administrative</w:t>
            </w:r>
          </w:p>
        </w:tc>
        <w:tc>
          <w:tcPr>
            <w:tcW w:w="9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gridSpan w:val="2"/>
          </w:tcPr>
          <w:p>
            <w:pPr>
              <w:jc w:val="right"/>
              <w:spacing w:after="0"/>
              <w:rPr>
                <w:sz w:val="20"/>
                <w:szCs w:val="20"/>
                <w:color w:val="auto"/>
              </w:rPr>
            </w:pPr>
            <w:r>
              <w:rPr>
                <w:rFonts w:ascii="Arial" w:cs="Arial" w:eastAsia="Arial" w:hAnsi="Arial"/>
                <w:sz w:val="11"/>
                <w:szCs w:val="11"/>
                <w:color w:val="050505"/>
              </w:rPr>
              <w:t>1.1</w:t>
            </w: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Borders>
              <w:bottom w:val="single" w:sz="8" w:color="auto"/>
            </w:tcBorders>
            <w:gridSpan w:val="2"/>
          </w:tcPr>
          <w:p>
            <w:pPr>
              <w:jc w:val="right"/>
              <w:spacing w:after="0"/>
              <w:rPr>
                <w:sz w:val="20"/>
                <w:szCs w:val="20"/>
                <w:color w:val="auto"/>
              </w:rPr>
            </w:pPr>
            <w:r>
              <w:rPr>
                <w:rFonts w:ascii="Arial" w:cs="Arial" w:eastAsia="Arial" w:hAnsi="Arial"/>
                <w:sz w:val="11"/>
                <w:szCs w:val="11"/>
                <w:color w:val="050505"/>
              </w:rPr>
              <w:t>1.8</w:t>
            </w: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gridSpan w:val="2"/>
          </w:tcPr>
          <w:p>
            <w:pPr>
              <w:jc w:val="right"/>
              <w:spacing w:after="0"/>
              <w:rPr>
                <w:sz w:val="20"/>
                <w:szCs w:val="20"/>
                <w:color w:val="auto"/>
              </w:rPr>
            </w:pPr>
            <w:r>
              <w:rPr>
                <w:rFonts w:ascii="Arial" w:cs="Arial" w:eastAsia="Arial" w:hAnsi="Arial"/>
                <w:sz w:val="11"/>
                <w:szCs w:val="11"/>
                <w:color w:val="050505"/>
              </w:rPr>
              <w:t>5.2</w:t>
            </w:r>
          </w:p>
        </w:tc>
        <w:tc>
          <w:tcPr>
            <w:tcW w:w="40" w:type="dxa"/>
            <w:vAlign w:val="bottom"/>
          </w:tcPr>
          <w:p>
            <w:pPr>
              <w:spacing w:after="0"/>
              <w:rPr>
                <w:sz w:val="10"/>
                <w:szCs w:val="10"/>
                <w:color w:val="auto"/>
              </w:rPr>
            </w:pPr>
          </w:p>
        </w:tc>
      </w:tr>
      <w:tr>
        <w:trPr>
          <w:trHeight w:val="124"/>
        </w:trPr>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40" w:type="dxa"/>
            <w:vAlign w:val="bottom"/>
            <w:shd w:val="clear" w:color="auto" w:fill="CCEEFF"/>
          </w:tcPr>
          <w:p>
            <w:pPr>
              <w:ind w:left="360"/>
              <w:spacing w:after="0" w:line="124" w:lineRule="exact"/>
              <w:rPr>
                <w:sz w:val="20"/>
                <w:szCs w:val="20"/>
                <w:color w:val="auto"/>
              </w:rPr>
            </w:pPr>
            <w:r>
              <w:rPr>
                <w:rFonts w:ascii="Arial" w:cs="Arial" w:eastAsia="Arial" w:hAnsi="Arial"/>
                <w:sz w:val="11"/>
                <w:szCs w:val="11"/>
                <w:color w:val="050505"/>
              </w:rPr>
              <w:t>Total depreciation and amortization expense</w:t>
            </w:r>
          </w:p>
        </w:tc>
        <w:tc>
          <w:tcPr>
            <w:tcW w:w="1180" w:type="dxa"/>
            <w:vAlign w:val="bottom"/>
            <w:gridSpan w:val="3"/>
            <w:shd w:val="clear" w:color="auto" w:fill="CCEEFF"/>
          </w:tcPr>
          <w:p>
            <w:pPr>
              <w:jc w:val="right"/>
              <w:ind w:right="20"/>
              <w:spacing w:after="0" w:line="124" w:lineRule="exact"/>
              <w:rPr>
                <w:sz w:val="20"/>
                <w:szCs w:val="20"/>
                <w:color w:val="auto"/>
              </w:rPr>
            </w:pPr>
            <w:r>
              <w:rPr>
                <w:rFonts w:ascii="Arial" w:cs="Arial" w:eastAsia="Arial" w:hAnsi="Arial"/>
                <w:sz w:val="11"/>
                <w:szCs w:val="11"/>
                <w:color w:val="050505"/>
              </w:rPr>
              <w:t>$</w:t>
            </w:r>
          </w:p>
        </w:tc>
        <w:tc>
          <w:tcPr>
            <w:tcW w:w="640" w:type="dxa"/>
            <w:vAlign w:val="bottom"/>
            <w:gridSpan w:val="2"/>
            <w:shd w:val="clear" w:color="auto" w:fill="CCEEFF"/>
          </w:tcPr>
          <w:p>
            <w:pPr>
              <w:jc w:val="right"/>
              <w:spacing w:after="0" w:line="124" w:lineRule="exact"/>
              <w:rPr>
                <w:sz w:val="20"/>
                <w:szCs w:val="20"/>
                <w:color w:val="auto"/>
              </w:rPr>
            </w:pPr>
            <w:r>
              <w:rPr>
                <w:rFonts w:ascii="Arial" w:cs="Arial" w:eastAsia="Arial" w:hAnsi="Arial"/>
                <w:sz w:val="11"/>
                <w:szCs w:val="11"/>
                <w:color w:val="050505"/>
              </w:rPr>
              <w:t>3.7</w:t>
            </w: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20" w:type="dxa"/>
            <w:vAlign w:val="bottom"/>
            <w:tcBorders>
              <w:right w:val="single" w:sz="8" w:color="CCEEFF"/>
            </w:tcBorders>
            <w:shd w:val="clear" w:color="auto" w:fill="CCEEFF"/>
          </w:tcPr>
          <w:p>
            <w:pPr>
              <w:jc w:val="right"/>
              <w:spacing w:after="0" w:line="124" w:lineRule="exact"/>
              <w:rPr>
                <w:sz w:val="20"/>
                <w:szCs w:val="20"/>
                <w:color w:val="auto"/>
              </w:rPr>
            </w:pPr>
            <w:r>
              <w:rPr>
                <w:rFonts w:ascii="Arial" w:cs="Arial" w:eastAsia="Arial" w:hAnsi="Arial"/>
                <w:sz w:val="11"/>
                <w:szCs w:val="11"/>
                <w:color w:val="050505"/>
              </w:rPr>
              <w:t>$</w:t>
            </w:r>
          </w:p>
        </w:tc>
        <w:tc>
          <w:tcPr>
            <w:tcW w:w="660" w:type="dxa"/>
            <w:vAlign w:val="bottom"/>
            <w:gridSpan w:val="2"/>
            <w:shd w:val="clear" w:color="auto" w:fill="CCEEFF"/>
          </w:tcPr>
          <w:p>
            <w:pPr>
              <w:jc w:val="right"/>
              <w:spacing w:after="0" w:line="124" w:lineRule="exact"/>
              <w:rPr>
                <w:sz w:val="20"/>
                <w:szCs w:val="20"/>
                <w:color w:val="auto"/>
              </w:rPr>
            </w:pPr>
            <w:r>
              <w:rPr>
                <w:rFonts w:ascii="Arial" w:cs="Arial" w:eastAsia="Arial" w:hAnsi="Arial"/>
                <w:sz w:val="11"/>
                <w:szCs w:val="11"/>
                <w:color w:val="050505"/>
              </w:rPr>
              <w:t>6.6</w:t>
            </w:r>
          </w:p>
        </w:tc>
        <w:tc>
          <w:tcPr>
            <w:tcW w:w="280" w:type="dxa"/>
            <w:vAlign w:val="bottom"/>
            <w:gridSpan w:val="3"/>
            <w:shd w:val="clear" w:color="auto" w:fill="CCEEFF"/>
          </w:tcPr>
          <w:p>
            <w:pPr>
              <w:jc w:val="right"/>
              <w:ind w:right="40"/>
              <w:spacing w:after="0" w:line="124" w:lineRule="exact"/>
              <w:rPr>
                <w:sz w:val="20"/>
                <w:szCs w:val="20"/>
                <w:color w:val="auto"/>
              </w:rPr>
            </w:pPr>
            <w:r>
              <w:rPr>
                <w:rFonts w:ascii="Arial" w:cs="Arial" w:eastAsia="Arial" w:hAnsi="Arial"/>
                <w:sz w:val="11"/>
                <w:szCs w:val="11"/>
                <w:color w:val="050505"/>
              </w:rPr>
              <w:t>$</w:t>
            </w:r>
          </w:p>
        </w:tc>
        <w:tc>
          <w:tcPr>
            <w:tcW w:w="660" w:type="dxa"/>
            <w:vAlign w:val="bottom"/>
            <w:gridSpan w:val="2"/>
            <w:shd w:val="clear" w:color="auto" w:fill="CCEEFF"/>
          </w:tcPr>
          <w:p>
            <w:pPr>
              <w:jc w:val="right"/>
              <w:spacing w:after="0" w:line="124" w:lineRule="exact"/>
              <w:rPr>
                <w:sz w:val="20"/>
                <w:szCs w:val="20"/>
                <w:color w:val="auto"/>
              </w:rPr>
            </w:pPr>
            <w:r>
              <w:rPr>
                <w:rFonts w:ascii="Arial" w:cs="Arial" w:eastAsia="Arial" w:hAnsi="Arial"/>
                <w:sz w:val="11"/>
                <w:szCs w:val="11"/>
                <w:color w:val="050505"/>
              </w:rPr>
              <w:t>21.7</w:t>
            </w:r>
          </w:p>
        </w:tc>
        <w:tc>
          <w:tcPr>
            <w:tcW w:w="40" w:type="dxa"/>
            <w:vAlign w:val="bottom"/>
            <w:shd w:val="clear" w:color="auto" w:fill="CCEEFF"/>
          </w:tcPr>
          <w:p>
            <w:pPr>
              <w:spacing w:after="0"/>
              <w:rPr>
                <w:sz w:val="10"/>
                <w:szCs w:val="10"/>
                <w:color w:val="auto"/>
              </w:rPr>
            </w:pPr>
          </w:p>
        </w:tc>
      </w:tr>
      <w:tr>
        <w:trPr>
          <w:trHeight w:val="27"/>
        </w:trPr>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20" w:type="dxa"/>
            <w:vAlign w:val="bottom"/>
            <w:tcBorders>
              <w:left w:val="single" w:sz="8" w:color="auto"/>
            </w:tcBorders>
            <w:shd w:val="clear" w:color="auto" w:fill="000000"/>
          </w:tcPr>
          <w:p>
            <w:pPr>
              <w:spacing w:after="0"/>
              <w:rPr>
                <w:sz w:val="2"/>
                <w:szCs w:val="2"/>
                <w:color w:val="auto"/>
              </w:rPr>
            </w:pPr>
          </w:p>
        </w:tc>
        <w:tc>
          <w:tcPr>
            <w:tcW w:w="40" w:type="dxa"/>
            <w:vAlign w:val="bottom"/>
          </w:tcPr>
          <w:p>
            <w:pPr>
              <w:spacing w:after="0"/>
              <w:rPr>
                <w:sz w:val="2"/>
                <w:szCs w:val="2"/>
                <w:color w:val="auto"/>
              </w:rPr>
            </w:pPr>
          </w:p>
        </w:tc>
      </w:tr>
    </w:tbl>
    <w:p>
      <w:pPr>
        <w:spacing w:after="0" w:line="50" w:lineRule="exact"/>
        <w:rPr>
          <w:sz w:val="20"/>
          <w:szCs w:val="20"/>
          <w:color w:val="auto"/>
        </w:rPr>
      </w:pPr>
    </w:p>
    <w:p>
      <w:pPr>
        <w:ind w:left="2280" w:hanging="221"/>
        <w:spacing w:after="0"/>
        <w:tabs>
          <w:tab w:leader="none" w:pos="2280" w:val="left"/>
        </w:tabs>
        <w:numPr>
          <w:ilvl w:val="0"/>
          <w:numId w:val="48"/>
        </w:numPr>
        <w:rPr>
          <w:rFonts w:ascii="Arial" w:cs="Arial" w:eastAsia="Arial" w:hAnsi="Arial"/>
          <w:sz w:val="8"/>
          <w:szCs w:val="8"/>
          <w:color w:val="050505"/>
        </w:rPr>
      </w:pPr>
      <w:r>
        <w:rPr>
          <w:rFonts w:ascii="Arial" w:cs="Arial" w:eastAsia="Arial" w:hAnsi="Arial"/>
          <w:sz w:val="8"/>
          <w:szCs w:val="8"/>
          <w:color w:val="050505"/>
        </w:rPr>
        <w:t>Included in subscription cost of revenue are content costs for past use as follows:</w:t>
      </w:r>
    </w:p>
    <w:p>
      <w:pPr>
        <w:spacing w:after="0" w:line="81" w:lineRule="exact"/>
        <w:rPr>
          <w:sz w:val="20"/>
          <w:szCs w:val="20"/>
          <w:color w:val="auto"/>
        </w:rPr>
      </w:pPr>
    </w:p>
    <w:tbl>
      <w:tblPr>
        <w:tblLayout w:type="fixed"/>
        <w:tblInd w:w="2060" w:type="dxa"/>
        <w:tblCellMar>
          <w:top w:w="0" w:type="dxa"/>
          <w:left w:w="0" w:type="dxa"/>
          <w:bottom w:w="0" w:type="dxa"/>
          <w:right w:w="0" w:type="dxa"/>
        </w:tblCellMar>
      </w:tblPr>
      <w:tr>
        <w:trPr>
          <w:trHeight w:val="137"/>
        </w:trPr>
        <w:tc>
          <w:tcPr>
            <w:tcW w:w="266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1620" w:type="dxa"/>
            <w:vAlign w:val="bottom"/>
            <w:tcBorders>
              <w:bottom w:val="single" w:sz="8" w:color="auto"/>
            </w:tcBorders>
            <w:gridSpan w:val="2"/>
          </w:tcPr>
          <w:p>
            <w:pPr>
              <w:jc w:val="center"/>
              <w:spacing w:after="0"/>
              <w:rPr>
                <w:sz w:val="20"/>
                <w:szCs w:val="20"/>
                <w:color w:val="auto"/>
              </w:rPr>
            </w:pPr>
            <w:r>
              <w:rPr>
                <w:rFonts w:ascii="Arial" w:cs="Arial" w:eastAsia="Arial" w:hAnsi="Arial"/>
                <w:sz w:val="11"/>
                <w:szCs w:val="11"/>
                <w:b w:val="1"/>
                <w:bCs w:val="1"/>
                <w:color w:val="050505"/>
                <w:w w:val="97"/>
              </w:rPr>
              <w:t>Fiscal Year Ended June 30,</w:t>
            </w:r>
          </w:p>
        </w:tc>
        <w:tc>
          <w:tcPr>
            <w:tcW w:w="26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40" w:type="dxa"/>
            <w:vAlign w:val="bottom"/>
          </w:tcPr>
          <w:p>
            <w:pPr>
              <w:spacing w:after="0"/>
              <w:rPr>
                <w:sz w:val="11"/>
                <w:szCs w:val="11"/>
                <w:color w:val="auto"/>
              </w:rPr>
            </w:pPr>
          </w:p>
        </w:tc>
      </w:tr>
      <w:tr>
        <w:trPr>
          <w:trHeight w:val="115"/>
        </w:trPr>
        <w:tc>
          <w:tcPr>
            <w:tcW w:w="266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jc w:val="right"/>
              <w:ind w:right="286"/>
              <w:spacing w:after="0" w:line="115" w:lineRule="exact"/>
              <w:rPr>
                <w:sz w:val="20"/>
                <w:szCs w:val="20"/>
                <w:color w:val="auto"/>
              </w:rPr>
            </w:pPr>
            <w:r>
              <w:rPr>
                <w:rFonts w:ascii="Arial" w:cs="Arial" w:eastAsia="Arial" w:hAnsi="Arial"/>
                <w:sz w:val="11"/>
                <w:szCs w:val="11"/>
                <w:b w:val="1"/>
                <w:bCs w:val="1"/>
                <w:color w:val="050505"/>
              </w:rPr>
              <w:t>2017</w:t>
            </w:r>
          </w:p>
        </w:tc>
        <w:tc>
          <w:tcPr>
            <w:tcW w:w="500" w:type="dxa"/>
            <w:vAlign w:val="bottom"/>
            <w:tcBorders>
              <w:bottom w:val="single" w:sz="8" w:color="auto"/>
            </w:tcBorders>
          </w:tcPr>
          <w:p>
            <w:pPr>
              <w:spacing w:after="0"/>
              <w:rPr>
                <w:sz w:val="10"/>
                <w:szCs w:val="10"/>
                <w:color w:val="auto"/>
              </w:rPr>
            </w:pPr>
          </w:p>
        </w:tc>
        <w:tc>
          <w:tcPr>
            <w:tcW w:w="1120" w:type="dxa"/>
            <w:vAlign w:val="bottom"/>
            <w:tcBorders>
              <w:bottom w:val="single" w:sz="8" w:color="auto"/>
            </w:tcBorders>
          </w:tcPr>
          <w:p>
            <w:pPr>
              <w:jc w:val="center"/>
              <w:ind w:right="466"/>
              <w:spacing w:after="0" w:line="115" w:lineRule="exact"/>
              <w:rPr>
                <w:sz w:val="20"/>
                <w:szCs w:val="20"/>
                <w:color w:val="auto"/>
              </w:rPr>
            </w:pPr>
            <w:r>
              <w:rPr>
                <w:rFonts w:ascii="Arial" w:cs="Arial" w:eastAsia="Arial" w:hAnsi="Arial"/>
                <w:sz w:val="11"/>
                <w:szCs w:val="11"/>
                <w:b w:val="1"/>
                <w:bCs w:val="1"/>
                <w:color w:val="050505"/>
                <w:w w:val="97"/>
              </w:rPr>
              <w:t>2018</w:t>
            </w:r>
          </w:p>
        </w:tc>
        <w:tc>
          <w:tcPr>
            <w:tcW w:w="26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jc w:val="right"/>
              <w:ind w:right="206"/>
              <w:spacing w:after="0" w:line="115" w:lineRule="exact"/>
              <w:rPr>
                <w:sz w:val="20"/>
                <w:szCs w:val="20"/>
                <w:color w:val="auto"/>
              </w:rPr>
            </w:pPr>
            <w:r>
              <w:rPr>
                <w:rFonts w:ascii="Arial" w:cs="Arial" w:eastAsia="Arial" w:hAnsi="Arial"/>
                <w:sz w:val="11"/>
                <w:szCs w:val="11"/>
                <w:b w:val="1"/>
                <w:bCs w:val="1"/>
                <w:color w:val="050505"/>
              </w:rPr>
              <w:t>2019</w:t>
            </w:r>
          </w:p>
        </w:tc>
        <w:tc>
          <w:tcPr>
            <w:tcW w:w="40" w:type="dxa"/>
            <w:vAlign w:val="bottom"/>
          </w:tcPr>
          <w:p>
            <w:pPr>
              <w:spacing w:after="0"/>
              <w:rPr>
                <w:sz w:val="10"/>
                <w:szCs w:val="10"/>
                <w:color w:val="auto"/>
              </w:rPr>
            </w:pPr>
          </w:p>
        </w:tc>
      </w:tr>
      <w:tr>
        <w:trPr>
          <w:trHeight w:val="115"/>
        </w:trPr>
        <w:tc>
          <w:tcPr>
            <w:tcW w:w="266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120" w:type="dxa"/>
            <w:vAlign w:val="bottom"/>
          </w:tcPr>
          <w:p>
            <w:pPr>
              <w:jc w:val="center"/>
              <w:ind w:right="446"/>
              <w:spacing w:after="0" w:line="115" w:lineRule="exact"/>
              <w:rPr>
                <w:sz w:val="20"/>
                <w:szCs w:val="20"/>
                <w:color w:val="auto"/>
              </w:rPr>
            </w:pPr>
            <w:r>
              <w:rPr>
                <w:rFonts w:ascii="Arial" w:cs="Arial" w:eastAsia="Arial" w:hAnsi="Arial"/>
                <w:sz w:val="11"/>
                <w:szCs w:val="11"/>
                <w:b w:val="1"/>
                <w:bCs w:val="1"/>
                <w:color w:val="050505"/>
              </w:rPr>
              <w:t>(in millions)</w:t>
            </w:r>
          </w:p>
        </w:tc>
        <w:tc>
          <w:tcPr>
            <w:tcW w:w="2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0" w:type="dxa"/>
            <w:vAlign w:val="bottom"/>
          </w:tcPr>
          <w:p>
            <w:pPr>
              <w:spacing w:after="0"/>
              <w:rPr>
                <w:sz w:val="10"/>
                <w:szCs w:val="10"/>
                <w:color w:val="auto"/>
              </w:rPr>
            </w:pPr>
          </w:p>
        </w:tc>
      </w:tr>
      <w:tr>
        <w:trPr>
          <w:trHeight w:val="126"/>
        </w:trPr>
        <w:tc>
          <w:tcPr>
            <w:tcW w:w="2660" w:type="dxa"/>
            <w:vAlign w:val="bottom"/>
            <w:shd w:val="clear" w:color="auto" w:fill="CCEEFF"/>
          </w:tcPr>
          <w:p>
            <w:pPr>
              <w:ind w:left="40"/>
              <w:spacing w:after="0"/>
              <w:rPr>
                <w:sz w:val="20"/>
                <w:szCs w:val="20"/>
                <w:color w:val="auto"/>
              </w:rPr>
            </w:pPr>
            <w:r>
              <w:rPr>
                <w:rFonts w:ascii="Arial" w:cs="Arial" w:eastAsia="Arial" w:hAnsi="Arial"/>
                <w:sz w:val="11"/>
                <w:szCs w:val="11"/>
                <w:color w:val="050505"/>
              </w:rPr>
              <w:t>Content costs for past use</w:t>
            </w:r>
          </w:p>
        </w:tc>
        <w:tc>
          <w:tcPr>
            <w:tcW w:w="152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050505"/>
              </w:rPr>
              <w:t>$</w:t>
            </w:r>
          </w:p>
        </w:tc>
        <w:tc>
          <w:tcPr>
            <w:tcW w:w="680" w:type="dxa"/>
            <w:vAlign w:val="bottom"/>
            <w:shd w:val="clear" w:color="auto" w:fill="CCEEFF"/>
          </w:tcPr>
          <w:p>
            <w:pPr>
              <w:jc w:val="right"/>
              <w:ind w:right="46"/>
              <w:spacing w:after="0"/>
              <w:rPr>
                <w:sz w:val="20"/>
                <w:szCs w:val="20"/>
                <w:color w:val="auto"/>
              </w:rPr>
            </w:pPr>
            <w:r>
              <w:rPr>
                <w:rFonts w:ascii="Arial" w:cs="Arial" w:eastAsia="Arial" w:hAnsi="Arial"/>
                <w:sz w:val="11"/>
                <w:szCs w:val="11"/>
                <w:color w:val="050505"/>
              </w:rPr>
              <w:t>15.5</w:t>
            </w:r>
          </w:p>
        </w:tc>
        <w:tc>
          <w:tcPr>
            <w:tcW w:w="500" w:type="dxa"/>
            <w:vAlign w:val="bottom"/>
            <w:shd w:val="clear" w:color="auto" w:fill="CCEEFF"/>
          </w:tcPr>
          <w:p>
            <w:pPr>
              <w:jc w:val="right"/>
              <w:spacing w:after="0"/>
              <w:rPr>
                <w:sz w:val="20"/>
                <w:szCs w:val="20"/>
                <w:color w:val="auto"/>
              </w:rPr>
            </w:pPr>
            <w:r>
              <w:rPr>
                <w:rFonts w:ascii="Arial" w:cs="Arial" w:eastAsia="Arial" w:hAnsi="Arial"/>
                <w:sz w:val="11"/>
                <w:szCs w:val="11"/>
                <w:color w:val="050505"/>
              </w:rPr>
              <w:t>$</w:t>
            </w:r>
          </w:p>
        </w:tc>
        <w:tc>
          <w:tcPr>
            <w:tcW w:w="1120" w:type="dxa"/>
            <w:vAlign w:val="bottom"/>
            <w:shd w:val="clear" w:color="auto" w:fill="CCEEFF"/>
          </w:tcPr>
          <w:p>
            <w:pPr>
              <w:jc w:val="right"/>
              <w:ind w:right="386"/>
              <w:spacing w:after="0"/>
              <w:rPr>
                <w:sz w:val="20"/>
                <w:szCs w:val="20"/>
                <w:color w:val="auto"/>
              </w:rPr>
            </w:pPr>
            <w:r>
              <w:rPr>
                <w:rFonts w:ascii="Arial" w:cs="Arial" w:eastAsia="Arial" w:hAnsi="Arial"/>
                <w:sz w:val="11"/>
                <w:szCs w:val="11"/>
                <w:color w:val="050505"/>
              </w:rPr>
              <w:t>14.5</w:t>
            </w:r>
          </w:p>
        </w:tc>
        <w:tc>
          <w:tcPr>
            <w:tcW w:w="260" w:type="dxa"/>
            <w:vAlign w:val="bottom"/>
            <w:shd w:val="clear" w:color="auto" w:fill="CCEEFF"/>
          </w:tcPr>
          <w:p>
            <w:pPr>
              <w:jc w:val="right"/>
              <w:ind w:right="46"/>
              <w:spacing w:after="0"/>
              <w:rPr>
                <w:sz w:val="20"/>
                <w:szCs w:val="20"/>
                <w:color w:val="auto"/>
              </w:rPr>
            </w:pPr>
            <w:r>
              <w:rPr>
                <w:rFonts w:ascii="Arial" w:cs="Arial" w:eastAsia="Arial" w:hAnsi="Arial"/>
                <w:sz w:val="11"/>
                <w:szCs w:val="11"/>
                <w:color w:val="050505"/>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1"/>
                <w:szCs w:val="11"/>
                <w:color w:val="050505"/>
              </w:rPr>
              <w:t>16.4</w:t>
            </w:r>
          </w:p>
        </w:tc>
        <w:tc>
          <w:tcPr>
            <w:tcW w:w="40" w:type="dxa"/>
            <w:vAlign w:val="bottom"/>
            <w:shd w:val="clear" w:color="auto" w:fill="CCEEFF"/>
          </w:tcPr>
          <w:p>
            <w:pPr>
              <w:spacing w:after="0"/>
              <w:rPr>
                <w:sz w:val="10"/>
                <w:szCs w:val="10"/>
                <w:color w:val="auto"/>
              </w:rPr>
            </w:pPr>
          </w:p>
        </w:tc>
      </w:tr>
    </w:tbl>
    <w:p>
      <w:pPr>
        <w:spacing w:after="0" w:line="145" w:lineRule="exact"/>
        <w:rPr>
          <w:sz w:val="20"/>
          <w:szCs w:val="20"/>
          <w:color w:val="auto"/>
        </w:rPr>
      </w:pPr>
    </w:p>
    <w:p>
      <w:pPr>
        <w:jc w:val="both"/>
        <w:ind w:left="2060" w:right="839"/>
        <w:spacing w:after="0" w:line="242" w:lineRule="auto"/>
        <w:rPr>
          <w:sz w:val="20"/>
          <w:szCs w:val="20"/>
          <w:color w:val="auto"/>
        </w:rPr>
      </w:pPr>
      <w:r>
        <w:rPr>
          <w:rFonts w:ascii="Arial" w:cs="Arial" w:eastAsia="Arial" w:hAnsi="Arial"/>
          <w:sz w:val="11"/>
          <w:szCs w:val="11"/>
          <w:color w:val="050505"/>
        </w:rPr>
        <w:t>From time-to-time, we execute music royalty agreements with various music rights holders. As part of these go-forward license agreements, we may also enter into agreements whereby we are released from all potential licensor claims regarding our alleged past use of copyrighted material in our content in exchange for a mutually-agreed payment. We refer to these payments as content costs for past use.</w:t>
      </w:r>
    </w:p>
    <w:p>
      <w:pPr>
        <w:spacing w:after="0" w:line="95" w:lineRule="exact"/>
        <w:rPr>
          <w:sz w:val="20"/>
          <w:szCs w:val="20"/>
          <w:color w:val="auto"/>
        </w:rPr>
      </w:pPr>
    </w:p>
    <w:p>
      <w:pPr>
        <w:ind w:left="5680"/>
        <w:spacing w:after="0"/>
        <w:rPr>
          <w:sz w:val="20"/>
          <w:szCs w:val="20"/>
          <w:color w:val="auto"/>
        </w:rPr>
      </w:pPr>
      <w:r>
        <w:rPr>
          <w:rFonts w:ascii="Arial" w:cs="Arial" w:eastAsia="Arial" w:hAnsi="Arial"/>
          <w:sz w:val="11"/>
          <w:szCs w:val="11"/>
          <w:color w:val="050505"/>
        </w:rPr>
        <w:t>72</w:t>
      </w:r>
    </w:p>
    <w:p>
      <w:pPr>
        <w:sectPr>
          <w:pgSz w:w="11900" w:h="16838" w:orient="portrait"/>
          <w:cols w:equalWidth="0" w:num="1">
            <w:col w:w="10239"/>
          </w:cols>
          <w:pgMar w:left="220" w:top="354" w:right="1440" w:bottom="1440" w:gutter="0" w:footer="0" w:header="0"/>
        </w:sectPr>
      </w:pPr>
    </w:p>
    <w:bookmarkStart w:id="77" w:name="page78"/>
    <w:bookmarkEnd w:id="77"/>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hyperlink w:anchor="page5">
        <w:r>
          <w:rPr>
            <w:rFonts w:ascii="Arial" w:cs="Arial" w:eastAsia="Arial" w:hAnsi="Arial"/>
            <w:sz w:val="12"/>
            <w:szCs w:val="12"/>
            <w:b w:val="1"/>
            <w:bCs w:val="1"/>
            <w:u w:val="single" w:color="auto"/>
            <w:color w:val="0000EE"/>
          </w:rPr>
          <w:t>Table of Contents</w:t>
        </w:r>
      </w:hyperlink>
    </w:p>
    <w:p>
      <w:pPr>
        <w:spacing w:after="0" w:line="196" w:lineRule="exact"/>
        <w:rPr>
          <w:sz w:val="20"/>
          <w:szCs w:val="20"/>
          <w:color w:val="auto"/>
        </w:rPr>
      </w:pPr>
    </w:p>
    <w:tbl>
      <w:tblPr>
        <w:tblLayout w:type="fixed"/>
        <w:tblInd w:w="2060" w:type="dxa"/>
        <w:tblCellMar>
          <w:top w:w="0" w:type="dxa"/>
          <w:left w:w="0" w:type="dxa"/>
          <w:bottom w:w="0" w:type="dxa"/>
          <w:right w:w="0" w:type="dxa"/>
        </w:tblCellMar>
      </w:tblPr>
      <w:tr>
        <w:trPr>
          <w:trHeight w:val="126"/>
        </w:trPr>
        <w:tc>
          <w:tcPr>
            <w:tcW w:w="3200" w:type="dxa"/>
            <w:vAlign w:val="bottom"/>
            <w:gridSpan w:val="2"/>
          </w:tcPr>
          <w:p>
            <w:pPr>
              <w:spacing w:after="0"/>
              <w:rPr>
                <w:sz w:val="20"/>
                <w:szCs w:val="20"/>
                <w:color w:val="auto"/>
              </w:rPr>
            </w:pPr>
            <w:r>
              <w:rPr>
                <w:rFonts w:ascii="Arial" w:cs="Arial" w:eastAsia="Arial" w:hAnsi="Arial"/>
                <w:sz w:val="11"/>
                <w:szCs w:val="11"/>
                <w:b w:val="1"/>
                <w:bCs w:val="1"/>
                <w:color w:val="auto"/>
                <w:w w:val="97"/>
              </w:rPr>
              <w:t>Comparison of the Years Ended June 30, 2017, 2018, and 2019</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r>
      <w:tr>
        <w:trPr>
          <w:trHeight w:val="273"/>
        </w:trPr>
        <w:tc>
          <w:tcPr>
            <w:tcW w:w="3180" w:type="dxa"/>
            <w:vAlign w:val="bottom"/>
            <w:tcBorders>
              <w:top w:val="single" w:sz="8" w:color="auto"/>
            </w:tcBorders>
          </w:tcPr>
          <w:p>
            <w:pPr>
              <w:spacing w:after="0"/>
              <w:rPr>
                <w:sz w:val="20"/>
                <w:szCs w:val="20"/>
                <w:color w:val="auto"/>
              </w:rPr>
            </w:pPr>
            <w:r>
              <w:rPr>
                <w:rFonts w:ascii="Arial" w:cs="Arial" w:eastAsia="Arial" w:hAnsi="Arial"/>
                <w:sz w:val="11"/>
                <w:szCs w:val="11"/>
                <w:b w:val="1"/>
                <w:bCs w:val="1"/>
                <w:i w:val="1"/>
                <w:iCs w:val="1"/>
                <w:color w:val="auto"/>
              </w:rPr>
              <w:t>Revenue</w:t>
            </w: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60" w:type="dxa"/>
            <w:vAlign w:val="bottom"/>
          </w:tcPr>
          <w:p>
            <w:pPr>
              <w:spacing w:after="0"/>
              <w:rPr>
                <w:sz w:val="23"/>
                <w:szCs w:val="23"/>
                <w:color w:val="auto"/>
              </w:rPr>
            </w:pPr>
          </w:p>
        </w:tc>
      </w:tr>
      <w:tr>
        <w:trPr>
          <w:trHeight w:val="283"/>
        </w:trPr>
        <w:tc>
          <w:tcPr>
            <w:tcW w:w="3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gridSpan w:val="8"/>
          </w:tcPr>
          <w:p>
            <w:pPr>
              <w:jc w:val="right"/>
              <w:ind w:right="20"/>
              <w:spacing w:after="0"/>
              <w:rPr>
                <w:sz w:val="20"/>
                <w:szCs w:val="20"/>
                <w:color w:val="auto"/>
              </w:rPr>
            </w:pPr>
            <w:r>
              <w:rPr>
                <w:rFonts w:ascii="Arial" w:cs="Arial" w:eastAsia="Arial" w:hAnsi="Arial"/>
                <w:sz w:val="11"/>
                <w:szCs w:val="11"/>
                <w:b w:val="1"/>
                <w:bCs w:val="1"/>
                <w:color w:val="050505"/>
              </w:rPr>
              <w:t>Fiscal Year Ended June 30,</w:t>
            </w:r>
          </w:p>
        </w:tc>
        <w:tc>
          <w:tcPr>
            <w:tcW w:w="42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gridSpan w:val="2"/>
          </w:tcPr>
          <w:p>
            <w:pPr>
              <w:jc w:val="right"/>
              <w:spacing w:after="0"/>
              <w:rPr>
                <w:sz w:val="20"/>
                <w:szCs w:val="20"/>
                <w:color w:val="auto"/>
              </w:rPr>
            </w:pPr>
            <w:r>
              <w:rPr>
                <w:rFonts w:ascii="Arial" w:cs="Arial" w:eastAsia="Arial" w:hAnsi="Arial"/>
                <w:sz w:val="11"/>
                <w:szCs w:val="11"/>
                <w:b w:val="1"/>
                <w:bCs w:val="1"/>
                <w:color w:val="050505"/>
              </w:rPr>
              <w:t>2017 to 2018</w:t>
            </w:r>
          </w:p>
        </w:tc>
        <w:tc>
          <w:tcPr>
            <w:tcW w:w="880" w:type="dxa"/>
            <w:vAlign w:val="bottom"/>
            <w:gridSpan w:val="2"/>
          </w:tcPr>
          <w:p>
            <w:pPr>
              <w:jc w:val="center"/>
              <w:ind w:left="146"/>
              <w:spacing w:after="0"/>
              <w:rPr>
                <w:sz w:val="20"/>
                <w:szCs w:val="20"/>
                <w:color w:val="auto"/>
              </w:rPr>
            </w:pPr>
            <w:r>
              <w:rPr>
                <w:rFonts w:ascii="Arial" w:cs="Arial" w:eastAsia="Arial" w:hAnsi="Arial"/>
                <w:sz w:val="11"/>
                <w:szCs w:val="11"/>
                <w:b w:val="1"/>
                <w:bCs w:val="1"/>
                <w:color w:val="050505"/>
                <w:w w:val="97"/>
              </w:rPr>
              <w:t>2018 to 2019</w:t>
            </w:r>
          </w:p>
        </w:tc>
      </w:tr>
      <w:tr>
        <w:trPr>
          <w:trHeight w:val="115"/>
        </w:trPr>
        <w:tc>
          <w:tcPr>
            <w:tcW w:w="31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jc w:val="right"/>
              <w:ind w:right="66"/>
              <w:spacing w:after="0" w:line="115" w:lineRule="exact"/>
              <w:rPr>
                <w:sz w:val="20"/>
                <w:szCs w:val="20"/>
                <w:color w:val="auto"/>
              </w:rPr>
            </w:pPr>
            <w:r>
              <w:rPr>
                <w:rFonts w:ascii="Arial" w:cs="Arial" w:eastAsia="Arial" w:hAnsi="Arial"/>
                <w:sz w:val="11"/>
                <w:szCs w:val="11"/>
                <w:b w:val="1"/>
                <w:bCs w:val="1"/>
                <w:color w:val="050505"/>
              </w:rPr>
              <w:t>2017</w:t>
            </w:r>
          </w:p>
        </w:tc>
        <w:tc>
          <w:tcPr>
            <w:tcW w:w="12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jc w:val="right"/>
              <w:ind w:right="86"/>
              <w:spacing w:after="0" w:line="115" w:lineRule="exact"/>
              <w:rPr>
                <w:sz w:val="20"/>
                <w:szCs w:val="20"/>
                <w:color w:val="auto"/>
              </w:rPr>
            </w:pPr>
            <w:r>
              <w:rPr>
                <w:rFonts w:ascii="Arial" w:cs="Arial" w:eastAsia="Arial" w:hAnsi="Arial"/>
                <w:sz w:val="11"/>
                <w:szCs w:val="11"/>
                <w:b w:val="1"/>
                <w:bCs w:val="1"/>
                <w:color w:val="050505"/>
              </w:rPr>
              <w:t>2018</w:t>
            </w:r>
          </w:p>
        </w:tc>
        <w:tc>
          <w:tcPr>
            <w:tcW w:w="32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jc w:val="right"/>
              <w:ind w:right="106"/>
              <w:spacing w:after="0" w:line="115" w:lineRule="exact"/>
              <w:rPr>
                <w:sz w:val="20"/>
                <w:szCs w:val="20"/>
                <w:color w:val="auto"/>
              </w:rPr>
            </w:pPr>
            <w:r>
              <w:rPr>
                <w:rFonts w:ascii="Arial" w:cs="Arial" w:eastAsia="Arial" w:hAnsi="Arial"/>
                <w:sz w:val="11"/>
                <w:szCs w:val="11"/>
                <w:b w:val="1"/>
                <w:bCs w:val="1"/>
                <w:color w:val="050505"/>
                <w:w w:val="97"/>
              </w:rPr>
              <w:t>2019</w:t>
            </w: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Borders>
              <w:bottom w:val="single" w:sz="8" w:color="auto"/>
            </w:tcBorders>
          </w:tcPr>
          <w:p>
            <w:pPr>
              <w:jc w:val="right"/>
              <w:ind w:right="6"/>
              <w:spacing w:after="0" w:line="115" w:lineRule="exact"/>
              <w:rPr>
                <w:sz w:val="20"/>
                <w:szCs w:val="20"/>
                <w:color w:val="auto"/>
              </w:rPr>
            </w:pPr>
            <w:r>
              <w:rPr>
                <w:rFonts w:ascii="Arial" w:cs="Arial" w:eastAsia="Arial" w:hAnsi="Arial"/>
                <w:sz w:val="11"/>
                <w:szCs w:val="11"/>
                <w:b w:val="1"/>
                <w:bCs w:val="1"/>
                <w:color w:val="050505"/>
              </w:rPr>
              <w:t>% Change</w:t>
            </w:r>
          </w:p>
        </w:tc>
        <w:tc>
          <w:tcPr>
            <w:tcW w:w="220" w:type="dxa"/>
            <w:vAlign w:val="bottom"/>
          </w:tcPr>
          <w:p>
            <w:pPr>
              <w:spacing w:after="0"/>
              <w:rPr>
                <w:sz w:val="10"/>
                <w:szCs w:val="10"/>
                <w:color w:val="auto"/>
              </w:rPr>
            </w:pPr>
          </w:p>
        </w:tc>
        <w:tc>
          <w:tcPr>
            <w:tcW w:w="660" w:type="dxa"/>
            <w:vAlign w:val="bottom"/>
            <w:tcBorders>
              <w:bottom w:val="single" w:sz="8" w:color="auto"/>
            </w:tcBorders>
          </w:tcPr>
          <w:p>
            <w:pPr>
              <w:jc w:val="center"/>
              <w:spacing w:after="0" w:line="115" w:lineRule="exact"/>
              <w:rPr>
                <w:sz w:val="20"/>
                <w:szCs w:val="20"/>
                <w:color w:val="auto"/>
              </w:rPr>
            </w:pPr>
            <w:r>
              <w:rPr>
                <w:rFonts w:ascii="Arial" w:cs="Arial" w:eastAsia="Arial" w:hAnsi="Arial"/>
                <w:sz w:val="11"/>
                <w:szCs w:val="11"/>
                <w:b w:val="1"/>
                <w:bCs w:val="1"/>
                <w:color w:val="050505"/>
                <w:w w:val="97"/>
              </w:rPr>
              <w:t>% Change</w:t>
            </w:r>
          </w:p>
        </w:tc>
      </w:tr>
      <w:tr>
        <w:trPr>
          <w:trHeight w:val="115"/>
        </w:trPr>
        <w:tc>
          <w:tcPr>
            <w:tcW w:w="31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80" w:type="dxa"/>
            <w:vAlign w:val="bottom"/>
            <w:gridSpan w:val="4"/>
          </w:tcPr>
          <w:p>
            <w:pPr>
              <w:jc w:val="right"/>
              <w:ind w:right="60"/>
              <w:spacing w:after="0" w:line="115" w:lineRule="exact"/>
              <w:rPr>
                <w:sz w:val="20"/>
                <w:szCs w:val="20"/>
                <w:color w:val="auto"/>
              </w:rPr>
            </w:pPr>
            <w:r>
              <w:rPr>
                <w:rFonts w:ascii="Arial" w:cs="Arial" w:eastAsia="Arial" w:hAnsi="Arial"/>
                <w:sz w:val="11"/>
                <w:szCs w:val="11"/>
                <w:b w:val="1"/>
                <w:bCs w:val="1"/>
                <w:color w:val="050505"/>
                <w:w w:val="99"/>
              </w:rPr>
              <w:t>(dollars in millions)</w:t>
            </w: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r>
      <w:tr>
        <w:trPr>
          <w:trHeight w:val="126"/>
        </w:trPr>
        <w:tc>
          <w:tcPr>
            <w:tcW w:w="3200" w:type="dxa"/>
            <w:vAlign w:val="bottom"/>
            <w:gridSpan w:val="2"/>
            <w:shd w:val="clear" w:color="auto" w:fill="CCEEFF"/>
          </w:tcPr>
          <w:p>
            <w:pPr>
              <w:ind w:left="40"/>
              <w:spacing w:after="0"/>
              <w:rPr>
                <w:sz w:val="20"/>
                <w:szCs w:val="20"/>
                <w:color w:val="auto"/>
              </w:rPr>
            </w:pPr>
            <w:r>
              <w:rPr>
                <w:rFonts w:ascii="Arial" w:cs="Arial" w:eastAsia="Arial" w:hAnsi="Arial"/>
                <w:sz w:val="11"/>
                <w:szCs w:val="11"/>
                <w:color w:val="050505"/>
              </w:rPr>
              <w:t>Revenue:</w:t>
            </w: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r>
      <w:tr>
        <w:trPr>
          <w:trHeight w:val="126"/>
        </w:trPr>
        <w:tc>
          <w:tcPr>
            <w:tcW w:w="3200" w:type="dxa"/>
            <w:vAlign w:val="bottom"/>
            <w:gridSpan w:val="2"/>
          </w:tcPr>
          <w:p>
            <w:pPr>
              <w:ind w:left="160"/>
              <w:spacing w:after="0"/>
              <w:rPr>
                <w:sz w:val="20"/>
                <w:szCs w:val="20"/>
                <w:color w:val="auto"/>
              </w:rPr>
            </w:pPr>
            <w:r>
              <w:rPr>
                <w:rFonts w:ascii="Arial" w:cs="Arial" w:eastAsia="Arial" w:hAnsi="Arial"/>
                <w:sz w:val="11"/>
                <w:szCs w:val="11"/>
                <w:color w:val="050505"/>
              </w:rPr>
              <w:t>Connected Fitness Products</w:t>
            </w:r>
          </w:p>
        </w:tc>
        <w:tc>
          <w:tcPr>
            <w:tcW w:w="100" w:type="dxa"/>
            <w:vAlign w:val="bottom"/>
            <w:gridSpan w:val="2"/>
          </w:tcPr>
          <w:p>
            <w:pPr>
              <w:jc w:val="right"/>
              <w:ind w:right="20"/>
              <w:spacing w:after="0"/>
              <w:rPr>
                <w:sz w:val="20"/>
                <w:szCs w:val="20"/>
                <w:color w:val="auto"/>
              </w:rPr>
            </w:pPr>
            <w:r>
              <w:rPr>
                <w:rFonts w:ascii="Arial" w:cs="Arial" w:eastAsia="Arial" w:hAnsi="Arial"/>
                <w:sz w:val="11"/>
                <w:szCs w:val="11"/>
                <w:color w:val="050505"/>
                <w:w w:val="97"/>
              </w:rPr>
              <w:t>$</w:t>
            </w:r>
          </w:p>
        </w:tc>
        <w:tc>
          <w:tcPr>
            <w:tcW w:w="400" w:type="dxa"/>
            <w:vAlign w:val="bottom"/>
          </w:tcPr>
          <w:p>
            <w:pPr>
              <w:jc w:val="right"/>
              <w:spacing w:after="0"/>
              <w:rPr>
                <w:sz w:val="20"/>
                <w:szCs w:val="20"/>
                <w:color w:val="auto"/>
              </w:rPr>
            </w:pPr>
            <w:r>
              <w:rPr>
                <w:rFonts w:ascii="Arial" w:cs="Arial" w:eastAsia="Arial" w:hAnsi="Arial"/>
                <w:sz w:val="11"/>
                <w:szCs w:val="11"/>
                <w:color w:val="050505"/>
              </w:rPr>
              <w:t>183.5</w:t>
            </w:r>
          </w:p>
        </w:tc>
        <w:tc>
          <w:tcPr>
            <w:tcW w:w="120" w:type="dxa"/>
            <w:vAlign w:val="bottom"/>
          </w:tcPr>
          <w:p>
            <w:pPr>
              <w:spacing w:after="0"/>
              <w:rPr>
                <w:sz w:val="10"/>
                <w:szCs w:val="10"/>
                <w:color w:val="auto"/>
              </w:rPr>
            </w:pPr>
          </w:p>
        </w:tc>
        <w:tc>
          <w:tcPr>
            <w:tcW w:w="340" w:type="dxa"/>
            <w:vAlign w:val="bottom"/>
            <w:gridSpan w:val="2"/>
          </w:tcPr>
          <w:p>
            <w:pPr>
              <w:jc w:val="right"/>
              <w:ind w:right="40"/>
              <w:spacing w:after="0"/>
              <w:rPr>
                <w:sz w:val="20"/>
                <w:szCs w:val="20"/>
                <w:color w:val="auto"/>
              </w:rPr>
            </w:pPr>
            <w:r>
              <w:rPr>
                <w:rFonts w:ascii="Arial" w:cs="Arial" w:eastAsia="Arial" w:hAnsi="Arial"/>
                <w:sz w:val="11"/>
                <w:szCs w:val="11"/>
                <w:color w:val="050505"/>
              </w:rPr>
              <w:t>$</w:t>
            </w:r>
          </w:p>
        </w:tc>
        <w:tc>
          <w:tcPr>
            <w:tcW w:w="420" w:type="dxa"/>
            <w:vAlign w:val="bottom"/>
          </w:tcPr>
          <w:p>
            <w:pPr>
              <w:jc w:val="right"/>
              <w:spacing w:after="0"/>
              <w:rPr>
                <w:sz w:val="20"/>
                <w:szCs w:val="20"/>
                <w:color w:val="auto"/>
              </w:rPr>
            </w:pPr>
            <w:r>
              <w:rPr>
                <w:rFonts w:ascii="Arial" w:cs="Arial" w:eastAsia="Arial" w:hAnsi="Arial"/>
                <w:sz w:val="11"/>
                <w:szCs w:val="11"/>
                <w:color w:val="050505"/>
              </w:rPr>
              <w:t>348.6</w:t>
            </w:r>
          </w:p>
        </w:tc>
        <w:tc>
          <w:tcPr>
            <w:tcW w:w="320" w:type="dxa"/>
            <w:vAlign w:val="bottom"/>
          </w:tcPr>
          <w:p>
            <w:pPr>
              <w:spacing w:after="0"/>
              <w:rPr>
                <w:sz w:val="10"/>
                <w:szCs w:val="10"/>
                <w:color w:val="auto"/>
              </w:rPr>
            </w:pPr>
          </w:p>
        </w:tc>
        <w:tc>
          <w:tcPr>
            <w:tcW w:w="160" w:type="dxa"/>
            <w:vAlign w:val="bottom"/>
            <w:gridSpan w:val="2"/>
          </w:tcPr>
          <w:p>
            <w:pPr>
              <w:jc w:val="right"/>
              <w:ind w:right="60"/>
              <w:spacing w:after="0"/>
              <w:rPr>
                <w:sz w:val="20"/>
                <w:szCs w:val="20"/>
                <w:color w:val="auto"/>
              </w:rPr>
            </w:pPr>
            <w:r>
              <w:rPr>
                <w:rFonts w:ascii="Arial" w:cs="Arial" w:eastAsia="Arial" w:hAnsi="Arial"/>
                <w:sz w:val="11"/>
                <w:szCs w:val="11"/>
                <w:color w:val="050505"/>
              </w:rPr>
              <w:t>$</w:t>
            </w:r>
          </w:p>
        </w:tc>
        <w:tc>
          <w:tcPr>
            <w:tcW w:w="420" w:type="dxa"/>
            <w:vAlign w:val="bottom"/>
          </w:tcPr>
          <w:p>
            <w:pPr>
              <w:jc w:val="right"/>
              <w:spacing w:after="0"/>
              <w:rPr>
                <w:sz w:val="20"/>
                <w:szCs w:val="20"/>
                <w:color w:val="auto"/>
              </w:rPr>
            </w:pPr>
            <w:r>
              <w:rPr>
                <w:rFonts w:ascii="Arial" w:cs="Arial" w:eastAsia="Arial" w:hAnsi="Arial"/>
                <w:sz w:val="11"/>
                <w:szCs w:val="11"/>
                <w:color w:val="050505"/>
              </w:rPr>
              <w:t>719.2</w:t>
            </w:r>
          </w:p>
        </w:tc>
        <w:tc>
          <w:tcPr>
            <w:tcW w:w="220" w:type="dxa"/>
            <w:vAlign w:val="bottom"/>
          </w:tcPr>
          <w:p>
            <w:pPr>
              <w:spacing w:after="0"/>
              <w:rPr>
                <w:sz w:val="10"/>
                <w:szCs w:val="10"/>
                <w:color w:val="auto"/>
              </w:rPr>
            </w:pPr>
          </w:p>
        </w:tc>
        <w:tc>
          <w:tcPr>
            <w:tcW w:w="780" w:type="dxa"/>
            <w:vAlign w:val="bottom"/>
            <w:gridSpan w:val="2"/>
          </w:tcPr>
          <w:p>
            <w:pPr>
              <w:jc w:val="right"/>
              <w:ind w:right="46"/>
              <w:spacing w:after="0"/>
              <w:rPr>
                <w:sz w:val="20"/>
                <w:szCs w:val="20"/>
                <w:color w:val="auto"/>
              </w:rPr>
            </w:pPr>
            <w:r>
              <w:rPr>
                <w:rFonts w:ascii="Arial" w:cs="Arial" w:eastAsia="Arial" w:hAnsi="Arial"/>
                <w:sz w:val="11"/>
                <w:szCs w:val="11"/>
                <w:color w:val="050505"/>
              </w:rPr>
              <w:t>89.9%</w:t>
            </w:r>
          </w:p>
        </w:tc>
        <w:tc>
          <w:tcPr>
            <w:tcW w:w="880" w:type="dxa"/>
            <w:vAlign w:val="bottom"/>
            <w:gridSpan w:val="2"/>
          </w:tcPr>
          <w:p>
            <w:pPr>
              <w:ind w:left="400"/>
              <w:spacing w:after="0"/>
              <w:rPr>
                <w:sz w:val="20"/>
                <w:szCs w:val="20"/>
                <w:color w:val="auto"/>
              </w:rPr>
            </w:pPr>
            <w:r>
              <w:rPr>
                <w:rFonts w:ascii="Arial" w:cs="Arial" w:eastAsia="Arial" w:hAnsi="Arial"/>
                <w:sz w:val="11"/>
                <w:szCs w:val="11"/>
                <w:color w:val="050505"/>
              </w:rPr>
              <w:t>106.3%</w:t>
            </w:r>
          </w:p>
        </w:tc>
      </w:tr>
      <w:tr>
        <w:trPr>
          <w:trHeight w:val="126"/>
        </w:trPr>
        <w:tc>
          <w:tcPr>
            <w:tcW w:w="3200" w:type="dxa"/>
            <w:vAlign w:val="bottom"/>
            <w:gridSpan w:val="2"/>
            <w:shd w:val="clear" w:color="auto" w:fill="CCEEFF"/>
          </w:tcPr>
          <w:p>
            <w:pPr>
              <w:ind w:left="160"/>
              <w:spacing w:after="0"/>
              <w:rPr>
                <w:sz w:val="20"/>
                <w:szCs w:val="20"/>
                <w:color w:val="auto"/>
              </w:rPr>
            </w:pPr>
            <w:r>
              <w:rPr>
                <w:rFonts w:ascii="Arial" w:cs="Arial" w:eastAsia="Arial" w:hAnsi="Arial"/>
                <w:sz w:val="11"/>
                <w:szCs w:val="11"/>
                <w:color w:val="050505"/>
              </w:rPr>
              <w:t>Subscription</w:t>
            </w: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1"/>
                <w:szCs w:val="11"/>
                <w:color w:val="050505"/>
              </w:rPr>
              <w:t>32.5</w:t>
            </w:r>
          </w:p>
        </w:tc>
        <w:tc>
          <w:tcPr>
            <w:tcW w:w="1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1"/>
                <w:szCs w:val="11"/>
                <w:color w:val="050505"/>
              </w:rPr>
              <w:t>80.3</w:t>
            </w:r>
          </w:p>
        </w:tc>
        <w:tc>
          <w:tcPr>
            <w:tcW w:w="3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1"/>
                <w:szCs w:val="11"/>
                <w:color w:val="050505"/>
              </w:rPr>
              <w:t>181.1</w:t>
            </w:r>
          </w:p>
        </w:tc>
        <w:tc>
          <w:tcPr>
            <w:tcW w:w="220" w:type="dxa"/>
            <w:vAlign w:val="bottom"/>
            <w:shd w:val="clear" w:color="auto" w:fill="CCEEFF"/>
          </w:tcPr>
          <w:p>
            <w:pPr>
              <w:spacing w:after="0"/>
              <w:rPr>
                <w:sz w:val="10"/>
                <w:szCs w:val="10"/>
                <w:color w:val="auto"/>
              </w:rPr>
            </w:pPr>
          </w:p>
        </w:tc>
        <w:tc>
          <w:tcPr>
            <w:tcW w:w="780" w:type="dxa"/>
            <w:vAlign w:val="bottom"/>
            <w:gridSpan w:val="2"/>
            <w:shd w:val="clear" w:color="auto" w:fill="CCEEFF"/>
          </w:tcPr>
          <w:p>
            <w:pPr>
              <w:jc w:val="right"/>
              <w:ind w:right="146"/>
              <w:spacing w:after="0"/>
              <w:rPr>
                <w:sz w:val="20"/>
                <w:szCs w:val="20"/>
                <w:color w:val="auto"/>
              </w:rPr>
            </w:pPr>
            <w:r>
              <w:rPr>
                <w:rFonts w:ascii="Arial" w:cs="Arial" w:eastAsia="Arial" w:hAnsi="Arial"/>
                <w:sz w:val="11"/>
                <w:szCs w:val="11"/>
                <w:color w:val="050505"/>
              </w:rPr>
              <w:t>147.3</w:t>
            </w:r>
          </w:p>
        </w:tc>
        <w:tc>
          <w:tcPr>
            <w:tcW w:w="880" w:type="dxa"/>
            <w:vAlign w:val="bottom"/>
            <w:gridSpan w:val="2"/>
            <w:shd w:val="clear" w:color="auto" w:fill="CCEEFF"/>
          </w:tcPr>
          <w:p>
            <w:pPr>
              <w:ind w:left="400"/>
              <w:spacing w:after="0"/>
              <w:rPr>
                <w:sz w:val="20"/>
                <w:szCs w:val="20"/>
                <w:color w:val="auto"/>
              </w:rPr>
            </w:pPr>
            <w:r>
              <w:rPr>
                <w:rFonts w:ascii="Arial" w:cs="Arial" w:eastAsia="Arial" w:hAnsi="Arial"/>
                <w:sz w:val="11"/>
                <w:szCs w:val="11"/>
                <w:color w:val="050505"/>
              </w:rPr>
              <w:t>125.6</w:t>
            </w:r>
          </w:p>
        </w:tc>
      </w:tr>
      <w:tr>
        <w:trPr>
          <w:trHeight w:val="126"/>
        </w:trPr>
        <w:tc>
          <w:tcPr>
            <w:tcW w:w="3200" w:type="dxa"/>
            <w:vAlign w:val="bottom"/>
            <w:gridSpan w:val="2"/>
          </w:tcPr>
          <w:p>
            <w:pPr>
              <w:ind w:left="160"/>
              <w:spacing w:after="0"/>
              <w:rPr>
                <w:sz w:val="20"/>
                <w:szCs w:val="20"/>
                <w:color w:val="auto"/>
              </w:rPr>
            </w:pPr>
            <w:r>
              <w:rPr>
                <w:rFonts w:ascii="Arial" w:cs="Arial" w:eastAsia="Arial" w:hAnsi="Arial"/>
                <w:sz w:val="11"/>
                <w:szCs w:val="11"/>
                <w:color w:val="050505"/>
              </w:rPr>
              <w:t>Other</w:t>
            </w:r>
          </w:p>
        </w:tc>
        <w:tc>
          <w:tcPr>
            <w:tcW w:w="2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050505"/>
              </w:rPr>
              <w:t>2.6</w:t>
            </w:r>
          </w:p>
        </w:tc>
        <w:tc>
          <w:tcPr>
            <w:tcW w:w="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050505"/>
              </w:rPr>
              <w:t>6.2</w:t>
            </w:r>
          </w:p>
        </w:tc>
        <w:tc>
          <w:tcPr>
            <w:tcW w:w="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050505"/>
              </w:rPr>
              <w:t>14.7</w:t>
            </w:r>
          </w:p>
        </w:tc>
        <w:tc>
          <w:tcPr>
            <w:tcW w:w="220" w:type="dxa"/>
            <w:vAlign w:val="bottom"/>
          </w:tcPr>
          <w:p>
            <w:pPr>
              <w:spacing w:after="0"/>
              <w:rPr>
                <w:sz w:val="10"/>
                <w:szCs w:val="10"/>
                <w:color w:val="auto"/>
              </w:rPr>
            </w:pPr>
          </w:p>
        </w:tc>
        <w:tc>
          <w:tcPr>
            <w:tcW w:w="780" w:type="dxa"/>
            <w:vAlign w:val="bottom"/>
            <w:gridSpan w:val="2"/>
          </w:tcPr>
          <w:p>
            <w:pPr>
              <w:jc w:val="right"/>
              <w:ind w:right="146"/>
              <w:spacing w:after="0"/>
              <w:rPr>
                <w:sz w:val="20"/>
                <w:szCs w:val="20"/>
                <w:color w:val="auto"/>
              </w:rPr>
            </w:pPr>
            <w:r>
              <w:rPr>
                <w:rFonts w:ascii="Arial" w:cs="Arial" w:eastAsia="Arial" w:hAnsi="Arial"/>
                <w:sz w:val="11"/>
                <w:szCs w:val="11"/>
                <w:color w:val="050505"/>
              </w:rPr>
              <w:t>135.5</w:t>
            </w:r>
          </w:p>
        </w:tc>
        <w:tc>
          <w:tcPr>
            <w:tcW w:w="880" w:type="dxa"/>
            <w:vAlign w:val="bottom"/>
            <w:gridSpan w:val="2"/>
          </w:tcPr>
          <w:p>
            <w:pPr>
              <w:ind w:left="400"/>
              <w:spacing w:after="0"/>
              <w:rPr>
                <w:sz w:val="20"/>
                <w:szCs w:val="20"/>
                <w:color w:val="auto"/>
              </w:rPr>
            </w:pPr>
            <w:r>
              <w:rPr>
                <w:rFonts w:ascii="Arial" w:cs="Arial" w:eastAsia="Arial" w:hAnsi="Arial"/>
                <w:sz w:val="11"/>
                <w:szCs w:val="11"/>
                <w:color w:val="050505"/>
              </w:rPr>
              <w:t>137.9</w:t>
            </w:r>
          </w:p>
        </w:tc>
      </w:tr>
      <w:tr>
        <w:trPr>
          <w:trHeight w:val="131"/>
        </w:trPr>
        <w:tc>
          <w:tcPr>
            <w:tcW w:w="3200" w:type="dxa"/>
            <w:vAlign w:val="bottom"/>
            <w:gridSpan w:val="2"/>
            <w:shd w:val="clear" w:color="auto" w:fill="CCEEFF"/>
          </w:tcPr>
          <w:p>
            <w:pPr>
              <w:ind w:left="260"/>
              <w:spacing w:after="0" w:line="124" w:lineRule="exact"/>
              <w:rPr>
                <w:sz w:val="20"/>
                <w:szCs w:val="20"/>
                <w:color w:val="auto"/>
              </w:rPr>
            </w:pPr>
            <w:r>
              <w:rPr>
                <w:rFonts w:ascii="Arial" w:cs="Arial" w:eastAsia="Arial" w:hAnsi="Arial"/>
                <w:sz w:val="11"/>
                <w:szCs w:val="11"/>
                <w:color w:val="050505"/>
              </w:rPr>
              <w:t>Total revenue</w:t>
            </w:r>
          </w:p>
        </w:tc>
        <w:tc>
          <w:tcPr>
            <w:tcW w:w="100" w:type="dxa"/>
            <w:vAlign w:val="bottom"/>
            <w:gridSpan w:val="2"/>
            <w:shd w:val="clear" w:color="auto" w:fill="CCEEFF"/>
          </w:tcPr>
          <w:p>
            <w:pPr>
              <w:jc w:val="right"/>
              <w:ind w:right="20"/>
              <w:spacing w:after="0" w:line="124" w:lineRule="exact"/>
              <w:rPr>
                <w:sz w:val="20"/>
                <w:szCs w:val="20"/>
                <w:color w:val="auto"/>
              </w:rPr>
            </w:pPr>
            <w:r>
              <w:rPr>
                <w:rFonts w:ascii="Arial" w:cs="Arial" w:eastAsia="Arial" w:hAnsi="Arial"/>
                <w:sz w:val="11"/>
                <w:szCs w:val="11"/>
                <w:color w:val="050505"/>
                <w:w w:val="97"/>
              </w:rPr>
              <w:t>$</w:t>
            </w:r>
          </w:p>
        </w:tc>
        <w:tc>
          <w:tcPr>
            <w:tcW w:w="400" w:type="dxa"/>
            <w:vAlign w:val="bottom"/>
            <w:shd w:val="clear" w:color="auto" w:fill="CCEEFF"/>
          </w:tcPr>
          <w:p>
            <w:pPr>
              <w:jc w:val="right"/>
              <w:spacing w:after="0" w:line="124" w:lineRule="exact"/>
              <w:rPr>
                <w:sz w:val="20"/>
                <w:szCs w:val="20"/>
                <w:color w:val="auto"/>
              </w:rPr>
            </w:pPr>
            <w:r>
              <w:rPr>
                <w:rFonts w:ascii="Arial" w:cs="Arial" w:eastAsia="Arial" w:hAnsi="Arial"/>
                <w:sz w:val="11"/>
                <w:szCs w:val="11"/>
                <w:color w:val="050505"/>
              </w:rPr>
              <w:t>218.6</w:t>
            </w:r>
          </w:p>
        </w:tc>
        <w:tc>
          <w:tcPr>
            <w:tcW w:w="120" w:type="dxa"/>
            <w:vAlign w:val="bottom"/>
            <w:shd w:val="clear" w:color="auto" w:fill="CCEEFF"/>
          </w:tcPr>
          <w:p>
            <w:pPr>
              <w:spacing w:after="0"/>
              <w:rPr>
                <w:sz w:val="11"/>
                <w:szCs w:val="11"/>
                <w:color w:val="auto"/>
              </w:rPr>
            </w:pPr>
          </w:p>
        </w:tc>
        <w:tc>
          <w:tcPr>
            <w:tcW w:w="340" w:type="dxa"/>
            <w:vAlign w:val="bottom"/>
            <w:gridSpan w:val="2"/>
            <w:shd w:val="clear" w:color="auto" w:fill="CCEEFF"/>
          </w:tcPr>
          <w:p>
            <w:pPr>
              <w:jc w:val="right"/>
              <w:ind w:right="40"/>
              <w:spacing w:after="0" w:line="124" w:lineRule="exact"/>
              <w:rPr>
                <w:sz w:val="20"/>
                <w:szCs w:val="20"/>
                <w:color w:val="auto"/>
              </w:rPr>
            </w:pPr>
            <w:r>
              <w:rPr>
                <w:rFonts w:ascii="Arial" w:cs="Arial" w:eastAsia="Arial" w:hAnsi="Arial"/>
                <w:sz w:val="11"/>
                <w:szCs w:val="11"/>
                <w:color w:val="050505"/>
              </w:rPr>
              <w:t>$</w:t>
            </w:r>
          </w:p>
        </w:tc>
        <w:tc>
          <w:tcPr>
            <w:tcW w:w="420" w:type="dxa"/>
            <w:vAlign w:val="bottom"/>
            <w:shd w:val="clear" w:color="auto" w:fill="CCEEFF"/>
          </w:tcPr>
          <w:p>
            <w:pPr>
              <w:jc w:val="right"/>
              <w:spacing w:after="0" w:line="124" w:lineRule="exact"/>
              <w:rPr>
                <w:sz w:val="20"/>
                <w:szCs w:val="20"/>
                <w:color w:val="auto"/>
              </w:rPr>
            </w:pPr>
            <w:r>
              <w:rPr>
                <w:rFonts w:ascii="Arial" w:cs="Arial" w:eastAsia="Arial" w:hAnsi="Arial"/>
                <w:sz w:val="11"/>
                <w:szCs w:val="11"/>
                <w:color w:val="050505"/>
              </w:rPr>
              <w:t>435.0</w:t>
            </w:r>
          </w:p>
        </w:tc>
        <w:tc>
          <w:tcPr>
            <w:tcW w:w="320" w:type="dxa"/>
            <w:vAlign w:val="bottom"/>
            <w:shd w:val="clear" w:color="auto" w:fill="CCEEFF"/>
          </w:tcPr>
          <w:p>
            <w:pPr>
              <w:spacing w:after="0"/>
              <w:rPr>
                <w:sz w:val="11"/>
                <w:szCs w:val="11"/>
                <w:color w:val="auto"/>
              </w:rPr>
            </w:pPr>
          </w:p>
        </w:tc>
        <w:tc>
          <w:tcPr>
            <w:tcW w:w="160" w:type="dxa"/>
            <w:vAlign w:val="bottom"/>
            <w:gridSpan w:val="2"/>
            <w:shd w:val="clear" w:color="auto" w:fill="CCEEFF"/>
          </w:tcPr>
          <w:p>
            <w:pPr>
              <w:jc w:val="right"/>
              <w:ind w:right="60"/>
              <w:spacing w:after="0" w:line="124" w:lineRule="exact"/>
              <w:rPr>
                <w:sz w:val="20"/>
                <w:szCs w:val="20"/>
                <w:color w:val="auto"/>
              </w:rPr>
            </w:pPr>
            <w:r>
              <w:rPr>
                <w:rFonts w:ascii="Arial" w:cs="Arial" w:eastAsia="Arial" w:hAnsi="Arial"/>
                <w:sz w:val="11"/>
                <w:szCs w:val="11"/>
                <w:color w:val="050505"/>
              </w:rPr>
              <w:t>$</w:t>
            </w:r>
          </w:p>
        </w:tc>
        <w:tc>
          <w:tcPr>
            <w:tcW w:w="420" w:type="dxa"/>
            <w:vAlign w:val="bottom"/>
            <w:shd w:val="clear" w:color="auto" w:fill="CCEEFF"/>
          </w:tcPr>
          <w:p>
            <w:pPr>
              <w:jc w:val="right"/>
              <w:spacing w:after="0" w:line="124" w:lineRule="exact"/>
              <w:rPr>
                <w:sz w:val="20"/>
                <w:szCs w:val="20"/>
                <w:color w:val="auto"/>
              </w:rPr>
            </w:pPr>
            <w:r>
              <w:rPr>
                <w:rFonts w:ascii="Arial" w:cs="Arial" w:eastAsia="Arial" w:hAnsi="Arial"/>
                <w:sz w:val="11"/>
                <w:szCs w:val="11"/>
                <w:color w:val="050505"/>
              </w:rPr>
              <w:t>915.0</w:t>
            </w:r>
          </w:p>
        </w:tc>
        <w:tc>
          <w:tcPr>
            <w:tcW w:w="22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146"/>
              <w:spacing w:after="0" w:line="124" w:lineRule="exact"/>
              <w:rPr>
                <w:sz w:val="20"/>
                <w:szCs w:val="20"/>
                <w:color w:val="auto"/>
              </w:rPr>
            </w:pPr>
            <w:r>
              <w:rPr>
                <w:rFonts w:ascii="Arial" w:cs="Arial" w:eastAsia="Arial" w:hAnsi="Arial"/>
                <w:sz w:val="11"/>
                <w:szCs w:val="11"/>
                <w:color w:val="050505"/>
              </w:rPr>
              <w:t>99.0</w:t>
            </w:r>
          </w:p>
        </w:tc>
        <w:tc>
          <w:tcPr>
            <w:tcW w:w="880" w:type="dxa"/>
            <w:vAlign w:val="bottom"/>
            <w:gridSpan w:val="2"/>
            <w:shd w:val="clear" w:color="auto" w:fill="CCEEFF"/>
          </w:tcPr>
          <w:p>
            <w:pPr>
              <w:ind w:left="400"/>
              <w:spacing w:after="0" w:line="124" w:lineRule="exact"/>
              <w:rPr>
                <w:sz w:val="20"/>
                <w:szCs w:val="20"/>
                <w:color w:val="auto"/>
              </w:rPr>
            </w:pPr>
            <w:r>
              <w:rPr>
                <w:rFonts w:ascii="Arial" w:cs="Arial" w:eastAsia="Arial" w:hAnsi="Arial"/>
                <w:sz w:val="11"/>
                <w:szCs w:val="11"/>
                <w:color w:val="050505"/>
              </w:rPr>
              <w:t>110.3</w:t>
            </w:r>
          </w:p>
        </w:tc>
      </w:tr>
      <w:tr>
        <w:trPr>
          <w:trHeight w:val="135"/>
        </w:trPr>
        <w:tc>
          <w:tcPr>
            <w:tcW w:w="3200" w:type="dxa"/>
            <w:vAlign w:val="bottom"/>
            <w:gridSpan w:val="2"/>
          </w:tcPr>
          <w:p>
            <w:pPr>
              <w:ind w:left="40"/>
              <w:spacing w:after="0"/>
              <w:rPr>
                <w:sz w:val="20"/>
                <w:szCs w:val="20"/>
                <w:color w:val="auto"/>
              </w:rPr>
            </w:pPr>
            <w:r>
              <w:rPr>
                <w:rFonts w:ascii="Arial" w:cs="Arial" w:eastAsia="Arial" w:hAnsi="Arial"/>
                <w:sz w:val="11"/>
                <w:szCs w:val="11"/>
                <w:color w:val="050505"/>
              </w:rPr>
              <w:t>Percentage of total revenue:</w:t>
            </w:r>
          </w:p>
        </w:tc>
        <w:tc>
          <w:tcPr>
            <w:tcW w:w="2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40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20" w:type="dxa"/>
            <w:vAlign w:val="bottom"/>
            <w:tcBorders>
              <w:top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42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r>
      <w:tr>
        <w:trPr>
          <w:trHeight w:val="126"/>
        </w:trPr>
        <w:tc>
          <w:tcPr>
            <w:tcW w:w="3200" w:type="dxa"/>
            <w:vAlign w:val="bottom"/>
            <w:gridSpan w:val="2"/>
            <w:shd w:val="clear" w:color="auto" w:fill="CCEEFF"/>
          </w:tcPr>
          <w:p>
            <w:pPr>
              <w:ind w:left="160"/>
              <w:spacing w:after="0"/>
              <w:rPr>
                <w:sz w:val="20"/>
                <w:szCs w:val="20"/>
                <w:color w:val="auto"/>
              </w:rPr>
            </w:pPr>
            <w:r>
              <w:rPr>
                <w:rFonts w:ascii="Arial" w:cs="Arial" w:eastAsia="Arial" w:hAnsi="Arial"/>
                <w:sz w:val="11"/>
                <w:szCs w:val="11"/>
                <w:color w:val="050505"/>
              </w:rPr>
              <w:t>Connected Fitness Products</w:t>
            </w: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1"/>
                <w:szCs w:val="11"/>
                <w:color w:val="050505"/>
              </w:rPr>
              <w:t>84.0%</w:t>
            </w:r>
          </w:p>
        </w:tc>
        <w:tc>
          <w:tcPr>
            <w:tcW w:w="2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1"/>
                <w:szCs w:val="11"/>
                <w:color w:val="050505"/>
              </w:rPr>
              <w:t>80.1%</w:t>
            </w:r>
          </w:p>
        </w:tc>
        <w:tc>
          <w:tcPr>
            <w:tcW w:w="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050505"/>
              </w:rPr>
              <w:t>78.6%</w:t>
            </w:r>
          </w:p>
        </w:tc>
        <w:tc>
          <w:tcPr>
            <w:tcW w:w="14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r>
      <w:tr>
        <w:trPr>
          <w:trHeight w:val="126"/>
        </w:trPr>
        <w:tc>
          <w:tcPr>
            <w:tcW w:w="3200" w:type="dxa"/>
            <w:vAlign w:val="bottom"/>
            <w:gridSpan w:val="2"/>
          </w:tcPr>
          <w:p>
            <w:pPr>
              <w:ind w:left="160"/>
              <w:spacing w:after="0"/>
              <w:rPr>
                <w:sz w:val="20"/>
                <w:szCs w:val="20"/>
                <w:color w:val="auto"/>
              </w:rPr>
            </w:pPr>
            <w:r>
              <w:rPr>
                <w:rFonts w:ascii="Arial" w:cs="Arial" w:eastAsia="Arial" w:hAnsi="Arial"/>
                <w:sz w:val="11"/>
                <w:szCs w:val="11"/>
                <w:color w:val="050505"/>
              </w:rPr>
              <w:t>Subscription</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jc w:val="right"/>
              <w:spacing w:after="0"/>
              <w:rPr>
                <w:sz w:val="20"/>
                <w:szCs w:val="20"/>
                <w:color w:val="auto"/>
              </w:rPr>
            </w:pPr>
            <w:r>
              <w:rPr>
                <w:rFonts w:ascii="Arial" w:cs="Arial" w:eastAsia="Arial" w:hAnsi="Arial"/>
                <w:sz w:val="11"/>
                <w:szCs w:val="11"/>
                <w:color w:val="050505"/>
              </w:rPr>
              <w:t>14.8</w:t>
            </w:r>
          </w:p>
        </w:tc>
        <w:tc>
          <w:tcPr>
            <w:tcW w:w="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jc w:val="right"/>
              <w:spacing w:after="0"/>
              <w:rPr>
                <w:sz w:val="20"/>
                <w:szCs w:val="20"/>
                <w:color w:val="auto"/>
              </w:rPr>
            </w:pPr>
            <w:r>
              <w:rPr>
                <w:rFonts w:ascii="Arial" w:cs="Arial" w:eastAsia="Arial" w:hAnsi="Arial"/>
                <w:sz w:val="11"/>
                <w:szCs w:val="11"/>
                <w:color w:val="050505"/>
              </w:rPr>
              <w:t>18.5</w:t>
            </w:r>
          </w:p>
        </w:tc>
        <w:tc>
          <w:tcPr>
            <w:tcW w:w="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20" w:type="dxa"/>
            <w:vAlign w:val="bottom"/>
          </w:tcPr>
          <w:p>
            <w:pPr>
              <w:jc w:val="right"/>
              <w:spacing w:after="0"/>
              <w:rPr>
                <w:sz w:val="20"/>
                <w:szCs w:val="20"/>
                <w:color w:val="auto"/>
              </w:rPr>
            </w:pPr>
            <w:r>
              <w:rPr>
                <w:rFonts w:ascii="Arial" w:cs="Arial" w:eastAsia="Arial" w:hAnsi="Arial"/>
                <w:sz w:val="11"/>
                <w:szCs w:val="11"/>
                <w:color w:val="050505"/>
              </w:rPr>
              <w:t>19.8</w:t>
            </w: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r>
      <w:tr>
        <w:trPr>
          <w:trHeight w:val="126"/>
        </w:trPr>
        <w:tc>
          <w:tcPr>
            <w:tcW w:w="3200" w:type="dxa"/>
            <w:vAlign w:val="bottom"/>
            <w:gridSpan w:val="2"/>
            <w:shd w:val="clear" w:color="auto" w:fill="CCEEFF"/>
          </w:tcPr>
          <w:p>
            <w:pPr>
              <w:ind w:left="160"/>
              <w:spacing w:after="0"/>
              <w:rPr>
                <w:sz w:val="20"/>
                <w:szCs w:val="20"/>
                <w:color w:val="auto"/>
              </w:rPr>
            </w:pPr>
            <w:r>
              <w:rPr>
                <w:rFonts w:ascii="Arial" w:cs="Arial" w:eastAsia="Arial" w:hAnsi="Arial"/>
                <w:sz w:val="11"/>
                <w:szCs w:val="11"/>
                <w:color w:val="050505"/>
              </w:rPr>
              <w:t>Other</w:t>
            </w:r>
          </w:p>
        </w:tc>
        <w:tc>
          <w:tcPr>
            <w:tcW w:w="20" w:type="dxa"/>
            <w:vAlign w:val="bottom"/>
            <w:shd w:val="clear" w:color="auto" w:fill="CCEEFF"/>
          </w:tcPr>
          <w:p>
            <w:pPr>
              <w:spacing w:after="0"/>
              <w:rPr>
                <w:sz w:val="10"/>
                <w:szCs w:val="10"/>
                <w:color w:val="auto"/>
              </w:rPr>
            </w:pPr>
          </w:p>
        </w:tc>
        <w:tc>
          <w:tcPr>
            <w:tcW w:w="80" w:type="dxa"/>
            <w:vAlign w:val="bottom"/>
            <w:tcBorders>
              <w:bottom w:val="single" w:sz="8" w:color="auto"/>
            </w:tcBorders>
            <w:shd w:val="clear" w:color="auto" w:fill="CCEEFF"/>
          </w:tcPr>
          <w:p>
            <w:pPr>
              <w:spacing w:after="0"/>
              <w:rPr>
                <w:sz w:val="10"/>
                <w:szCs w:val="10"/>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050505"/>
              </w:rPr>
              <w:t>1.2</w:t>
            </w:r>
          </w:p>
        </w:tc>
        <w:tc>
          <w:tcPr>
            <w:tcW w:w="1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00" w:type="dxa"/>
            <w:vAlign w:val="bottom"/>
            <w:tcBorders>
              <w:bottom w:val="single" w:sz="8" w:color="auto"/>
            </w:tcBorders>
            <w:shd w:val="clear" w:color="auto" w:fill="CCEEFF"/>
          </w:tcPr>
          <w:p>
            <w:pPr>
              <w:spacing w:after="0"/>
              <w:rPr>
                <w:sz w:val="10"/>
                <w:szCs w:val="10"/>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050505"/>
              </w:rPr>
              <w:t>1.4</w:t>
            </w:r>
          </w:p>
        </w:tc>
        <w:tc>
          <w:tcPr>
            <w:tcW w:w="3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20" w:type="dxa"/>
            <w:vAlign w:val="bottom"/>
            <w:tcBorders>
              <w:bottom w:val="single" w:sz="8" w:color="auto"/>
            </w:tcBorders>
            <w:shd w:val="clear" w:color="auto" w:fill="CCEEFF"/>
          </w:tcPr>
          <w:p>
            <w:pPr>
              <w:spacing w:after="0"/>
              <w:rPr>
                <w:sz w:val="10"/>
                <w:szCs w:val="10"/>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050505"/>
              </w:rPr>
              <w:t>1.6</w:t>
            </w:r>
          </w:p>
        </w:tc>
        <w:tc>
          <w:tcPr>
            <w:tcW w:w="2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r>
      <w:tr>
        <w:trPr>
          <w:trHeight w:val="124"/>
        </w:trPr>
        <w:tc>
          <w:tcPr>
            <w:tcW w:w="3200" w:type="dxa"/>
            <w:vAlign w:val="bottom"/>
            <w:gridSpan w:val="2"/>
          </w:tcPr>
          <w:p>
            <w:pPr>
              <w:ind w:left="260"/>
              <w:spacing w:after="0" w:line="124" w:lineRule="exact"/>
              <w:rPr>
                <w:sz w:val="20"/>
                <w:szCs w:val="20"/>
                <w:color w:val="auto"/>
              </w:rPr>
            </w:pPr>
            <w:r>
              <w:rPr>
                <w:rFonts w:ascii="Arial" w:cs="Arial" w:eastAsia="Arial" w:hAnsi="Arial"/>
                <w:sz w:val="11"/>
                <w:szCs w:val="11"/>
                <w:color w:val="050505"/>
              </w:rPr>
              <w:t>Total</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gridSpan w:val="2"/>
          </w:tcPr>
          <w:p>
            <w:pPr>
              <w:jc w:val="right"/>
              <w:ind w:right="20"/>
              <w:spacing w:after="0" w:line="124" w:lineRule="exact"/>
              <w:rPr>
                <w:sz w:val="20"/>
                <w:szCs w:val="20"/>
                <w:color w:val="auto"/>
              </w:rPr>
            </w:pPr>
            <w:r>
              <w:rPr>
                <w:rFonts w:ascii="Arial" w:cs="Arial" w:eastAsia="Arial" w:hAnsi="Arial"/>
                <w:sz w:val="11"/>
                <w:szCs w:val="11"/>
                <w:color w:val="050505"/>
              </w:rPr>
              <w:t>100.0%</w:t>
            </w: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gridSpan w:val="2"/>
          </w:tcPr>
          <w:p>
            <w:pPr>
              <w:jc w:val="right"/>
              <w:ind w:right="220"/>
              <w:spacing w:after="0" w:line="124" w:lineRule="exact"/>
              <w:rPr>
                <w:sz w:val="20"/>
                <w:szCs w:val="20"/>
                <w:color w:val="auto"/>
              </w:rPr>
            </w:pPr>
            <w:r>
              <w:rPr>
                <w:rFonts w:ascii="Arial" w:cs="Arial" w:eastAsia="Arial" w:hAnsi="Arial"/>
                <w:sz w:val="11"/>
                <w:szCs w:val="11"/>
                <w:color w:val="050505"/>
              </w:rPr>
              <w:t>100.0%</w:t>
            </w: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gridSpan w:val="2"/>
          </w:tcPr>
          <w:p>
            <w:pPr>
              <w:jc w:val="right"/>
              <w:ind w:right="140"/>
              <w:spacing w:after="0" w:line="124" w:lineRule="exact"/>
              <w:rPr>
                <w:sz w:val="20"/>
                <w:szCs w:val="20"/>
                <w:color w:val="auto"/>
              </w:rPr>
            </w:pPr>
            <w:r>
              <w:rPr>
                <w:rFonts w:ascii="Arial" w:cs="Arial" w:eastAsia="Arial" w:hAnsi="Arial"/>
                <w:sz w:val="11"/>
                <w:szCs w:val="11"/>
                <w:color w:val="050505"/>
              </w:rPr>
              <w:t>100.0%</w:t>
            </w: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r>
      <w:tr>
        <w:trPr>
          <w:trHeight w:val="27"/>
        </w:trPr>
        <w:tc>
          <w:tcPr>
            <w:tcW w:w="31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tcPr>
          <w:p>
            <w:pPr>
              <w:spacing w:after="0"/>
              <w:rPr>
                <w:sz w:val="2"/>
                <w:szCs w:val="2"/>
                <w:color w:val="auto"/>
              </w:rPr>
            </w:pPr>
          </w:p>
        </w:tc>
      </w:tr>
    </w:tbl>
    <w:p>
      <w:pPr>
        <w:spacing w:after="0" w:line="144" w:lineRule="exact"/>
        <w:rPr>
          <w:sz w:val="20"/>
          <w:szCs w:val="20"/>
          <w:color w:val="auto"/>
        </w:rPr>
      </w:pPr>
    </w:p>
    <w:p>
      <w:pPr>
        <w:ind w:left="2060"/>
        <w:spacing w:after="0"/>
        <w:rPr>
          <w:sz w:val="20"/>
          <w:szCs w:val="20"/>
          <w:color w:val="auto"/>
        </w:rPr>
      </w:pPr>
      <w:r>
        <w:rPr>
          <w:rFonts w:ascii="Arial" w:cs="Arial" w:eastAsia="Arial" w:hAnsi="Arial"/>
          <w:sz w:val="11"/>
          <w:szCs w:val="11"/>
          <w:i w:val="1"/>
          <w:iCs w:val="1"/>
          <w:color w:val="auto"/>
        </w:rPr>
        <w:t>2018 Compared to 2019</w:t>
      </w:r>
    </w:p>
    <w:p>
      <w:pPr>
        <w:spacing w:after="0" w:line="154" w:lineRule="exact"/>
        <w:rPr>
          <w:sz w:val="20"/>
          <w:szCs w:val="20"/>
          <w:color w:val="auto"/>
        </w:rPr>
      </w:pPr>
    </w:p>
    <w:p>
      <w:pPr>
        <w:jc w:val="both"/>
        <w:ind w:left="2060" w:right="839"/>
        <w:spacing w:after="0" w:line="245" w:lineRule="auto"/>
        <w:rPr>
          <w:sz w:val="20"/>
          <w:szCs w:val="20"/>
          <w:color w:val="auto"/>
        </w:rPr>
      </w:pPr>
      <w:r>
        <w:rPr>
          <w:rFonts w:ascii="Arial" w:cs="Arial" w:eastAsia="Arial" w:hAnsi="Arial"/>
          <w:sz w:val="11"/>
          <w:szCs w:val="11"/>
          <w:color w:val="050505"/>
        </w:rPr>
        <w:t>Connected Fitness Products revenue for fiscal 2019 increased $370.7 million, or 106.3%, compared to fiscal 2018. This increase was primarily attributable to the significant growth in the number of Connected Fitness Products delivered during the period.</w:t>
      </w:r>
    </w:p>
    <w:p>
      <w:pPr>
        <w:spacing w:after="0" w:line="138" w:lineRule="exact"/>
        <w:rPr>
          <w:sz w:val="20"/>
          <w:szCs w:val="20"/>
          <w:color w:val="auto"/>
        </w:rPr>
      </w:pPr>
    </w:p>
    <w:p>
      <w:pPr>
        <w:jc w:val="both"/>
        <w:ind w:left="2060" w:right="839"/>
        <w:spacing w:after="0" w:line="241" w:lineRule="auto"/>
        <w:rPr>
          <w:sz w:val="20"/>
          <w:szCs w:val="20"/>
          <w:color w:val="auto"/>
        </w:rPr>
      </w:pPr>
      <w:r>
        <w:rPr>
          <w:rFonts w:ascii="Arial" w:cs="Arial" w:eastAsia="Arial" w:hAnsi="Arial"/>
          <w:sz w:val="11"/>
          <w:szCs w:val="11"/>
          <w:color w:val="050505"/>
        </w:rPr>
        <w:t>Subscription revenue for fiscal 2019 increased $100.8 million, or 125.6%, compared to fiscal 2018. This increase was primarily attributable to the growth in our Connected Fitness Subscribers from 245,667 to 511,202 during the period. The growth of our Connected Fitness Subscribers was primarily driven by the increased number of Connected Fitness Products delivered during the period and our low Average Net Monthly Connected Fitness Churn of 0.65% for fiscal 2019.</w:t>
      </w:r>
    </w:p>
    <w:p>
      <w:pPr>
        <w:spacing w:after="0" w:line="140" w:lineRule="exact"/>
        <w:rPr>
          <w:sz w:val="20"/>
          <w:szCs w:val="20"/>
          <w:color w:val="auto"/>
        </w:rPr>
      </w:pPr>
    </w:p>
    <w:p>
      <w:pPr>
        <w:jc w:val="both"/>
        <w:ind w:left="2060" w:right="839"/>
        <w:spacing w:after="0" w:line="245" w:lineRule="auto"/>
        <w:rPr>
          <w:sz w:val="20"/>
          <w:szCs w:val="20"/>
          <w:color w:val="auto"/>
        </w:rPr>
      </w:pPr>
      <w:r>
        <w:rPr>
          <w:rFonts w:ascii="Arial" w:cs="Arial" w:eastAsia="Arial" w:hAnsi="Arial"/>
          <w:sz w:val="11"/>
          <w:szCs w:val="11"/>
          <w:color w:val="050505"/>
        </w:rPr>
        <w:t>Other revenue for fiscal 2019 increased $8.5 million, or 137.9%, compared to fiscal 2018. The increase was primarily attributable to the growth of our branded apparel sales during the period.</w:t>
      </w:r>
    </w:p>
    <w:p>
      <w:pPr>
        <w:spacing w:after="0" w:line="128" w:lineRule="exact"/>
        <w:rPr>
          <w:sz w:val="20"/>
          <w:szCs w:val="20"/>
          <w:color w:val="auto"/>
        </w:rPr>
      </w:pPr>
    </w:p>
    <w:p>
      <w:pPr>
        <w:ind w:left="2060"/>
        <w:spacing w:after="0"/>
        <w:rPr>
          <w:sz w:val="20"/>
          <w:szCs w:val="20"/>
          <w:color w:val="auto"/>
        </w:rPr>
      </w:pPr>
      <w:r>
        <w:rPr>
          <w:rFonts w:ascii="Arial" w:cs="Arial" w:eastAsia="Arial" w:hAnsi="Arial"/>
          <w:sz w:val="11"/>
          <w:szCs w:val="11"/>
          <w:i w:val="1"/>
          <w:iCs w:val="1"/>
          <w:color w:val="auto"/>
        </w:rPr>
        <w:t>2017 Compared to 2018</w:t>
      </w:r>
    </w:p>
    <w:p>
      <w:pPr>
        <w:spacing w:after="0" w:line="154" w:lineRule="exact"/>
        <w:rPr>
          <w:sz w:val="20"/>
          <w:szCs w:val="20"/>
          <w:color w:val="auto"/>
        </w:rPr>
      </w:pPr>
    </w:p>
    <w:p>
      <w:pPr>
        <w:jc w:val="both"/>
        <w:ind w:left="2060" w:right="839"/>
        <w:spacing w:after="0" w:line="245" w:lineRule="auto"/>
        <w:rPr>
          <w:sz w:val="20"/>
          <w:szCs w:val="20"/>
          <w:color w:val="auto"/>
        </w:rPr>
      </w:pPr>
      <w:r>
        <w:rPr>
          <w:rFonts w:ascii="Arial" w:cs="Arial" w:eastAsia="Arial" w:hAnsi="Arial"/>
          <w:sz w:val="11"/>
          <w:szCs w:val="11"/>
          <w:color w:val="050505"/>
        </w:rPr>
        <w:t>Connected Fitness Products revenue for fiscal 2018 increased $165.0 million, or 89.9%, compared to fiscal 2017. This increase was primarily attributable to the significant growth in the number of Connected Fitness Products delivered during the period.</w:t>
      </w:r>
    </w:p>
    <w:p>
      <w:pPr>
        <w:spacing w:after="0" w:line="138" w:lineRule="exact"/>
        <w:rPr>
          <w:sz w:val="20"/>
          <w:szCs w:val="20"/>
          <w:color w:val="auto"/>
        </w:rPr>
      </w:pPr>
    </w:p>
    <w:p>
      <w:pPr>
        <w:jc w:val="both"/>
        <w:ind w:left="2060" w:right="839"/>
        <w:spacing w:after="0" w:line="241" w:lineRule="auto"/>
        <w:rPr>
          <w:sz w:val="20"/>
          <w:szCs w:val="20"/>
          <w:color w:val="auto"/>
        </w:rPr>
      </w:pPr>
      <w:r>
        <w:rPr>
          <w:rFonts w:ascii="Arial" w:cs="Arial" w:eastAsia="Arial" w:hAnsi="Arial"/>
          <w:sz w:val="11"/>
          <w:szCs w:val="11"/>
          <w:color w:val="050505"/>
        </w:rPr>
        <w:t>Subscription revenue for fiscal 2018 increased $47.8 million, or 147.3%, compared to fiscal 2017. This increase was primarily attributable to the growth in our Connected Fitness Subscribers from 107,708 to 245,667 during the period. The growth of our Connected Fitness Subscribers was primarily driven by the increased number of Connected Fitness Products delivered during the period and our low Average Net Monthly Connected Fitness Churn of 0.64% in fiscal 2018.</w:t>
      </w:r>
    </w:p>
    <w:p>
      <w:pPr>
        <w:spacing w:after="0" w:line="140" w:lineRule="exact"/>
        <w:rPr>
          <w:sz w:val="20"/>
          <w:szCs w:val="20"/>
          <w:color w:val="auto"/>
        </w:rPr>
      </w:pPr>
    </w:p>
    <w:p>
      <w:pPr>
        <w:jc w:val="both"/>
        <w:ind w:left="2060" w:right="839"/>
        <w:spacing w:after="0" w:line="245" w:lineRule="auto"/>
        <w:rPr>
          <w:sz w:val="20"/>
          <w:szCs w:val="20"/>
          <w:color w:val="auto"/>
        </w:rPr>
      </w:pPr>
      <w:r>
        <w:rPr>
          <w:rFonts w:ascii="Arial" w:cs="Arial" w:eastAsia="Arial" w:hAnsi="Arial"/>
          <w:sz w:val="11"/>
          <w:szCs w:val="11"/>
          <w:color w:val="050505"/>
        </w:rPr>
        <w:t>Other revenue for fiscal 2018 increased $3.6 million, or 135.5%, compared to fiscal 2017. This increase was primarily attributable to the growth of our branded apparel sales during the period.</w:t>
      </w:r>
    </w:p>
    <w:p>
      <w:pPr>
        <w:spacing w:after="0" w:line="93" w:lineRule="exact"/>
        <w:rPr>
          <w:sz w:val="20"/>
          <w:szCs w:val="20"/>
          <w:color w:val="auto"/>
        </w:rPr>
      </w:pPr>
    </w:p>
    <w:p>
      <w:pPr>
        <w:ind w:left="5680"/>
        <w:spacing w:after="0"/>
        <w:rPr>
          <w:sz w:val="20"/>
          <w:szCs w:val="20"/>
          <w:color w:val="auto"/>
        </w:rPr>
      </w:pPr>
      <w:r>
        <w:rPr>
          <w:rFonts w:ascii="Arial" w:cs="Arial" w:eastAsia="Arial" w:hAnsi="Arial"/>
          <w:sz w:val="11"/>
          <w:szCs w:val="11"/>
          <w:color w:val="050505"/>
        </w:rPr>
        <w:t>73</w:t>
      </w:r>
    </w:p>
    <w:p>
      <w:pPr>
        <w:sectPr>
          <w:pgSz w:w="11900" w:h="16838" w:orient="portrait"/>
          <w:cols w:equalWidth="0" w:num="1">
            <w:col w:w="10239"/>
          </w:cols>
          <w:pgMar w:left="220" w:top="354" w:right="1440" w:bottom="1440" w:gutter="0" w:footer="0" w:header="0"/>
        </w:sectPr>
      </w:pPr>
    </w:p>
    <w:bookmarkStart w:id="78" w:name="page79"/>
    <w:bookmarkEnd w:id="78"/>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hyperlink w:anchor="page5">
        <w:r>
          <w:rPr>
            <w:rFonts w:ascii="Arial" w:cs="Arial" w:eastAsia="Arial" w:hAnsi="Arial"/>
            <w:sz w:val="12"/>
            <w:szCs w:val="12"/>
            <w:b w:val="1"/>
            <w:bCs w:val="1"/>
            <w:u w:val="single" w:color="auto"/>
            <w:color w:val="0000EE"/>
          </w:rPr>
          <w:t>Table of Contents</w:t>
        </w:r>
      </w:hyperlink>
    </w:p>
    <w:p>
      <w:pPr>
        <w:spacing w:after="0" w:line="204" w:lineRule="exact"/>
        <w:rPr>
          <w:sz w:val="20"/>
          <w:szCs w:val="20"/>
          <w:color w:val="auto"/>
        </w:rPr>
      </w:pPr>
    </w:p>
    <w:tbl>
      <w:tblPr>
        <w:tblLayout w:type="fixed"/>
        <w:tblInd w:w="2060" w:type="dxa"/>
        <w:tblCellMar>
          <w:top w:w="0" w:type="dxa"/>
          <w:left w:w="0" w:type="dxa"/>
          <w:bottom w:w="0" w:type="dxa"/>
          <w:right w:w="0" w:type="dxa"/>
        </w:tblCellMar>
      </w:tblPr>
      <w:tr>
        <w:trPr>
          <w:trHeight w:val="142"/>
        </w:trPr>
        <w:tc>
          <w:tcPr>
            <w:tcW w:w="2680" w:type="dxa"/>
            <w:vAlign w:val="bottom"/>
          </w:tcPr>
          <w:p>
            <w:pPr>
              <w:spacing w:after="0"/>
              <w:rPr>
                <w:sz w:val="20"/>
                <w:szCs w:val="20"/>
                <w:color w:val="auto"/>
              </w:rPr>
            </w:pPr>
            <w:r>
              <w:rPr>
                <w:rFonts w:ascii="Arial" w:cs="Arial" w:eastAsia="Arial" w:hAnsi="Arial"/>
                <w:sz w:val="11"/>
                <w:szCs w:val="11"/>
                <w:b w:val="1"/>
                <w:bCs w:val="1"/>
                <w:i w:val="1"/>
                <w:iCs w:val="1"/>
                <w:color w:val="auto"/>
              </w:rPr>
              <w:t>Cost of Revenue, Gross Profit, and Gross Margin</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r>
      <w:tr>
        <w:trPr>
          <w:trHeight w:val="283"/>
        </w:trPr>
        <w:tc>
          <w:tcPr>
            <w:tcW w:w="2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gridSpan w:val="8"/>
          </w:tcPr>
          <w:p>
            <w:pPr>
              <w:jc w:val="center"/>
              <w:ind w:left="246"/>
              <w:spacing w:after="0"/>
              <w:rPr>
                <w:sz w:val="20"/>
                <w:szCs w:val="20"/>
                <w:color w:val="auto"/>
              </w:rPr>
            </w:pPr>
            <w:r>
              <w:rPr>
                <w:rFonts w:ascii="Arial" w:cs="Arial" w:eastAsia="Arial" w:hAnsi="Arial"/>
                <w:sz w:val="11"/>
                <w:szCs w:val="11"/>
                <w:b w:val="1"/>
                <w:bCs w:val="1"/>
                <w:color w:val="050505"/>
                <w:w w:val="98"/>
              </w:rPr>
              <w:t>Fiscal Year Ended June 30,</w:t>
            </w:r>
          </w:p>
        </w:tc>
        <w:tc>
          <w:tcPr>
            <w:tcW w:w="400" w:type="dxa"/>
            <w:vAlign w:val="bottom"/>
            <w:tcBorders>
              <w:bottom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gridSpan w:val="3"/>
          </w:tcPr>
          <w:p>
            <w:pPr>
              <w:jc w:val="right"/>
              <w:ind w:right="200"/>
              <w:spacing w:after="0"/>
              <w:rPr>
                <w:sz w:val="20"/>
                <w:szCs w:val="20"/>
                <w:color w:val="auto"/>
              </w:rPr>
            </w:pPr>
            <w:r>
              <w:rPr>
                <w:rFonts w:ascii="Arial" w:cs="Arial" w:eastAsia="Arial" w:hAnsi="Arial"/>
                <w:sz w:val="11"/>
                <w:szCs w:val="11"/>
                <w:b w:val="1"/>
                <w:bCs w:val="1"/>
                <w:color w:val="050505"/>
              </w:rPr>
              <w:t>2017 to 2018</w:t>
            </w:r>
          </w:p>
        </w:tc>
        <w:tc>
          <w:tcPr>
            <w:tcW w:w="940" w:type="dxa"/>
            <w:vAlign w:val="bottom"/>
            <w:gridSpan w:val="3"/>
          </w:tcPr>
          <w:p>
            <w:pPr>
              <w:jc w:val="right"/>
              <w:ind w:right="200"/>
              <w:spacing w:after="0"/>
              <w:rPr>
                <w:sz w:val="20"/>
                <w:szCs w:val="20"/>
                <w:color w:val="auto"/>
              </w:rPr>
            </w:pPr>
            <w:r>
              <w:rPr>
                <w:rFonts w:ascii="Arial" w:cs="Arial" w:eastAsia="Arial" w:hAnsi="Arial"/>
                <w:sz w:val="11"/>
                <w:szCs w:val="11"/>
                <w:b w:val="1"/>
                <w:bCs w:val="1"/>
                <w:color w:val="050505"/>
              </w:rPr>
              <w:t>2018 to 2019</w:t>
            </w:r>
          </w:p>
        </w:tc>
      </w:tr>
      <w:tr>
        <w:trPr>
          <w:trHeight w:val="115"/>
        </w:trPr>
        <w:tc>
          <w:tcPr>
            <w:tcW w:w="26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jc w:val="right"/>
              <w:ind w:right="86"/>
              <w:spacing w:after="0" w:line="115" w:lineRule="exact"/>
              <w:rPr>
                <w:sz w:val="20"/>
                <w:szCs w:val="20"/>
                <w:color w:val="auto"/>
              </w:rPr>
            </w:pPr>
            <w:r>
              <w:rPr>
                <w:rFonts w:ascii="Arial" w:cs="Arial" w:eastAsia="Arial" w:hAnsi="Arial"/>
                <w:sz w:val="11"/>
                <w:szCs w:val="11"/>
                <w:b w:val="1"/>
                <w:bCs w:val="1"/>
                <w:color w:val="050505"/>
                <w:w w:val="97"/>
              </w:rPr>
              <w:t>2017</w:t>
            </w:r>
          </w:p>
        </w:tc>
        <w:tc>
          <w:tcPr>
            <w:tcW w:w="1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jc w:val="center"/>
              <w:ind w:right="26"/>
              <w:spacing w:after="0" w:line="115" w:lineRule="exact"/>
              <w:rPr>
                <w:sz w:val="20"/>
                <w:szCs w:val="20"/>
                <w:color w:val="auto"/>
              </w:rPr>
            </w:pPr>
            <w:r>
              <w:rPr>
                <w:rFonts w:ascii="Arial" w:cs="Arial" w:eastAsia="Arial" w:hAnsi="Arial"/>
                <w:sz w:val="11"/>
                <w:szCs w:val="11"/>
                <w:b w:val="1"/>
                <w:bCs w:val="1"/>
                <w:color w:val="050505"/>
                <w:w w:val="97"/>
              </w:rPr>
              <w:t>2018</w:t>
            </w: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jc w:val="right"/>
              <w:ind w:right="86"/>
              <w:spacing w:after="0" w:line="115" w:lineRule="exact"/>
              <w:rPr>
                <w:sz w:val="20"/>
                <w:szCs w:val="20"/>
                <w:color w:val="auto"/>
              </w:rPr>
            </w:pPr>
            <w:r>
              <w:rPr>
                <w:rFonts w:ascii="Arial" w:cs="Arial" w:eastAsia="Arial" w:hAnsi="Arial"/>
                <w:sz w:val="11"/>
                <w:szCs w:val="11"/>
                <w:b w:val="1"/>
                <w:bCs w:val="1"/>
                <w:color w:val="050505"/>
                <w:w w:val="97"/>
              </w:rPr>
              <w:t>2019</w:t>
            </w:r>
          </w:p>
        </w:tc>
        <w:tc>
          <w:tcPr>
            <w:tcW w:w="2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40" w:type="dxa"/>
            <w:vAlign w:val="bottom"/>
            <w:gridSpan w:val="2"/>
          </w:tcPr>
          <w:p>
            <w:pPr>
              <w:jc w:val="right"/>
              <w:ind w:right="260"/>
              <w:spacing w:after="0" w:line="115" w:lineRule="exact"/>
              <w:rPr>
                <w:sz w:val="20"/>
                <w:szCs w:val="20"/>
                <w:color w:val="auto"/>
              </w:rPr>
            </w:pPr>
            <w:r>
              <w:rPr>
                <w:rFonts w:ascii="Arial" w:cs="Arial" w:eastAsia="Arial" w:hAnsi="Arial"/>
                <w:sz w:val="11"/>
                <w:szCs w:val="11"/>
                <w:b w:val="1"/>
                <w:bCs w:val="1"/>
                <w:color w:val="050505"/>
              </w:rPr>
              <w:t>% Change</w:t>
            </w:r>
          </w:p>
        </w:tc>
        <w:tc>
          <w:tcPr>
            <w:tcW w:w="100" w:type="dxa"/>
            <w:vAlign w:val="bottom"/>
          </w:tcPr>
          <w:p>
            <w:pPr>
              <w:spacing w:after="0"/>
              <w:rPr>
                <w:sz w:val="10"/>
                <w:szCs w:val="10"/>
                <w:color w:val="auto"/>
              </w:rPr>
            </w:pPr>
          </w:p>
        </w:tc>
        <w:tc>
          <w:tcPr>
            <w:tcW w:w="840" w:type="dxa"/>
            <w:vAlign w:val="bottom"/>
            <w:gridSpan w:val="2"/>
          </w:tcPr>
          <w:p>
            <w:pPr>
              <w:ind w:left="60"/>
              <w:spacing w:after="0" w:line="115" w:lineRule="exact"/>
              <w:rPr>
                <w:sz w:val="20"/>
                <w:szCs w:val="20"/>
                <w:color w:val="auto"/>
              </w:rPr>
            </w:pPr>
            <w:r>
              <w:rPr>
                <w:rFonts w:ascii="Arial" w:cs="Arial" w:eastAsia="Arial" w:hAnsi="Arial"/>
                <w:sz w:val="11"/>
                <w:szCs w:val="11"/>
                <w:b w:val="1"/>
                <w:bCs w:val="1"/>
                <w:color w:val="050505"/>
              </w:rPr>
              <w:t>% Change</w:t>
            </w:r>
          </w:p>
        </w:tc>
      </w:tr>
      <w:tr>
        <w:trPr>
          <w:trHeight w:val="115"/>
        </w:trPr>
        <w:tc>
          <w:tcPr>
            <w:tcW w:w="26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40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120" w:type="dxa"/>
            <w:vAlign w:val="bottom"/>
            <w:tcBorders>
              <w:top w:val="single" w:sz="8" w:color="auto"/>
            </w:tcBorders>
            <w:gridSpan w:val="4"/>
          </w:tcPr>
          <w:p>
            <w:pPr>
              <w:jc w:val="center"/>
              <w:ind w:right="40"/>
              <w:spacing w:after="0" w:line="115" w:lineRule="exact"/>
              <w:rPr>
                <w:sz w:val="20"/>
                <w:szCs w:val="20"/>
                <w:color w:val="auto"/>
              </w:rPr>
            </w:pPr>
            <w:r>
              <w:rPr>
                <w:rFonts w:ascii="Arial" w:cs="Arial" w:eastAsia="Arial" w:hAnsi="Arial"/>
                <w:sz w:val="11"/>
                <w:szCs w:val="11"/>
                <w:b w:val="1"/>
                <w:bCs w:val="1"/>
                <w:color w:val="050505"/>
                <w:w w:val="99"/>
              </w:rPr>
              <w:t>(dollars in millions)</w:t>
            </w:r>
          </w:p>
        </w:tc>
        <w:tc>
          <w:tcPr>
            <w:tcW w:w="8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400" w:type="dxa"/>
            <w:vAlign w:val="bottom"/>
            <w:tcBorders>
              <w:top w:val="single" w:sz="8" w:color="auto"/>
            </w:tcBorders>
          </w:tcPr>
          <w:p>
            <w:pPr>
              <w:spacing w:after="0"/>
              <w:rPr>
                <w:sz w:val="10"/>
                <w:szCs w:val="10"/>
                <w:color w:val="auto"/>
              </w:rPr>
            </w:pPr>
          </w:p>
        </w:tc>
        <w:tc>
          <w:tcPr>
            <w:tcW w:w="2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200" w:type="dxa"/>
            <w:vAlign w:val="bottom"/>
          </w:tcPr>
          <w:p>
            <w:pPr>
              <w:spacing w:after="0"/>
              <w:rPr>
                <w:sz w:val="10"/>
                <w:szCs w:val="10"/>
                <w:color w:val="auto"/>
              </w:rPr>
            </w:pPr>
          </w:p>
        </w:tc>
      </w:tr>
      <w:tr>
        <w:trPr>
          <w:trHeight w:val="126"/>
        </w:trPr>
        <w:tc>
          <w:tcPr>
            <w:tcW w:w="2680" w:type="dxa"/>
            <w:vAlign w:val="bottom"/>
            <w:shd w:val="clear" w:color="auto" w:fill="CCEEFF"/>
          </w:tcPr>
          <w:p>
            <w:pPr>
              <w:ind w:left="40"/>
              <w:spacing w:after="0"/>
              <w:rPr>
                <w:sz w:val="20"/>
                <w:szCs w:val="20"/>
                <w:color w:val="auto"/>
              </w:rPr>
            </w:pPr>
            <w:r>
              <w:rPr>
                <w:rFonts w:ascii="Arial" w:cs="Arial" w:eastAsia="Arial" w:hAnsi="Arial"/>
                <w:sz w:val="11"/>
                <w:szCs w:val="11"/>
                <w:color w:val="050505"/>
              </w:rPr>
              <w:t>Cost of Revenue:</w:t>
            </w:r>
          </w:p>
        </w:tc>
        <w:tc>
          <w:tcPr>
            <w:tcW w:w="1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r>
      <w:tr>
        <w:trPr>
          <w:trHeight w:val="126"/>
        </w:trPr>
        <w:tc>
          <w:tcPr>
            <w:tcW w:w="2680" w:type="dxa"/>
            <w:vAlign w:val="bottom"/>
          </w:tcPr>
          <w:p>
            <w:pPr>
              <w:ind w:left="160"/>
              <w:spacing w:after="0"/>
              <w:rPr>
                <w:sz w:val="20"/>
                <w:szCs w:val="20"/>
                <w:color w:val="auto"/>
              </w:rPr>
            </w:pPr>
            <w:r>
              <w:rPr>
                <w:rFonts w:ascii="Arial" w:cs="Arial" w:eastAsia="Arial" w:hAnsi="Arial"/>
                <w:sz w:val="11"/>
                <w:szCs w:val="11"/>
                <w:color w:val="050505"/>
              </w:rPr>
              <w:t>Connected Fitness Products</w:t>
            </w:r>
          </w:p>
        </w:tc>
        <w:tc>
          <w:tcPr>
            <w:tcW w:w="260" w:type="dxa"/>
            <w:vAlign w:val="bottom"/>
            <w:gridSpan w:val="2"/>
          </w:tcPr>
          <w:p>
            <w:pPr>
              <w:jc w:val="right"/>
              <w:spacing w:after="0"/>
              <w:rPr>
                <w:sz w:val="20"/>
                <w:szCs w:val="20"/>
                <w:color w:val="auto"/>
              </w:rPr>
            </w:pPr>
            <w:r>
              <w:rPr>
                <w:rFonts w:ascii="Arial" w:cs="Arial" w:eastAsia="Arial" w:hAnsi="Arial"/>
                <w:sz w:val="11"/>
                <w:szCs w:val="11"/>
                <w:color w:val="050505"/>
              </w:rPr>
              <w:t>$</w:t>
            </w:r>
          </w:p>
        </w:tc>
        <w:tc>
          <w:tcPr>
            <w:tcW w:w="400" w:type="dxa"/>
            <w:vAlign w:val="bottom"/>
          </w:tcPr>
          <w:p>
            <w:pPr>
              <w:jc w:val="right"/>
              <w:spacing w:after="0"/>
              <w:rPr>
                <w:sz w:val="20"/>
                <w:szCs w:val="20"/>
                <w:color w:val="auto"/>
              </w:rPr>
            </w:pPr>
            <w:r>
              <w:rPr>
                <w:rFonts w:ascii="Arial" w:cs="Arial" w:eastAsia="Arial" w:hAnsi="Arial"/>
                <w:sz w:val="11"/>
                <w:szCs w:val="11"/>
                <w:color w:val="050505"/>
              </w:rPr>
              <w:t>113.5</w:t>
            </w:r>
          </w:p>
        </w:tc>
        <w:tc>
          <w:tcPr>
            <w:tcW w:w="120" w:type="dxa"/>
            <w:vAlign w:val="bottom"/>
          </w:tcPr>
          <w:p>
            <w:pPr>
              <w:spacing w:after="0"/>
              <w:rPr>
                <w:sz w:val="10"/>
                <w:szCs w:val="10"/>
                <w:color w:val="auto"/>
              </w:rPr>
            </w:pPr>
          </w:p>
        </w:tc>
        <w:tc>
          <w:tcPr>
            <w:tcW w:w="380" w:type="dxa"/>
            <w:vAlign w:val="bottom"/>
            <w:gridSpan w:val="2"/>
          </w:tcPr>
          <w:p>
            <w:pPr>
              <w:jc w:val="right"/>
              <w:ind w:right="20"/>
              <w:spacing w:after="0"/>
              <w:rPr>
                <w:sz w:val="20"/>
                <w:szCs w:val="20"/>
                <w:color w:val="auto"/>
              </w:rPr>
            </w:pPr>
            <w:r>
              <w:rPr>
                <w:rFonts w:ascii="Arial" w:cs="Arial" w:eastAsia="Arial" w:hAnsi="Arial"/>
                <w:sz w:val="11"/>
                <w:szCs w:val="11"/>
                <w:color w:val="050505"/>
              </w:rPr>
              <w:t>$</w:t>
            </w:r>
          </w:p>
        </w:tc>
        <w:tc>
          <w:tcPr>
            <w:tcW w:w="400" w:type="dxa"/>
            <w:vAlign w:val="bottom"/>
          </w:tcPr>
          <w:p>
            <w:pPr>
              <w:jc w:val="right"/>
              <w:spacing w:after="0"/>
              <w:rPr>
                <w:sz w:val="20"/>
                <w:szCs w:val="20"/>
                <w:color w:val="auto"/>
              </w:rPr>
            </w:pPr>
            <w:r>
              <w:rPr>
                <w:rFonts w:ascii="Arial" w:cs="Arial" w:eastAsia="Arial" w:hAnsi="Arial"/>
                <w:sz w:val="11"/>
                <w:szCs w:val="11"/>
                <w:color w:val="050505"/>
              </w:rPr>
              <w:t>195.0</w:t>
            </w:r>
          </w:p>
        </w:tc>
        <w:tc>
          <w:tcPr>
            <w:tcW w:w="340" w:type="dxa"/>
            <w:vAlign w:val="bottom"/>
          </w:tcPr>
          <w:p>
            <w:pPr>
              <w:spacing w:after="0"/>
              <w:rPr>
                <w:sz w:val="10"/>
                <w:szCs w:val="10"/>
                <w:color w:val="auto"/>
              </w:rPr>
            </w:pPr>
          </w:p>
        </w:tc>
        <w:tc>
          <w:tcPr>
            <w:tcW w:w="180" w:type="dxa"/>
            <w:vAlign w:val="bottom"/>
            <w:gridSpan w:val="2"/>
          </w:tcPr>
          <w:p>
            <w:pPr>
              <w:jc w:val="right"/>
              <w:ind w:right="40"/>
              <w:spacing w:after="0"/>
              <w:rPr>
                <w:sz w:val="20"/>
                <w:szCs w:val="20"/>
                <w:color w:val="auto"/>
              </w:rPr>
            </w:pPr>
            <w:r>
              <w:rPr>
                <w:rFonts w:ascii="Arial" w:cs="Arial" w:eastAsia="Arial" w:hAnsi="Arial"/>
                <w:sz w:val="11"/>
                <w:szCs w:val="11"/>
                <w:color w:val="050505"/>
              </w:rPr>
              <w:t>$</w:t>
            </w:r>
          </w:p>
        </w:tc>
        <w:tc>
          <w:tcPr>
            <w:tcW w:w="400" w:type="dxa"/>
            <w:vAlign w:val="bottom"/>
          </w:tcPr>
          <w:p>
            <w:pPr>
              <w:jc w:val="right"/>
              <w:spacing w:after="0"/>
              <w:rPr>
                <w:sz w:val="20"/>
                <w:szCs w:val="20"/>
                <w:color w:val="auto"/>
              </w:rPr>
            </w:pPr>
            <w:r>
              <w:rPr>
                <w:rFonts w:ascii="Arial" w:cs="Arial" w:eastAsia="Arial" w:hAnsi="Arial"/>
                <w:sz w:val="11"/>
                <w:szCs w:val="11"/>
                <w:color w:val="050505"/>
              </w:rPr>
              <w:t>410.8</w:t>
            </w:r>
          </w:p>
        </w:tc>
        <w:tc>
          <w:tcPr>
            <w:tcW w:w="260" w:type="dxa"/>
            <w:vAlign w:val="bottom"/>
          </w:tcPr>
          <w:p>
            <w:pPr>
              <w:spacing w:after="0"/>
              <w:rPr>
                <w:sz w:val="10"/>
                <w:szCs w:val="10"/>
                <w:color w:val="auto"/>
              </w:rPr>
            </w:pPr>
          </w:p>
        </w:tc>
        <w:tc>
          <w:tcPr>
            <w:tcW w:w="1000" w:type="dxa"/>
            <w:vAlign w:val="bottom"/>
            <w:gridSpan w:val="3"/>
          </w:tcPr>
          <w:p>
            <w:pPr>
              <w:jc w:val="right"/>
              <w:ind w:right="100"/>
              <w:spacing w:after="0"/>
              <w:rPr>
                <w:sz w:val="20"/>
                <w:szCs w:val="20"/>
                <w:color w:val="auto"/>
              </w:rPr>
            </w:pPr>
            <w:r>
              <w:rPr>
                <w:rFonts w:ascii="Arial" w:cs="Arial" w:eastAsia="Arial" w:hAnsi="Arial"/>
                <w:sz w:val="11"/>
                <w:szCs w:val="11"/>
                <w:color w:val="050505"/>
              </w:rPr>
              <w:t>71.7%</w:t>
            </w:r>
          </w:p>
        </w:tc>
        <w:tc>
          <w:tcPr>
            <w:tcW w:w="940" w:type="dxa"/>
            <w:vAlign w:val="bottom"/>
            <w:gridSpan w:val="3"/>
          </w:tcPr>
          <w:p>
            <w:pPr>
              <w:ind w:left="460"/>
              <w:spacing w:after="0"/>
              <w:rPr>
                <w:sz w:val="20"/>
                <w:szCs w:val="20"/>
                <w:color w:val="auto"/>
              </w:rPr>
            </w:pPr>
            <w:r>
              <w:rPr>
                <w:rFonts w:ascii="Arial" w:cs="Arial" w:eastAsia="Arial" w:hAnsi="Arial"/>
                <w:sz w:val="11"/>
                <w:szCs w:val="11"/>
                <w:color w:val="050505"/>
              </w:rPr>
              <w:t>110.7%</w:t>
            </w:r>
          </w:p>
        </w:tc>
      </w:tr>
      <w:tr>
        <w:trPr>
          <w:trHeight w:val="126"/>
        </w:trPr>
        <w:tc>
          <w:tcPr>
            <w:tcW w:w="2680" w:type="dxa"/>
            <w:vAlign w:val="bottom"/>
            <w:shd w:val="clear" w:color="auto" w:fill="CCEEFF"/>
          </w:tcPr>
          <w:p>
            <w:pPr>
              <w:ind w:left="160"/>
              <w:spacing w:after="0"/>
              <w:rPr>
                <w:sz w:val="20"/>
                <w:szCs w:val="20"/>
                <w:color w:val="auto"/>
              </w:rPr>
            </w:pPr>
            <w:r>
              <w:rPr>
                <w:rFonts w:ascii="Arial" w:cs="Arial" w:eastAsia="Arial" w:hAnsi="Arial"/>
                <w:sz w:val="11"/>
                <w:szCs w:val="11"/>
                <w:color w:val="050505"/>
              </w:rPr>
              <w:t>Subscription</w:t>
            </w:r>
          </w:p>
        </w:tc>
        <w:tc>
          <w:tcPr>
            <w:tcW w:w="1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1"/>
                <w:szCs w:val="11"/>
                <w:color w:val="050505"/>
              </w:rPr>
              <w:t>29.3</w:t>
            </w:r>
          </w:p>
        </w:tc>
        <w:tc>
          <w:tcPr>
            <w:tcW w:w="12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1"/>
                <w:szCs w:val="11"/>
                <w:color w:val="050505"/>
              </w:rPr>
              <w:t>45.5</w:t>
            </w:r>
          </w:p>
        </w:tc>
        <w:tc>
          <w:tcPr>
            <w:tcW w:w="3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1"/>
                <w:szCs w:val="11"/>
                <w:color w:val="050505"/>
              </w:rPr>
              <w:t>103.7</w:t>
            </w:r>
          </w:p>
        </w:tc>
        <w:tc>
          <w:tcPr>
            <w:tcW w:w="260" w:type="dxa"/>
            <w:vAlign w:val="bottom"/>
            <w:shd w:val="clear" w:color="auto" w:fill="CCEEFF"/>
          </w:tcPr>
          <w:p>
            <w:pPr>
              <w:spacing w:after="0"/>
              <w:rPr>
                <w:sz w:val="10"/>
                <w:szCs w:val="10"/>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050505"/>
              </w:rPr>
              <w:t>55.4</w:t>
            </w:r>
          </w:p>
        </w:tc>
        <w:tc>
          <w:tcPr>
            <w:tcW w:w="200" w:type="dxa"/>
            <w:vAlign w:val="bottom"/>
            <w:shd w:val="clear" w:color="auto" w:fill="CCEEFF"/>
          </w:tcPr>
          <w:p>
            <w:pPr>
              <w:spacing w:after="0"/>
              <w:rPr>
                <w:sz w:val="10"/>
                <w:szCs w:val="10"/>
                <w:color w:val="auto"/>
              </w:rPr>
            </w:pPr>
          </w:p>
        </w:tc>
        <w:tc>
          <w:tcPr>
            <w:tcW w:w="740" w:type="dxa"/>
            <w:vAlign w:val="bottom"/>
            <w:gridSpan w:val="2"/>
            <w:shd w:val="clear" w:color="auto" w:fill="CCEEFF"/>
          </w:tcPr>
          <w:p>
            <w:pPr>
              <w:ind w:left="460"/>
              <w:spacing w:after="0"/>
              <w:rPr>
                <w:sz w:val="20"/>
                <w:szCs w:val="20"/>
                <w:color w:val="auto"/>
              </w:rPr>
            </w:pPr>
            <w:r>
              <w:rPr>
                <w:rFonts w:ascii="Arial" w:cs="Arial" w:eastAsia="Arial" w:hAnsi="Arial"/>
                <w:sz w:val="11"/>
                <w:szCs w:val="11"/>
                <w:color w:val="050505"/>
                <w:w w:val="94"/>
              </w:rPr>
              <w:t>127.7</w:t>
            </w:r>
          </w:p>
        </w:tc>
        <w:tc>
          <w:tcPr>
            <w:tcW w:w="200" w:type="dxa"/>
            <w:vAlign w:val="bottom"/>
            <w:shd w:val="clear" w:color="auto" w:fill="CCEEFF"/>
          </w:tcPr>
          <w:p>
            <w:pPr>
              <w:spacing w:after="0"/>
              <w:rPr>
                <w:sz w:val="10"/>
                <w:szCs w:val="10"/>
                <w:color w:val="auto"/>
              </w:rPr>
            </w:pPr>
          </w:p>
        </w:tc>
      </w:tr>
      <w:tr>
        <w:trPr>
          <w:trHeight w:val="126"/>
        </w:trPr>
        <w:tc>
          <w:tcPr>
            <w:tcW w:w="2680" w:type="dxa"/>
            <w:vAlign w:val="bottom"/>
          </w:tcPr>
          <w:p>
            <w:pPr>
              <w:ind w:left="160"/>
              <w:spacing w:after="0"/>
              <w:rPr>
                <w:sz w:val="20"/>
                <w:szCs w:val="20"/>
                <w:color w:val="auto"/>
              </w:rPr>
            </w:pPr>
            <w:r>
              <w:rPr>
                <w:rFonts w:ascii="Arial" w:cs="Arial" w:eastAsia="Arial" w:hAnsi="Arial"/>
                <w:sz w:val="11"/>
                <w:szCs w:val="11"/>
                <w:color w:val="050505"/>
              </w:rPr>
              <w:t>Other</w:t>
            </w:r>
          </w:p>
        </w:tc>
        <w:tc>
          <w:tcPr>
            <w:tcW w:w="16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050505"/>
              </w:rPr>
              <w:t>1.9</w:t>
            </w:r>
          </w:p>
        </w:tc>
        <w:tc>
          <w:tcPr>
            <w:tcW w:w="1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050505"/>
              </w:rPr>
              <w:t>4.9</w:t>
            </w: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050505"/>
              </w:rPr>
              <w:t>17.0</w:t>
            </w:r>
          </w:p>
        </w:tc>
        <w:tc>
          <w:tcPr>
            <w:tcW w:w="260" w:type="dxa"/>
            <w:vAlign w:val="bottom"/>
          </w:tcPr>
          <w:p>
            <w:pPr>
              <w:spacing w:after="0"/>
              <w:rPr>
                <w:sz w:val="10"/>
                <w:szCs w:val="10"/>
                <w:color w:val="auto"/>
              </w:rPr>
            </w:pPr>
          </w:p>
        </w:tc>
        <w:tc>
          <w:tcPr>
            <w:tcW w:w="800" w:type="dxa"/>
            <w:vAlign w:val="bottom"/>
            <w:gridSpan w:val="2"/>
          </w:tcPr>
          <w:p>
            <w:pPr>
              <w:jc w:val="right"/>
              <w:spacing w:after="0"/>
              <w:rPr>
                <w:sz w:val="20"/>
                <w:szCs w:val="20"/>
                <w:color w:val="auto"/>
              </w:rPr>
            </w:pPr>
            <w:r>
              <w:rPr>
                <w:rFonts w:ascii="Arial" w:cs="Arial" w:eastAsia="Arial" w:hAnsi="Arial"/>
                <w:sz w:val="11"/>
                <w:szCs w:val="11"/>
                <w:color w:val="050505"/>
              </w:rPr>
              <w:t>163.3</w:t>
            </w:r>
          </w:p>
        </w:tc>
        <w:tc>
          <w:tcPr>
            <w:tcW w:w="200" w:type="dxa"/>
            <w:vAlign w:val="bottom"/>
          </w:tcPr>
          <w:p>
            <w:pPr>
              <w:spacing w:after="0"/>
              <w:rPr>
                <w:sz w:val="10"/>
                <w:szCs w:val="10"/>
                <w:color w:val="auto"/>
              </w:rPr>
            </w:pPr>
          </w:p>
        </w:tc>
        <w:tc>
          <w:tcPr>
            <w:tcW w:w="740" w:type="dxa"/>
            <w:vAlign w:val="bottom"/>
            <w:gridSpan w:val="2"/>
          </w:tcPr>
          <w:p>
            <w:pPr>
              <w:ind w:left="460"/>
              <w:spacing w:after="0"/>
              <w:rPr>
                <w:sz w:val="20"/>
                <w:szCs w:val="20"/>
                <w:color w:val="auto"/>
              </w:rPr>
            </w:pPr>
            <w:r>
              <w:rPr>
                <w:rFonts w:ascii="Arial" w:cs="Arial" w:eastAsia="Arial" w:hAnsi="Arial"/>
                <w:sz w:val="11"/>
                <w:szCs w:val="11"/>
                <w:color w:val="050505"/>
                <w:w w:val="94"/>
              </w:rPr>
              <w:t>247.7</w:t>
            </w:r>
          </w:p>
        </w:tc>
        <w:tc>
          <w:tcPr>
            <w:tcW w:w="200" w:type="dxa"/>
            <w:vAlign w:val="bottom"/>
          </w:tcPr>
          <w:p>
            <w:pPr>
              <w:spacing w:after="0"/>
              <w:rPr>
                <w:sz w:val="10"/>
                <w:szCs w:val="10"/>
                <w:color w:val="auto"/>
              </w:rPr>
            </w:pPr>
          </w:p>
        </w:tc>
      </w:tr>
      <w:tr>
        <w:trPr>
          <w:trHeight w:val="131"/>
        </w:trPr>
        <w:tc>
          <w:tcPr>
            <w:tcW w:w="2680" w:type="dxa"/>
            <w:vAlign w:val="bottom"/>
            <w:shd w:val="clear" w:color="auto" w:fill="CCEEFF"/>
          </w:tcPr>
          <w:p>
            <w:pPr>
              <w:ind w:left="260"/>
              <w:spacing w:after="0" w:line="124" w:lineRule="exact"/>
              <w:rPr>
                <w:sz w:val="20"/>
                <w:szCs w:val="20"/>
                <w:color w:val="auto"/>
              </w:rPr>
            </w:pPr>
            <w:r>
              <w:rPr>
                <w:rFonts w:ascii="Arial" w:cs="Arial" w:eastAsia="Arial" w:hAnsi="Arial"/>
                <w:sz w:val="11"/>
                <w:szCs w:val="11"/>
                <w:color w:val="050505"/>
              </w:rPr>
              <w:t>Total cost of revenue</w:t>
            </w:r>
          </w:p>
        </w:tc>
        <w:tc>
          <w:tcPr>
            <w:tcW w:w="260" w:type="dxa"/>
            <w:vAlign w:val="bottom"/>
            <w:gridSpan w:val="2"/>
            <w:shd w:val="clear" w:color="auto" w:fill="CCEEFF"/>
          </w:tcPr>
          <w:p>
            <w:pPr>
              <w:jc w:val="right"/>
              <w:spacing w:after="0" w:line="124" w:lineRule="exact"/>
              <w:rPr>
                <w:sz w:val="20"/>
                <w:szCs w:val="20"/>
                <w:color w:val="auto"/>
              </w:rPr>
            </w:pPr>
            <w:r>
              <w:rPr>
                <w:rFonts w:ascii="Arial" w:cs="Arial" w:eastAsia="Arial" w:hAnsi="Arial"/>
                <w:sz w:val="11"/>
                <w:szCs w:val="11"/>
                <w:color w:val="050505"/>
              </w:rPr>
              <w:t>$</w:t>
            </w:r>
          </w:p>
        </w:tc>
        <w:tc>
          <w:tcPr>
            <w:tcW w:w="400" w:type="dxa"/>
            <w:vAlign w:val="bottom"/>
            <w:shd w:val="clear" w:color="auto" w:fill="CCEEFF"/>
          </w:tcPr>
          <w:p>
            <w:pPr>
              <w:jc w:val="right"/>
              <w:spacing w:after="0" w:line="124" w:lineRule="exact"/>
              <w:rPr>
                <w:sz w:val="20"/>
                <w:szCs w:val="20"/>
                <w:color w:val="auto"/>
              </w:rPr>
            </w:pPr>
            <w:r>
              <w:rPr>
                <w:rFonts w:ascii="Arial" w:cs="Arial" w:eastAsia="Arial" w:hAnsi="Arial"/>
                <w:sz w:val="11"/>
                <w:szCs w:val="11"/>
                <w:color w:val="050505"/>
              </w:rPr>
              <w:t>144.7</w:t>
            </w:r>
          </w:p>
        </w:tc>
        <w:tc>
          <w:tcPr>
            <w:tcW w:w="120" w:type="dxa"/>
            <w:vAlign w:val="bottom"/>
            <w:shd w:val="clear" w:color="auto" w:fill="CCEEFF"/>
          </w:tcPr>
          <w:p>
            <w:pPr>
              <w:spacing w:after="0"/>
              <w:rPr>
                <w:sz w:val="11"/>
                <w:szCs w:val="11"/>
                <w:color w:val="auto"/>
              </w:rPr>
            </w:pPr>
          </w:p>
        </w:tc>
        <w:tc>
          <w:tcPr>
            <w:tcW w:w="380" w:type="dxa"/>
            <w:vAlign w:val="bottom"/>
            <w:gridSpan w:val="2"/>
            <w:shd w:val="clear" w:color="auto" w:fill="CCEEFF"/>
          </w:tcPr>
          <w:p>
            <w:pPr>
              <w:jc w:val="right"/>
              <w:ind w:right="20"/>
              <w:spacing w:after="0" w:line="124" w:lineRule="exact"/>
              <w:rPr>
                <w:sz w:val="20"/>
                <w:szCs w:val="20"/>
                <w:color w:val="auto"/>
              </w:rPr>
            </w:pPr>
            <w:r>
              <w:rPr>
                <w:rFonts w:ascii="Arial" w:cs="Arial" w:eastAsia="Arial" w:hAnsi="Arial"/>
                <w:sz w:val="11"/>
                <w:szCs w:val="11"/>
                <w:color w:val="050505"/>
              </w:rPr>
              <w:t>$</w:t>
            </w:r>
          </w:p>
        </w:tc>
        <w:tc>
          <w:tcPr>
            <w:tcW w:w="400" w:type="dxa"/>
            <w:vAlign w:val="bottom"/>
            <w:shd w:val="clear" w:color="auto" w:fill="CCEEFF"/>
          </w:tcPr>
          <w:p>
            <w:pPr>
              <w:jc w:val="right"/>
              <w:spacing w:after="0" w:line="124" w:lineRule="exact"/>
              <w:rPr>
                <w:sz w:val="20"/>
                <w:szCs w:val="20"/>
                <w:color w:val="auto"/>
              </w:rPr>
            </w:pPr>
            <w:r>
              <w:rPr>
                <w:rFonts w:ascii="Arial" w:cs="Arial" w:eastAsia="Arial" w:hAnsi="Arial"/>
                <w:sz w:val="11"/>
                <w:szCs w:val="11"/>
                <w:color w:val="050505"/>
              </w:rPr>
              <w:t>245.4</w:t>
            </w:r>
          </w:p>
        </w:tc>
        <w:tc>
          <w:tcPr>
            <w:tcW w:w="340" w:type="dxa"/>
            <w:vAlign w:val="bottom"/>
            <w:shd w:val="clear" w:color="auto" w:fill="CCEEFF"/>
          </w:tcPr>
          <w:p>
            <w:pPr>
              <w:spacing w:after="0"/>
              <w:rPr>
                <w:sz w:val="11"/>
                <w:szCs w:val="11"/>
                <w:color w:val="auto"/>
              </w:rPr>
            </w:pPr>
          </w:p>
        </w:tc>
        <w:tc>
          <w:tcPr>
            <w:tcW w:w="180" w:type="dxa"/>
            <w:vAlign w:val="bottom"/>
            <w:gridSpan w:val="2"/>
            <w:shd w:val="clear" w:color="auto" w:fill="CCEEFF"/>
          </w:tcPr>
          <w:p>
            <w:pPr>
              <w:jc w:val="right"/>
              <w:ind w:right="40"/>
              <w:spacing w:after="0" w:line="124" w:lineRule="exact"/>
              <w:rPr>
                <w:sz w:val="20"/>
                <w:szCs w:val="20"/>
                <w:color w:val="auto"/>
              </w:rPr>
            </w:pPr>
            <w:r>
              <w:rPr>
                <w:rFonts w:ascii="Arial" w:cs="Arial" w:eastAsia="Arial" w:hAnsi="Arial"/>
                <w:sz w:val="11"/>
                <w:szCs w:val="11"/>
                <w:color w:val="050505"/>
              </w:rPr>
              <w:t>$</w:t>
            </w:r>
          </w:p>
        </w:tc>
        <w:tc>
          <w:tcPr>
            <w:tcW w:w="400" w:type="dxa"/>
            <w:vAlign w:val="bottom"/>
            <w:shd w:val="clear" w:color="auto" w:fill="CCEEFF"/>
          </w:tcPr>
          <w:p>
            <w:pPr>
              <w:jc w:val="right"/>
              <w:spacing w:after="0" w:line="124" w:lineRule="exact"/>
              <w:rPr>
                <w:sz w:val="20"/>
                <w:szCs w:val="20"/>
                <w:color w:val="auto"/>
              </w:rPr>
            </w:pPr>
            <w:r>
              <w:rPr>
                <w:rFonts w:ascii="Arial" w:cs="Arial" w:eastAsia="Arial" w:hAnsi="Arial"/>
                <w:sz w:val="11"/>
                <w:szCs w:val="11"/>
                <w:color w:val="050505"/>
              </w:rPr>
              <w:t>531.4</w:t>
            </w:r>
          </w:p>
        </w:tc>
        <w:tc>
          <w:tcPr>
            <w:tcW w:w="26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spacing w:after="0" w:line="124" w:lineRule="exact"/>
              <w:rPr>
                <w:sz w:val="20"/>
                <w:szCs w:val="20"/>
                <w:color w:val="auto"/>
              </w:rPr>
            </w:pPr>
            <w:r>
              <w:rPr>
                <w:rFonts w:ascii="Arial" w:cs="Arial" w:eastAsia="Arial" w:hAnsi="Arial"/>
                <w:sz w:val="11"/>
                <w:szCs w:val="11"/>
                <w:color w:val="050505"/>
              </w:rPr>
              <w:t>69.6</w:t>
            </w:r>
          </w:p>
        </w:tc>
        <w:tc>
          <w:tcPr>
            <w:tcW w:w="200" w:type="dxa"/>
            <w:vAlign w:val="bottom"/>
            <w:shd w:val="clear" w:color="auto" w:fill="CCEEFF"/>
          </w:tcPr>
          <w:p>
            <w:pPr>
              <w:spacing w:after="0"/>
              <w:rPr>
                <w:sz w:val="11"/>
                <w:szCs w:val="11"/>
                <w:color w:val="auto"/>
              </w:rPr>
            </w:pPr>
          </w:p>
        </w:tc>
        <w:tc>
          <w:tcPr>
            <w:tcW w:w="740" w:type="dxa"/>
            <w:vAlign w:val="bottom"/>
            <w:gridSpan w:val="2"/>
            <w:shd w:val="clear" w:color="auto" w:fill="CCEEFF"/>
          </w:tcPr>
          <w:p>
            <w:pPr>
              <w:ind w:left="460"/>
              <w:spacing w:after="0" w:line="124" w:lineRule="exact"/>
              <w:rPr>
                <w:sz w:val="20"/>
                <w:szCs w:val="20"/>
                <w:color w:val="auto"/>
              </w:rPr>
            </w:pPr>
            <w:r>
              <w:rPr>
                <w:rFonts w:ascii="Arial" w:cs="Arial" w:eastAsia="Arial" w:hAnsi="Arial"/>
                <w:sz w:val="11"/>
                <w:szCs w:val="11"/>
                <w:color w:val="050505"/>
                <w:w w:val="94"/>
              </w:rPr>
              <w:t>116.6</w:t>
            </w:r>
          </w:p>
        </w:tc>
        <w:tc>
          <w:tcPr>
            <w:tcW w:w="200" w:type="dxa"/>
            <w:vAlign w:val="bottom"/>
            <w:shd w:val="clear" w:color="auto" w:fill="CCEEFF"/>
          </w:tcPr>
          <w:p>
            <w:pPr>
              <w:spacing w:after="0"/>
              <w:rPr>
                <w:sz w:val="11"/>
                <w:szCs w:val="11"/>
                <w:color w:val="auto"/>
              </w:rPr>
            </w:pPr>
          </w:p>
        </w:tc>
      </w:tr>
      <w:tr>
        <w:trPr>
          <w:trHeight w:val="135"/>
        </w:trPr>
        <w:tc>
          <w:tcPr>
            <w:tcW w:w="2680" w:type="dxa"/>
            <w:vAlign w:val="bottom"/>
          </w:tcPr>
          <w:p>
            <w:pPr>
              <w:ind w:left="40"/>
              <w:spacing w:after="0"/>
              <w:rPr>
                <w:sz w:val="20"/>
                <w:szCs w:val="20"/>
                <w:color w:val="auto"/>
              </w:rPr>
            </w:pPr>
            <w:r>
              <w:rPr>
                <w:rFonts w:ascii="Arial" w:cs="Arial" w:eastAsia="Arial" w:hAnsi="Arial"/>
                <w:sz w:val="11"/>
                <w:szCs w:val="11"/>
                <w:color w:val="050505"/>
              </w:rPr>
              <w:t>Gross Profit:</w:t>
            </w:r>
          </w:p>
        </w:tc>
        <w:tc>
          <w:tcPr>
            <w:tcW w:w="16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0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400" w:type="dxa"/>
            <w:vAlign w:val="bottom"/>
            <w:tcBorders>
              <w:top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00" w:type="dxa"/>
            <w:vAlign w:val="bottom"/>
            <w:tcBorders>
              <w:top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r>
      <w:tr>
        <w:trPr>
          <w:trHeight w:val="126"/>
        </w:trPr>
        <w:tc>
          <w:tcPr>
            <w:tcW w:w="2680" w:type="dxa"/>
            <w:vAlign w:val="bottom"/>
            <w:shd w:val="clear" w:color="auto" w:fill="CCEEFF"/>
          </w:tcPr>
          <w:p>
            <w:pPr>
              <w:ind w:left="160"/>
              <w:spacing w:after="0"/>
              <w:rPr>
                <w:sz w:val="20"/>
                <w:szCs w:val="20"/>
                <w:color w:val="auto"/>
              </w:rPr>
            </w:pPr>
            <w:r>
              <w:rPr>
                <w:rFonts w:ascii="Arial" w:cs="Arial" w:eastAsia="Arial" w:hAnsi="Arial"/>
                <w:sz w:val="11"/>
                <w:szCs w:val="11"/>
                <w:color w:val="050505"/>
              </w:rPr>
              <w:t>Connected Fitness Products</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050505"/>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1"/>
                <w:szCs w:val="11"/>
                <w:color w:val="050505"/>
              </w:rPr>
              <w:t>70.0</w:t>
            </w:r>
          </w:p>
        </w:tc>
        <w:tc>
          <w:tcPr>
            <w:tcW w:w="120" w:type="dxa"/>
            <w:vAlign w:val="bottom"/>
            <w:shd w:val="clear" w:color="auto" w:fill="CCEEFF"/>
          </w:tcPr>
          <w:p>
            <w:pPr>
              <w:spacing w:after="0"/>
              <w:rPr>
                <w:sz w:val="10"/>
                <w:szCs w:val="10"/>
                <w:color w:val="auto"/>
              </w:rPr>
            </w:pPr>
          </w:p>
        </w:tc>
        <w:tc>
          <w:tcPr>
            <w:tcW w:w="380" w:type="dxa"/>
            <w:vAlign w:val="bottom"/>
            <w:gridSpan w:val="2"/>
            <w:shd w:val="clear" w:color="auto" w:fill="CCEEFF"/>
          </w:tcPr>
          <w:p>
            <w:pPr>
              <w:jc w:val="right"/>
              <w:ind w:right="20"/>
              <w:spacing w:after="0"/>
              <w:rPr>
                <w:sz w:val="20"/>
                <w:szCs w:val="20"/>
                <w:color w:val="auto"/>
              </w:rPr>
            </w:pPr>
            <w:r>
              <w:rPr>
                <w:rFonts w:ascii="Arial" w:cs="Arial" w:eastAsia="Arial" w:hAnsi="Arial"/>
                <w:sz w:val="11"/>
                <w:szCs w:val="11"/>
                <w:color w:val="050505"/>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1"/>
                <w:szCs w:val="11"/>
                <w:color w:val="050505"/>
              </w:rPr>
              <w:t>153.6</w:t>
            </w:r>
          </w:p>
        </w:tc>
        <w:tc>
          <w:tcPr>
            <w:tcW w:w="340" w:type="dxa"/>
            <w:vAlign w:val="bottom"/>
            <w:shd w:val="clear" w:color="auto" w:fill="CCEEFF"/>
          </w:tcPr>
          <w:p>
            <w:pPr>
              <w:spacing w:after="0"/>
              <w:rPr>
                <w:sz w:val="10"/>
                <w:szCs w:val="10"/>
                <w:color w:val="auto"/>
              </w:rPr>
            </w:pPr>
          </w:p>
        </w:tc>
        <w:tc>
          <w:tcPr>
            <w:tcW w:w="18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050505"/>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1"/>
                <w:szCs w:val="11"/>
                <w:color w:val="050505"/>
              </w:rPr>
              <w:t>308.4</w:t>
            </w:r>
          </w:p>
        </w:tc>
        <w:tc>
          <w:tcPr>
            <w:tcW w:w="260" w:type="dxa"/>
            <w:vAlign w:val="bottom"/>
            <w:shd w:val="clear" w:color="auto" w:fill="CCEEFF"/>
          </w:tcPr>
          <w:p>
            <w:pPr>
              <w:spacing w:after="0"/>
              <w:rPr>
                <w:sz w:val="10"/>
                <w:szCs w:val="10"/>
                <w:color w:val="auto"/>
              </w:rPr>
            </w:pPr>
          </w:p>
        </w:tc>
        <w:tc>
          <w:tcPr>
            <w:tcW w:w="1000" w:type="dxa"/>
            <w:vAlign w:val="bottom"/>
            <w:gridSpan w:val="3"/>
            <w:shd w:val="clear" w:color="auto" w:fill="CCEEFF"/>
          </w:tcPr>
          <w:p>
            <w:pPr>
              <w:jc w:val="right"/>
              <w:ind w:right="100"/>
              <w:spacing w:after="0"/>
              <w:rPr>
                <w:sz w:val="20"/>
                <w:szCs w:val="20"/>
                <w:color w:val="auto"/>
              </w:rPr>
            </w:pPr>
            <w:r>
              <w:rPr>
                <w:rFonts w:ascii="Arial" w:cs="Arial" w:eastAsia="Arial" w:hAnsi="Arial"/>
                <w:sz w:val="11"/>
                <w:szCs w:val="11"/>
                <w:color w:val="050505"/>
              </w:rPr>
              <w:t>119.4%</w:t>
            </w:r>
          </w:p>
        </w:tc>
        <w:tc>
          <w:tcPr>
            <w:tcW w:w="940" w:type="dxa"/>
            <w:vAlign w:val="bottom"/>
            <w:gridSpan w:val="3"/>
            <w:shd w:val="clear" w:color="auto" w:fill="CCEEFF"/>
          </w:tcPr>
          <w:p>
            <w:pPr>
              <w:ind w:left="460"/>
              <w:spacing w:after="0"/>
              <w:rPr>
                <w:sz w:val="20"/>
                <w:szCs w:val="20"/>
                <w:color w:val="auto"/>
              </w:rPr>
            </w:pPr>
            <w:r>
              <w:rPr>
                <w:rFonts w:ascii="Arial" w:cs="Arial" w:eastAsia="Arial" w:hAnsi="Arial"/>
                <w:sz w:val="11"/>
                <w:szCs w:val="11"/>
                <w:color w:val="050505"/>
              </w:rPr>
              <w:t>100.8%</w:t>
            </w:r>
          </w:p>
        </w:tc>
      </w:tr>
      <w:tr>
        <w:trPr>
          <w:trHeight w:val="126"/>
        </w:trPr>
        <w:tc>
          <w:tcPr>
            <w:tcW w:w="2680" w:type="dxa"/>
            <w:vAlign w:val="bottom"/>
          </w:tcPr>
          <w:p>
            <w:pPr>
              <w:ind w:left="160"/>
              <w:spacing w:after="0"/>
              <w:rPr>
                <w:sz w:val="20"/>
                <w:szCs w:val="20"/>
                <w:color w:val="auto"/>
              </w:rPr>
            </w:pPr>
            <w:r>
              <w:rPr>
                <w:rFonts w:ascii="Arial" w:cs="Arial" w:eastAsia="Arial" w:hAnsi="Arial"/>
                <w:sz w:val="11"/>
                <w:szCs w:val="11"/>
                <w:color w:val="050505"/>
              </w:rPr>
              <w:t>Subscription</w:t>
            </w: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jc w:val="right"/>
              <w:spacing w:after="0"/>
              <w:rPr>
                <w:sz w:val="20"/>
                <w:szCs w:val="20"/>
                <w:color w:val="auto"/>
              </w:rPr>
            </w:pPr>
            <w:r>
              <w:rPr>
                <w:rFonts w:ascii="Arial" w:cs="Arial" w:eastAsia="Arial" w:hAnsi="Arial"/>
                <w:sz w:val="11"/>
                <w:szCs w:val="11"/>
                <w:color w:val="050505"/>
              </w:rPr>
              <w:t>3.2</w:t>
            </w:r>
          </w:p>
        </w:tc>
        <w:tc>
          <w:tcPr>
            <w:tcW w:w="1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jc w:val="right"/>
              <w:spacing w:after="0"/>
              <w:rPr>
                <w:sz w:val="20"/>
                <w:szCs w:val="20"/>
                <w:color w:val="auto"/>
              </w:rPr>
            </w:pPr>
            <w:r>
              <w:rPr>
                <w:rFonts w:ascii="Arial" w:cs="Arial" w:eastAsia="Arial" w:hAnsi="Arial"/>
                <w:sz w:val="11"/>
                <w:szCs w:val="11"/>
                <w:color w:val="050505"/>
              </w:rPr>
              <w:t>34.7</w:t>
            </w: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jc w:val="right"/>
              <w:spacing w:after="0"/>
              <w:rPr>
                <w:sz w:val="20"/>
                <w:szCs w:val="20"/>
                <w:color w:val="auto"/>
              </w:rPr>
            </w:pPr>
            <w:r>
              <w:rPr>
                <w:rFonts w:ascii="Arial" w:cs="Arial" w:eastAsia="Arial" w:hAnsi="Arial"/>
                <w:sz w:val="11"/>
                <w:szCs w:val="11"/>
                <w:color w:val="050505"/>
              </w:rPr>
              <w:t>77.4</w:t>
            </w:r>
          </w:p>
        </w:tc>
        <w:tc>
          <w:tcPr>
            <w:tcW w:w="2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1"/>
                <w:szCs w:val="11"/>
                <w:color w:val="050505"/>
              </w:rPr>
              <w:t>NM</w:t>
            </w:r>
          </w:p>
        </w:tc>
        <w:tc>
          <w:tcPr>
            <w:tcW w:w="740" w:type="dxa"/>
            <w:vAlign w:val="bottom"/>
            <w:gridSpan w:val="2"/>
          </w:tcPr>
          <w:p>
            <w:pPr>
              <w:ind w:left="460"/>
              <w:spacing w:after="0"/>
              <w:rPr>
                <w:sz w:val="20"/>
                <w:szCs w:val="20"/>
                <w:color w:val="auto"/>
              </w:rPr>
            </w:pPr>
            <w:r>
              <w:rPr>
                <w:rFonts w:ascii="Arial" w:cs="Arial" w:eastAsia="Arial" w:hAnsi="Arial"/>
                <w:sz w:val="11"/>
                <w:szCs w:val="11"/>
                <w:color w:val="050505"/>
                <w:w w:val="94"/>
              </w:rPr>
              <w:t>122.9</w:t>
            </w:r>
          </w:p>
        </w:tc>
        <w:tc>
          <w:tcPr>
            <w:tcW w:w="200" w:type="dxa"/>
            <w:vAlign w:val="bottom"/>
          </w:tcPr>
          <w:p>
            <w:pPr>
              <w:spacing w:after="0"/>
              <w:rPr>
                <w:sz w:val="10"/>
                <w:szCs w:val="10"/>
                <w:color w:val="auto"/>
              </w:rPr>
            </w:pPr>
          </w:p>
        </w:tc>
      </w:tr>
      <w:tr>
        <w:trPr>
          <w:trHeight w:val="126"/>
        </w:trPr>
        <w:tc>
          <w:tcPr>
            <w:tcW w:w="2680" w:type="dxa"/>
            <w:vAlign w:val="bottom"/>
            <w:shd w:val="clear" w:color="auto" w:fill="CCEEFF"/>
          </w:tcPr>
          <w:p>
            <w:pPr>
              <w:ind w:left="160"/>
              <w:spacing w:after="0"/>
              <w:rPr>
                <w:sz w:val="20"/>
                <w:szCs w:val="20"/>
                <w:color w:val="auto"/>
              </w:rPr>
            </w:pPr>
            <w:r>
              <w:rPr>
                <w:rFonts w:ascii="Arial" w:cs="Arial" w:eastAsia="Arial" w:hAnsi="Arial"/>
                <w:sz w:val="11"/>
                <w:szCs w:val="11"/>
                <w:color w:val="050505"/>
              </w:rPr>
              <w:t>Other</w:t>
            </w:r>
          </w:p>
        </w:tc>
        <w:tc>
          <w:tcPr>
            <w:tcW w:w="1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1"/>
                <w:szCs w:val="11"/>
                <w:color w:val="050505"/>
              </w:rPr>
              <w:t>0.8</w:t>
            </w:r>
          </w:p>
        </w:tc>
        <w:tc>
          <w:tcPr>
            <w:tcW w:w="12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1"/>
                <w:szCs w:val="11"/>
                <w:color w:val="050505"/>
              </w:rPr>
              <w:t>1.3</w:t>
            </w:r>
          </w:p>
        </w:tc>
        <w:tc>
          <w:tcPr>
            <w:tcW w:w="3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60" w:type="dxa"/>
            <w:vAlign w:val="bottom"/>
            <w:gridSpan w:val="2"/>
            <w:shd w:val="clear" w:color="auto" w:fill="CCEEFF"/>
          </w:tcPr>
          <w:p>
            <w:pPr>
              <w:jc w:val="right"/>
              <w:ind w:right="240"/>
              <w:spacing w:after="0"/>
              <w:rPr>
                <w:sz w:val="20"/>
                <w:szCs w:val="20"/>
                <w:color w:val="auto"/>
              </w:rPr>
            </w:pPr>
            <w:r>
              <w:rPr>
                <w:rFonts w:ascii="Arial" w:cs="Arial" w:eastAsia="Arial" w:hAnsi="Arial"/>
                <w:sz w:val="11"/>
                <w:szCs w:val="11"/>
                <w:color w:val="050505"/>
              </w:rPr>
              <w:t>(2.3)</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050505"/>
              </w:rPr>
              <w:t>68.6</w:t>
            </w:r>
          </w:p>
        </w:tc>
        <w:tc>
          <w:tcPr>
            <w:tcW w:w="2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1"/>
                <w:szCs w:val="11"/>
                <w:color w:val="050505"/>
              </w:rPr>
              <w:t>NM</w:t>
            </w:r>
          </w:p>
        </w:tc>
      </w:tr>
      <w:tr>
        <w:trPr>
          <w:trHeight w:val="20"/>
        </w:trPr>
        <w:tc>
          <w:tcPr>
            <w:tcW w:w="2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136"/>
        </w:trPr>
        <w:tc>
          <w:tcPr>
            <w:tcW w:w="2680" w:type="dxa"/>
            <w:vAlign w:val="bottom"/>
          </w:tcPr>
          <w:p>
            <w:pPr>
              <w:ind w:left="260"/>
              <w:spacing w:after="0" w:line="124" w:lineRule="exact"/>
              <w:rPr>
                <w:sz w:val="20"/>
                <w:szCs w:val="20"/>
                <w:color w:val="auto"/>
              </w:rPr>
            </w:pPr>
            <w:r>
              <w:rPr>
                <w:rFonts w:ascii="Arial" w:cs="Arial" w:eastAsia="Arial" w:hAnsi="Arial"/>
                <w:sz w:val="11"/>
                <w:szCs w:val="11"/>
                <w:color w:val="050505"/>
              </w:rPr>
              <w:t>Total gross profit</w:t>
            </w:r>
          </w:p>
        </w:tc>
        <w:tc>
          <w:tcPr>
            <w:tcW w:w="160" w:type="dxa"/>
            <w:vAlign w:val="bottom"/>
          </w:tcPr>
          <w:p>
            <w:pPr>
              <w:spacing w:after="0"/>
              <w:rPr>
                <w:sz w:val="11"/>
                <w:szCs w:val="11"/>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050505"/>
                <w:w w:val="71"/>
              </w:rPr>
              <w:t>$</w:t>
            </w:r>
          </w:p>
        </w:tc>
        <w:tc>
          <w:tcPr>
            <w:tcW w:w="400" w:type="dxa"/>
            <w:vAlign w:val="bottom"/>
          </w:tcPr>
          <w:p>
            <w:pPr>
              <w:jc w:val="right"/>
              <w:spacing w:after="0" w:line="124" w:lineRule="exact"/>
              <w:rPr>
                <w:sz w:val="20"/>
                <w:szCs w:val="20"/>
                <w:color w:val="auto"/>
              </w:rPr>
            </w:pPr>
            <w:r>
              <w:rPr>
                <w:rFonts w:ascii="Arial" w:cs="Arial" w:eastAsia="Arial" w:hAnsi="Arial"/>
                <w:sz w:val="11"/>
                <w:szCs w:val="11"/>
                <w:color w:val="050505"/>
              </w:rPr>
              <w:t>73.9</w:t>
            </w:r>
          </w:p>
        </w:tc>
        <w:tc>
          <w:tcPr>
            <w:tcW w:w="120" w:type="dxa"/>
            <w:vAlign w:val="bottom"/>
          </w:tcPr>
          <w:p>
            <w:pPr>
              <w:spacing w:after="0"/>
              <w:rPr>
                <w:sz w:val="11"/>
                <w:szCs w:val="11"/>
                <w:color w:val="auto"/>
              </w:rPr>
            </w:pPr>
          </w:p>
        </w:tc>
        <w:tc>
          <w:tcPr>
            <w:tcW w:w="380" w:type="dxa"/>
            <w:vAlign w:val="bottom"/>
            <w:gridSpan w:val="2"/>
          </w:tcPr>
          <w:p>
            <w:pPr>
              <w:jc w:val="right"/>
              <w:ind w:right="20"/>
              <w:spacing w:after="0" w:line="124" w:lineRule="exact"/>
              <w:rPr>
                <w:sz w:val="20"/>
                <w:szCs w:val="20"/>
                <w:color w:val="auto"/>
              </w:rPr>
            </w:pPr>
            <w:r>
              <w:rPr>
                <w:rFonts w:ascii="Arial" w:cs="Arial" w:eastAsia="Arial" w:hAnsi="Arial"/>
                <w:sz w:val="11"/>
                <w:szCs w:val="11"/>
                <w:color w:val="050505"/>
              </w:rPr>
              <w:t>$</w:t>
            </w:r>
          </w:p>
        </w:tc>
        <w:tc>
          <w:tcPr>
            <w:tcW w:w="400" w:type="dxa"/>
            <w:vAlign w:val="bottom"/>
          </w:tcPr>
          <w:p>
            <w:pPr>
              <w:jc w:val="right"/>
              <w:spacing w:after="0" w:line="124" w:lineRule="exact"/>
              <w:rPr>
                <w:sz w:val="20"/>
                <w:szCs w:val="20"/>
                <w:color w:val="auto"/>
              </w:rPr>
            </w:pPr>
            <w:r>
              <w:rPr>
                <w:rFonts w:ascii="Arial" w:cs="Arial" w:eastAsia="Arial" w:hAnsi="Arial"/>
                <w:sz w:val="11"/>
                <w:szCs w:val="11"/>
                <w:color w:val="050505"/>
              </w:rPr>
              <w:t>189.6</w:t>
            </w:r>
          </w:p>
        </w:tc>
        <w:tc>
          <w:tcPr>
            <w:tcW w:w="340" w:type="dxa"/>
            <w:vAlign w:val="bottom"/>
          </w:tcPr>
          <w:p>
            <w:pPr>
              <w:spacing w:after="0"/>
              <w:rPr>
                <w:sz w:val="11"/>
                <w:szCs w:val="11"/>
                <w:color w:val="auto"/>
              </w:rPr>
            </w:pPr>
          </w:p>
        </w:tc>
        <w:tc>
          <w:tcPr>
            <w:tcW w:w="180" w:type="dxa"/>
            <w:vAlign w:val="bottom"/>
            <w:gridSpan w:val="2"/>
          </w:tcPr>
          <w:p>
            <w:pPr>
              <w:jc w:val="right"/>
              <w:ind w:right="40"/>
              <w:spacing w:after="0" w:line="124" w:lineRule="exact"/>
              <w:rPr>
                <w:sz w:val="20"/>
                <w:szCs w:val="20"/>
                <w:color w:val="auto"/>
              </w:rPr>
            </w:pPr>
            <w:r>
              <w:rPr>
                <w:rFonts w:ascii="Arial" w:cs="Arial" w:eastAsia="Arial" w:hAnsi="Arial"/>
                <w:sz w:val="11"/>
                <w:szCs w:val="11"/>
                <w:color w:val="050505"/>
              </w:rPr>
              <w:t>$</w:t>
            </w:r>
          </w:p>
        </w:tc>
        <w:tc>
          <w:tcPr>
            <w:tcW w:w="400" w:type="dxa"/>
            <w:vAlign w:val="bottom"/>
          </w:tcPr>
          <w:p>
            <w:pPr>
              <w:jc w:val="right"/>
              <w:spacing w:after="0" w:line="124" w:lineRule="exact"/>
              <w:rPr>
                <w:sz w:val="20"/>
                <w:szCs w:val="20"/>
                <w:color w:val="auto"/>
              </w:rPr>
            </w:pPr>
            <w:r>
              <w:rPr>
                <w:rFonts w:ascii="Arial" w:cs="Arial" w:eastAsia="Arial" w:hAnsi="Arial"/>
                <w:sz w:val="11"/>
                <w:szCs w:val="11"/>
                <w:color w:val="050505"/>
              </w:rPr>
              <w:t>383.6</w:t>
            </w:r>
          </w:p>
        </w:tc>
        <w:tc>
          <w:tcPr>
            <w:tcW w:w="260" w:type="dxa"/>
            <w:vAlign w:val="bottom"/>
          </w:tcPr>
          <w:p>
            <w:pPr>
              <w:spacing w:after="0"/>
              <w:rPr>
                <w:sz w:val="11"/>
                <w:szCs w:val="11"/>
                <w:color w:val="auto"/>
              </w:rPr>
            </w:pPr>
          </w:p>
        </w:tc>
        <w:tc>
          <w:tcPr>
            <w:tcW w:w="800" w:type="dxa"/>
            <w:vAlign w:val="bottom"/>
            <w:gridSpan w:val="2"/>
          </w:tcPr>
          <w:p>
            <w:pPr>
              <w:jc w:val="right"/>
              <w:spacing w:after="0" w:line="124" w:lineRule="exact"/>
              <w:rPr>
                <w:sz w:val="20"/>
                <w:szCs w:val="20"/>
                <w:color w:val="auto"/>
              </w:rPr>
            </w:pPr>
            <w:r>
              <w:rPr>
                <w:rFonts w:ascii="Arial" w:cs="Arial" w:eastAsia="Arial" w:hAnsi="Arial"/>
                <w:sz w:val="11"/>
                <w:szCs w:val="11"/>
                <w:color w:val="050505"/>
              </w:rPr>
              <w:t>156.5</w:t>
            </w:r>
          </w:p>
        </w:tc>
        <w:tc>
          <w:tcPr>
            <w:tcW w:w="200" w:type="dxa"/>
            <w:vAlign w:val="bottom"/>
          </w:tcPr>
          <w:p>
            <w:pPr>
              <w:spacing w:after="0"/>
              <w:rPr>
                <w:sz w:val="11"/>
                <w:szCs w:val="11"/>
                <w:color w:val="auto"/>
              </w:rPr>
            </w:pPr>
          </w:p>
        </w:tc>
        <w:tc>
          <w:tcPr>
            <w:tcW w:w="740" w:type="dxa"/>
            <w:vAlign w:val="bottom"/>
            <w:gridSpan w:val="2"/>
          </w:tcPr>
          <w:p>
            <w:pPr>
              <w:ind w:left="460"/>
              <w:spacing w:after="0" w:line="124" w:lineRule="exact"/>
              <w:rPr>
                <w:sz w:val="20"/>
                <w:szCs w:val="20"/>
                <w:color w:val="auto"/>
              </w:rPr>
            </w:pPr>
            <w:r>
              <w:rPr>
                <w:rFonts w:ascii="Arial" w:cs="Arial" w:eastAsia="Arial" w:hAnsi="Arial"/>
                <w:sz w:val="11"/>
                <w:szCs w:val="11"/>
                <w:color w:val="050505"/>
                <w:w w:val="94"/>
              </w:rPr>
              <w:t>102.3</w:t>
            </w:r>
          </w:p>
        </w:tc>
        <w:tc>
          <w:tcPr>
            <w:tcW w:w="200" w:type="dxa"/>
            <w:vAlign w:val="bottom"/>
          </w:tcPr>
          <w:p>
            <w:pPr>
              <w:spacing w:after="0"/>
              <w:rPr>
                <w:sz w:val="11"/>
                <w:szCs w:val="11"/>
                <w:color w:val="auto"/>
              </w:rPr>
            </w:pPr>
          </w:p>
        </w:tc>
      </w:tr>
      <w:tr>
        <w:trPr>
          <w:trHeight w:val="131"/>
        </w:trPr>
        <w:tc>
          <w:tcPr>
            <w:tcW w:w="2680" w:type="dxa"/>
            <w:vAlign w:val="bottom"/>
            <w:shd w:val="clear" w:color="auto" w:fill="CCEEFF"/>
          </w:tcPr>
          <w:p>
            <w:pPr>
              <w:ind w:left="40"/>
              <w:spacing w:after="0"/>
              <w:rPr>
                <w:sz w:val="20"/>
                <w:szCs w:val="20"/>
                <w:color w:val="auto"/>
              </w:rPr>
            </w:pPr>
            <w:r>
              <w:rPr>
                <w:rFonts w:ascii="Arial" w:cs="Arial" w:eastAsia="Arial" w:hAnsi="Arial"/>
                <w:sz w:val="11"/>
                <w:szCs w:val="11"/>
                <w:color w:val="050505"/>
              </w:rPr>
              <w:t>Gross Margin:</w:t>
            </w:r>
          </w:p>
        </w:tc>
        <w:tc>
          <w:tcPr>
            <w:tcW w:w="160" w:type="dxa"/>
            <w:vAlign w:val="bottom"/>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400" w:type="dxa"/>
            <w:vAlign w:val="bottom"/>
            <w:tcBorders>
              <w:top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400" w:type="dxa"/>
            <w:vAlign w:val="bottom"/>
            <w:tcBorders>
              <w:top w:val="single" w:sz="8" w:color="auto"/>
            </w:tcBorders>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400" w:type="dxa"/>
            <w:vAlign w:val="bottom"/>
            <w:tcBorders>
              <w:top w:val="single" w:sz="8" w:color="auto"/>
            </w:tcBorders>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r>
      <w:tr>
        <w:trPr>
          <w:trHeight w:val="126"/>
        </w:trPr>
        <w:tc>
          <w:tcPr>
            <w:tcW w:w="2680" w:type="dxa"/>
            <w:vAlign w:val="bottom"/>
          </w:tcPr>
          <w:p>
            <w:pPr>
              <w:ind w:left="160"/>
              <w:spacing w:after="0"/>
              <w:rPr>
                <w:sz w:val="20"/>
                <w:szCs w:val="20"/>
                <w:color w:val="auto"/>
              </w:rPr>
            </w:pPr>
            <w:r>
              <w:rPr>
                <w:rFonts w:ascii="Arial" w:cs="Arial" w:eastAsia="Arial" w:hAnsi="Arial"/>
                <w:sz w:val="11"/>
                <w:szCs w:val="11"/>
                <w:color w:val="050505"/>
              </w:rPr>
              <w:t>Connected Fitness Products</w:t>
            </w: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1"/>
                <w:szCs w:val="11"/>
                <w:color w:val="050505"/>
              </w:rPr>
              <w:t>38.1%</w:t>
            </w: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1"/>
                <w:szCs w:val="11"/>
                <w:color w:val="050505"/>
              </w:rPr>
              <w:t>44.1%</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1"/>
                <w:szCs w:val="11"/>
                <w:color w:val="050505"/>
              </w:rPr>
              <w:t>42.9%</w:t>
            </w: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0" w:type="dxa"/>
            <w:vAlign w:val="bottom"/>
          </w:tcPr>
          <w:p>
            <w:pPr>
              <w:spacing w:after="0"/>
              <w:rPr>
                <w:sz w:val="10"/>
                <w:szCs w:val="10"/>
                <w:color w:val="auto"/>
              </w:rPr>
            </w:pPr>
          </w:p>
        </w:tc>
      </w:tr>
      <w:tr>
        <w:trPr>
          <w:trHeight w:val="126"/>
        </w:trPr>
        <w:tc>
          <w:tcPr>
            <w:tcW w:w="2680" w:type="dxa"/>
            <w:vAlign w:val="bottom"/>
            <w:shd w:val="clear" w:color="auto" w:fill="CCEEFF"/>
          </w:tcPr>
          <w:p>
            <w:pPr>
              <w:ind w:left="160"/>
              <w:spacing w:after="0"/>
              <w:rPr>
                <w:sz w:val="20"/>
                <w:szCs w:val="20"/>
                <w:color w:val="auto"/>
              </w:rPr>
            </w:pPr>
            <w:r>
              <w:rPr>
                <w:rFonts w:ascii="Arial" w:cs="Arial" w:eastAsia="Arial" w:hAnsi="Arial"/>
                <w:sz w:val="11"/>
                <w:szCs w:val="11"/>
                <w:color w:val="050505"/>
              </w:rPr>
              <w:t>Subscription</w:t>
            </w:r>
          </w:p>
        </w:tc>
        <w:tc>
          <w:tcPr>
            <w:tcW w:w="1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1"/>
                <w:szCs w:val="11"/>
                <w:color w:val="050505"/>
              </w:rPr>
              <w:t>9.7</w:t>
            </w:r>
          </w:p>
        </w:tc>
        <w:tc>
          <w:tcPr>
            <w:tcW w:w="12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1"/>
                <w:szCs w:val="11"/>
                <w:color w:val="050505"/>
              </w:rPr>
              <w:t>43.3</w:t>
            </w:r>
          </w:p>
        </w:tc>
        <w:tc>
          <w:tcPr>
            <w:tcW w:w="3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1"/>
                <w:szCs w:val="11"/>
                <w:color w:val="050505"/>
              </w:rPr>
              <w:t>42.7</w:t>
            </w:r>
          </w:p>
        </w:tc>
        <w:tc>
          <w:tcPr>
            <w:tcW w:w="2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r>
      <w:tr>
        <w:trPr>
          <w:trHeight w:val="131"/>
        </w:trPr>
        <w:tc>
          <w:tcPr>
            <w:tcW w:w="2680" w:type="dxa"/>
            <w:vAlign w:val="bottom"/>
          </w:tcPr>
          <w:p>
            <w:pPr>
              <w:ind w:left="160"/>
              <w:spacing w:after="0"/>
              <w:rPr>
                <w:sz w:val="20"/>
                <w:szCs w:val="20"/>
                <w:color w:val="auto"/>
              </w:rPr>
            </w:pPr>
            <w:r>
              <w:rPr>
                <w:rFonts w:ascii="Arial" w:cs="Arial" w:eastAsia="Arial" w:hAnsi="Arial"/>
                <w:sz w:val="11"/>
                <w:szCs w:val="11"/>
                <w:color w:val="050505"/>
              </w:rPr>
              <w:t>Other</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jc w:val="right"/>
              <w:spacing w:after="0"/>
              <w:rPr>
                <w:sz w:val="20"/>
                <w:szCs w:val="20"/>
                <w:color w:val="auto"/>
              </w:rPr>
            </w:pPr>
            <w:r>
              <w:rPr>
                <w:rFonts w:ascii="Arial" w:cs="Arial" w:eastAsia="Arial" w:hAnsi="Arial"/>
                <w:sz w:val="11"/>
                <w:szCs w:val="11"/>
                <w:color w:val="050505"/>
              </w:rPr>
              <w:t>29.3</w:t>
            </w: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jc w:val="right"/>
              <w:spacing w:after="0"/>
              <w:rPr>
                <w:sz w:val="20"/>
                <w:szCs w:val="20"/>
                <w:color w:val="auto"/>
              </w:rPr>
            </w:pPr>
            <w:r>
              <w:rPr>
                <w:rFonts w:ascii="Arial" w:cs="Arial" w:eastAsia="Arial" w:hAnsi="Arial"/>
                <w:sz w:val="11"/>
                <w:szCs w:val="11"/>
                <w:color w:val="050505"/>
              </w:rPr>
              <w:t>21.0</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gridSpan w:val="2"/>
          </w:tcPr>
          <w:p>
            <w:pPr>
              <w:jc w:val="right"/>
              <w:ind w:right="240"/>
              <w:spacing w:after="0"/>
              <w:rPr>
                <w:sz w:val="20"/>
                <w:szCs w:val="20"/>
                <w:color w:val="auto"/>
              </w:rPr>
            </w:pPr>
            <w:r>
              <w:rPr>
                <w:rFonts w:ascii="Arial" w:cs="Arial" w:eastAsia="Arial" w:hAnsi="Arial"/>
                <w:sz w:val="11"/>
                <w:szCs w:val="11"/>
                <w:color w:val="050505"/>
              </w:rPr>
              <w:t>(15.5)</w:t>
            </w: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1310640</wp:posOffset>
            </wp:positionH>
            <wp:positionV relativeFrom="paragraph">
              <wp:posOffset>53975</wp:posOffset>
            </wp:positionV>
            <wp:extent cx="1212215" cy="571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212215" cy="5715"/>
                    </a:xfrm>
                    <a:prstGeom prst="rect">
                      <a:avLst/>
                    </a:prstGeom>
                    <a:noFill/>
                  </pic:spPr>
                </pic:pic>
              </a:graphicData>
            </a:graphic>
          </wp:anchor>
        </w:drawing>
      </w:r>
    </w:p>
    <w:p>
      <w:pPr>
        <w:spacing w:after="0" w:line="97" w:lineRule="exact"/>
        <w:rPr>
          <w:sz w:val="20"/>
          <w:szCs w:val="20"/>
          <w:color w:val="auto"/>
        </w:rPr>
      </w:pPr>
    </w:p>
    <w:p>
      <w:pPr>
        <w:ind w:left="2060"/>
        <w:spacing w:after="0"/>
        <w:rPr>
          <w:sz w:val="20"/>
          <w:szCs w:val="20"/>
          <w:color w:val="auto"/>
        </w:rPr>
      </w:pPr>
      <w:r>
        <w:rPr>
          <w:rFonts w:ascii="Arial" w:cs="Arial" w:eastAsia="Arial" w:hAnsi="Arial"/>
          <w:sz w:val="8"/>
          <w:szCs w:val="8"/>
          <w:color w:val="050505"/>
        </w:rPr>
        <w:t>* NM—Not meaningful</w:t>
      </w:r>
    </w:p>
    <w:p>
      <w:pPr>
        <w:spacing w:after="0" w:line="137" w:lineRule="exact"/>
        <w:rPr>
          <w:sz w:val="20"/>
          <w:szCs w:val="20"/>
          <w:color w:val="auto"/>
        </w:rPr>
      </w:pPr>
    </w:p>
    <w:p>
      <w:pPr>
        <w:ind w:left="2060"/>
        <w:spacing w:after="0"/>
        <w:rPr>
          <w:sz w:val="20"/>
          <w:szCs w:val="20"/>
          <w:color w:val="auto"/>
        </w:rPr>
      </w:pPr>
      <w:r>
        <w:rPr>
          <w:rFonts w:ascii="Arial" w:cs="Arial" w:eastAsia="Arial" w:hAnsi="Arial"/>
          <w:sz w:val="11"/>
          <w:szCs w:val="11"/>
          <w:i w:val="1"/>
          <w:iCs w:val="1"/>
          <w:color w:val="auto"/>
        </w:rPr>
        <w:t>2018 Compared to 2019</w:t>
      </w:r>
    </w:p>
    <w:p>
      <w:pPr>
        <w:spacing w:after="0" w:line="154" w:lineRule="exact"/>
        <w:rPr>
          <w:sz w:val="20"/>
          <w:szCs w:val="20"/>
          <w:color w:val="auto"/>
        </w:rPr>
      </w:pPr>
    </w:p>
    <w:p>
      <w:pPr>
        <w:jc w:val="both"/>
        <w:ind w:left="2060" w:right="839"/>
        <w:spacing w:after="0" w:line="245" w:lineRule="auto"/>
        <w:rPr>
          <w:sz w:val="20"/>
          <w:szCs w:val="20"/>
          <w:color w:val="auto"/>
        </w:rPr>
      </w:pPr>
      <w:r>
        <w:rPr>
          <w:rFonts w:ascii="Arial" w:cs="Arial" w:eastAsia="Arial" w:hAnsi="Arial"/>
          <w:sz w:val="11"/>
          <w:szCs w:val="11"/>
          <w:color w:val="050505"/>
        </w:rPr>
        <w:t>Connected Fitness Products cost of revenue for fiscal 2019 increased $215.8 million, or 110.7%, compared to fiscal 2018. This increase was primarily driven by costs associated with the growth in the number of Connected Fitness Products delivered during the period.</w:t>
      </w:r>
    </w:p>
    <w:p>
      <w:pPr>
        <w:spacing w:after="0" w:line="138" w:lineRule="exact"/>
        <w:rPr>
          <w:sz w:val="20"/>
          <w:szCs w:val="20"/>
          <w:color w:val="auto"/>
        </w:rPr>
      </w:pPr>
    </w:p>
    <w:p>
      <w:pPr>
        <w:jc w:val="both"/>
        <w:ind w:left="2060" w:right="839"/>
        <w:spacing w:after="0" w:line="245" w:lineRule="auto"/>
        <w:rPr>
          <w:sz w:val="20"/>
          <w:szCs w:val="20"/>
          <w:color w:val="auto"/>
        </w:rPr>
      </w:pPr>
      <w:r>
        <w:rPr>
          <w:rFonts w:ascii="Arial" w:cs="Arial" w:eastAsia="Arial" w:hAnsi="Arial"/>
          <w:sz w:val="11"/>
          <w:szCs w:val="11"/>
          <w:color w:val="050505"/>
        </w:rPr>
        <w:t>Our Connected Fitness Products gross margin decreased slightly due to the increasing mix of deliveries of Tread, partially offset by cost efficiencies achieved in the manufacturing of our Bike.</w:t>
      </w:r>
    </w:p>
    <w:p>
      <w:pPr>
        <w:spacing w:after="0" w:line="138" w:lineRule="exact"/>
        <w:rPr>
          <w:sz w:val="20"/>
          <w:szCs w:val="20"/>
          <w:color w:val="auto"/>
        </w:rPr>
      </w:pPr>
    </w:p>
    <w:p>
      <w:pPr>
        <w:jc w:val="both"/>
        <w:ind w:left="2060" w:right="839"/>
        <w:spacing w:after="0" w:line="270" w:lineRule="auto"/>
        <w:rPr>
          <w:sz w:val="20"/>
          <w:szCs w:val="20"/>
          <w:color w:val="auto"/>
        </w:rPr>
      </w:pPr>
      <w:r>
        <w:rPr>
          <w:rFonts w:ascii="Arial" w:cs="Arial" w:eastAsia="Arial" w:hAnsi="Arial"/>
          <w:sz w:val="10"/>
          <w:szCs w:val="10"/>
          <w:color w:val="050505"/>
        </w:rPr>
        <w:t>Subscription cost of revenue for fiscal 2019 increased $58.2 million, or 127.7%, compared to fiscal 2018. This increase was primarily driven by an increase of $23.1 million in music royalty and streaming delivery fees driven by increased usage of our platform, an increase of $14.0 million in personnel-related expenses due to our introduction of the Tread and other new fitness and wellness verticals such as yoga and meditation, and expansion into the United Kingdom, an increase of $8.5 million in depreciation and amortization expense driven by our acquired developed technology, and an increase of $4.6 million in occupancy costs associated with lease commencement for our two new production studios in New York City and London.</w:t>
      </w:r>
    </w:p>
    <w:p>
      <w:pPr>
        <w:spacing w:after="0" w:line="128" w:lineRule="exact"/>
        <w:rPr>
          <w:sz w:val="20"/>
          <w:szCs w:val="20"/>
          <w:color w:val="auto"/>
        </w:rPr>
      </w:pPr>
    </w:p>
    <w:p>
      <w:pPr>
        <w:jc w:val="both"/>
        <w:ind w:left="2060" w:right="839"/>
        <w:spacing w:after="0" w:line="241" w:lineRule="auto"/>
        <w:rPr>
          <w:sz w:val="20"/>
          <w:szCs w:val="20"/>
          <w:color w:val="auto"/>
        </w:rPr>
      </w:pPr>
      <w:r>
        <w:rPr>
          <w:rFonts w:ascii="Arial" w:cs="Arial" w:eastAsia="Arial" w:hAnsi="Arial"/>
          <w:sz w:val="11"/>
          <w:szCs w:val="11"/>
          <w:color w:val="050505"/>
        </w:rPr>
        <w:t>Subscription gross margin decreased by 53 basis points from fiscal 2018 to fiscal 2019 as we invested in new initiatives discussed above, partially offset by leveraging the fixed costs of content production as we scaled our Connected Fitness Subscriber base. Included in subscription cost of revenue are content costs for past use of $14.5 million and $16.4 million for fiscal 2018 and 2019, respectively. These costs had a negative basis point impact on subscription gross margin of 1,805 and 908 for fiscal 2018 and 2019, respectively.</w:t>
      </w:r>
    </w:p>
    <w:p>
      <w:pPr>
        <w:spacing w:after="0" w:line="140" w:lineRule="exact"/>
        <w:rPr>
          <w:sz w:val="20"/>
          <w:szCs w:val="20"/>
          <w:color w:val="auto"/>
        </w:rPr>
      </w:pPr>
    </w:p>
    <w:p>
      <w:pPr>
        <w:jc w:val="both"/>
        <w:ind w:left="2060" w:right="839"/>
        <w:spacing w:after="0" w:line="245" w:lineRule="auto"/>
        <w:rPr>
          <w:sz w:val="20"/>
          <w:szCs w:val="20"/>
          <w:color w:val="auto"/>
        </w:rPr>
      </w:pPr>
      <w:r>
        <w:rPr>
          <w:rFonts w:ascii="Arial" w:cs="Arial" w:eastAsia="Arial" w:hAnsi="Arial"/>
          <w:sz w:val="11"/>
          <w:szCs w:val="11"/>
          <w:color w:val="050505"/>
        </w:rPr>
        <w:t>Other cost of revenue for fiscal 2019 increased $12.1 million, or 247.7%, compared to fiscal 2018. This increase was primarily attributable to the growth of our branded apparel sales during the period as well as an increase in our apparel inventory reserves.</w:t>
      </w:r>
    </w:p>
    <w:p>
      <w:pPr>
        <w:spacing w:after="0" w:line="93" w:lineRule="exact"/>
        <w:rPr>
          <w:sz w:val="20"/>
          <w:szCs w:val="20"/>
          <w:color w:val="auto"/>
        </w:rPr>
      </w:pPr>
    </w:p>
    <w:p>
      <w:pPr>
        <w:ind w:left="5680"/>
        <w:spacing w:after="0"/>
        <w:rPr>
          <w:sz w:val="20"/>
          <w:szCs w:val="20"/>
          <w:color w:val="auto"/>
        </w:rPr>
      </w:pPr>
      <w:r>
        <w:rPr>
          <w:rFonts w:ascii="Arial" w:cs="Arial" w:eastAsia="Arial" w:hAnsi="Arial"/>
          <w:sz w:val="11"/>
          <w:szCs w:val="11"/>
          <w:color w:val="050505"/>
        </w:rPr>
        <w:t>74</w:t>
      </w:r>
    </w:p>
    <w:p>
      <w:pPr>
        <w:sectPr>
          <w:pgSz w:w="11900" w:h="16838" w:orient="portrait"/>
          <w:cols w:equalWidth="0" w:num="1">
            <w:col w:w="10239"/>
          </w:cols>
          <w:pgMar w:left="220" w:top="354" w:right="1440" w:bottom="1440" w:gutter="0" w:footer="0" w:header="0"/>
        </w:sectPr>
      </w:pPr>
    </w:p>
    <w:bookmarkStart w:id="79" w:name="page80"/>
    <w:bookmarkEnd w:id="79"/>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hyperlink w:anchor="page5">
        <w:r>
          <w:rPr>
            <w:rFonts w:ascii="Arial" w:cs="Arial" w:eastAsia="Arial" w:hAnsi="Arial"/>
            <w:sz w:val="12"/>
            <w:szCs w:val="12"/>
            <w:b w:val="1"/>
            <w:bCs w:val="1"/>
            <w:u w:val="single" w:color="auto"/>
            <w:color w:val="0000EE"/>
          </w:rPr>
          <w:t>Table of Contents</w:t>
        </w:r>
      </w:hyperlink>
    </w:p>
    <w:p>
      <w:pPr>
        <w:spacing w:after="0" w:line="216" w:lineRule="exact"/>
        <w:rPr>
          <w:sz w:val="20"/>
          <w:szCs w:val="20"/>
          <w:color w:val="auto"/>
        </w:rPr>
      </w:pPr>
    </w:p>
    <w:p>
      <w:pPr>
        <w:ind w:left="2060"/>
        <w:spacing w:after="0"/>
        <w:rPr>
          <w:sz w:val="20"/>
          <w:szCs w:val="20"/>
          <w:color w:val="auto"/>
        </w:rPr>
      </w:pPr>
      <w:r>
        <w:rPr>
          <w:rFonts w:ascii="Arial" w:cs="Arial" w:eastAsia="Arial" w:hAnsi="Arial"/>
          <w:sz w:val="11"/>
          <w:szCs w:val="11"/>
          <w:color w:val="050505"/>
        </w:rPr>
        <w:t>Other gross margin decreased during fiscal 2019 compared to fiscal 2018 due to an increase in our apparel inventory reserves.</w:t>
      </w:r>
    </w:p>
    <w:p>
      <w:pPr>
        <w:spacing w:after="0" w:line="134" w:lineRule="exact"/>
        <w:rPr>
          <w:sz w:val="20"/>
          <w:szCs w:val="20"/>
          <w:color w:val="auto"/>
        </w:rPr>
      </w:pPr>
    </w:p>
    <w:p>
      <w:pPr>
        <w:ind w:left="2060"/>
        <w:spacing w:after="0"/>
        <w:rPr>
          <w:sz w:val="20"/>
          <w:szCs w:val="20"/>
          <w:color w:val="auto"/>
        </w:rPr>
      </w:pPr>
      <w:r>
        <w:rPr>
          <w:rFonts w:ascii="Arial" w:cs="Arial" w:eastAsia="Arial" w:hAnsi="Arial"/>
          <w:sz w:val="11"/>
          <w:szCs w:val="11"/>
          <w:i w:val="1"/>
          <w:iCs w:val="1"/>
          <w:color w:val="auto"/>
        </w:rPr>
        <w:t>2017 Compared to 2018</w:t>
      </w:r>
    </w:p>
    <w:p>
      <w:pPr>
        <w:spacing w:after="0" w:line="154" w:lineRule="exact"/>
        <w:rPr>
          <w:sz w:val="20"/>
          <w:szCs w:val="20"/>
          <w:color w:val="auto"/>
        </w:rPr>
      </w:pPr>
    </w:p>
    <w:p>
      <w:pPr>
        <w:jc w:val="both"/>
        <w:ind w:left="2060" w:right="839"/>
        <w:spacing w:after="0" w:line="242" w:lineRule="auto"/>
        <w:rPr>
          <w:sz w:val="20"/>
          <w:szCs w:val="20"/>
          <w:color w:val="auto"/>
        </w:rPr>
      </w:pPr>
      <w:r>
        <w:rPr>
          <w:rFonts w:ascii="Arial" w:cs="Arial" w:eastAsia="Arial" w:hAnsi="Arial"/>
          <w:sz w:val="11"/>
          <w:szCs w:val="11"/>
          <w:color w:val="050505"/>
        </w:rPr>
        <w:t>Connected Fitness Products cost of revenue for fiscal 2018 increased $81.5 million, or 71.7%, compared to fiscal 2017. This increase was primarily driven by the growth in the number of Connected Fitness Products delivered during the period. We gained significant efficiencies in manufacturing costs resulting in a 592 basis point improvement in Connected Fitness Product gross margin from fiscal 2017 to fiscal 2018.</w:t>
      </w:r>
    </w:p>
    <w:p>
      <w:pPr>
        <w:spacing w:after="0" w:line="140" w:lineRule="exact"/>
        <w:rPr>
          <w:sz w:val="20"/>
          <w:szCs w:val="20"/>
          <w:color w:val="auto"/>
        </w:rPr>
      </w:pPr>
    </w:p>
    <w:p>
      <w:pPr>
        <w:jc w:val="both"/>
        <w:ind w:left="2060" w:right="839"/>
        <w:spacing w:after="0" w:line="241" w:lineRule="auto"/>
        <w:rPr>
          <w:sz w:val="20"/>
          <w:szCs w:val="20"/>
          <w:color w:val="auto"/>
        </w:rPr>
      </w:pPr>
      <w:r>
        <w:rPr>
          <w:rFonts w:ascii="Arial" w:cs="Arial" w:eastAsia="Arial" w:hAnsi="Arial"/>
          <w:sz w:val="11"/>
          <w:szCs w:val="11"/>
          <w:color w:val="050505"/>
        </w:rPr>
        <w:t>Subscription cost of revenue for fiscal 2018 increased $16.2 million, or 55.4%, compared to fiscal 2017. This increase was primarily driven by a $10.9 million increase in music royalty and streaming delivery fees, a $2.7 million increase in personnel-related expenses as we continued to grow our content offering for the Tread, and a $1.6 million increase in depreciation and amortization expense. We also incurred an additional $1.3 million in production studio occupancy costs primarily attributable to the opening of a second production studio in June 2017 to support Tread content creation.</w:t>
      </w:r>
    </w:p>
    <w:p>
      <w:pPr>
        <w:spacing w:after="0" w:line="140" w:lineRule="exact"/>
        <w:rPr>
          <w:sz w:val="20"/>
          <w:szCs w:val="20"/>
          <w:color w:val="auto"/>
        </w:rPr>
      </w:pPr>
    </w:p>
    <w:p>
      <w:pPr>
        <w:jc w:val="both"/>
        <w:ind w:left="2060" w:right="839"/>
        <w:spacing w:after="0"/>
        <w:rPr>
          <w:sz w:val="20"/>
          <w:szCs w:val="20"/>
          <w:color w:val="auto"/>
        </w:rPr>
      </w:pPr>
      <w:r>
        <w:rPr>
          <w:rFonts w:ascii="Arial" w:cs="Arial" w:eastAsia="Arial" w:hAnsi="Arial"/>
          <w:sz w:val="11"/>
          <w:szCs w:val="11"/>
          <w:color w:val="050505"/>
        </w:rPr>
        <w:t>Subscription gross margin significantly improved by 3,356 basis points from fiscal 2017 to fiscal 2018. This was primarily driven by the impact of content costs for past use of $15.5 million and $14.5 million for fiscal 2017 and 2018, respectively, which more adversely impacted gross margin for fiscal 2017 given the lower Connected Fitness Subscriber base. These content costs for past use had a negative basis point impact on subscription gross margin of 4,788 and 1,805 for fiscal 2017 and 2018, respectively. We drove further margin improvements by leveraging fixed costs of content production while scaling our Connected Fitness Subscriber base in fiscal 2018.</w:t>
      </w:r>
    </w:p>
    <w:p>
      <w:pPr>
        <w:spacing w:after="0" w:line="142" w:lineRule="exact"/>
        <w:rPr>
          <w:sz w:val="20"/>
          <w:szCs w:val="20"/>
          <w:color w:val="auto"/>
        </w:rPr>
      </w:pPr>
    </w:p>
    <w:p>
      <w:pPr>
        <w:jc w:val="both"/>
        <w:ind w:left="2060" w:right="839"/>
        <w:spacing w:after="0" w:line="245" w:lineRule="auto"/>
        <w:rPr>
          <w:sz w:val="20"/>
          <w:szCs w:val="20"/>
          <w:color w:val="auto"/>
        </w:rPr>
      </w:pPr>
      <w:r>
        <w:rPr>
          <w:rFonts w:ascii="Arial" w:cs="Arial" w:eastAsia="Arial" w:hAnsi="Arial"/>
          <w:sz w:val="11"/>
          <w:szCs w:val="11"/>
          <w:color w:val="050505"/>
        </w:rPr>
        <w:t>Other cost of revenue for fiscal 2018 increased $3.0 million, or 163.3%, compared to fiscal 2017. This increase was primarily attributable to the growth of our branded apparel sales.</w:t>
      </w:r>
    </w:p>
    <w:p>
      <w:pPr>
        <w:spacing w:after="0" w:line="126" w:lineRule="exact"/>
        <w:rPr>
          <w:sz w:val="20"/>
          <w:szCs w:val="20"/>
          <w:color w:val="auto"/>
        </w:rPr>
      </w:pPr>
    </w:p>
    <w:tbl>
      <w:tblPr>
        <w:tblLayout w:type="fixed"/>
        <w:tblInd w:w="2060" w:type="dxa"/>
        <w:tblCellMar>
          <w:top w:w="0" w:type="dxa"/>
          <w:left w:w="0" w:type="dxa"/>
          <w:bottom w:w="0" w:type="dxa"/>
          <w:right w:w="0" w:type="dxa"/>
        </w:tblCellMar>
      </w:tblPr>
      <w:tr>
        <w:trPr>
          <w:trHeight w:val="142"/>
        </w:trPr>
        <w:tc>
          <w:tcPr>
            <w:tcW w:w="2400" w:type="dxa"/>
            <w:vAlign w:val="bottom"/>
          </w:tcPr>
          <w:p>
            <w:pPr>
              <w:spacing w:after="0"/>
              <w:rPr>
                <w:sz w:val="20"/>
                <w:szCs w:val="20"/>
                <w:color w:val="auto"/>
              </w:rPr>
            </w:pPr>
            <w:r>
              <w:rPr>
                <w:rFonts w:ascii="Arial" w:cs="Arial" w:eastAsia="Arial" w:hAnsi="Arial"/>
                <w:sz w:val="11"/>
                <w:szCs w:val="11"/>
                <w:b w:val="1"/>
                <w:bCs w:val="1"/>
                <w:i w:val="1"/>
                <w:iCs w:val="1"/>
                <w:color w:val="auto"/>
              </w:rPr>
              <w:t>Operating Expenses</w:t>
            </w: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270"/>
        </w:trPr>
        <w:tc>
          <w:tcPr>
            <w:tcW w:w="2400" w:type="dxa"/>
            <w:vAlign w:val="bottom"/>
          </w:tcPr>
          <w:p>
            <w:pPr>
              <w:spacing w:after="0"/>
              <w:rPr>
                <w:sz w:val="20"/>
                <w:szCs w:val="20"/>
                <w:color w:val="auto"/>
              </w:rPr>
            </w:pPr>
            <w:r>
              <w:rPr>
                <w:rFonts w:ascii="Arial" w:cs="Arial" w:eastAsia="Arial" w:hAnsi="Arial"/>
                <w:sz w:val="11"/>
                <w:szCs w:val="11"/>
                <w:i w:val="1"/>
                <w:iCs w:val="1"/>
                <w:color w:val="auto"/>
              </w:rPr>
              <w:t>Research and Development</w:t>
            </w:r>
          </w:p>
        </w:tc>
        <w:tc>
          <w:tcPr>
            <w:tcW w:w="7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40" w:type="dxa"/>
            <w:vAlign w:val="bottom"/>
          </w:tcPr>
          <w:p>
            <w:pPr>
              <w:spacing w:after="0"/>
              <w:rPr>
                <w:sz w:val="23"/>
                <w:szCs w:val="23"/>
                <w:color w:val="auto"/>
              </w:rPr>
            </w:pPr>
          </w:p>
        </w:tc>
      </w:tr>
      <w:tr>
        <w:trPr>
          <w:trHeight w:val="283"/>
        </w:trPr>
        <w:tc>
          <w:tcPr>
            <w:tcW w:w="24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gridSpan w:val="4"/>
          </w:tcPr>
          <w:p>
            <w:pPr>
              <w:jc w:val="center"/>
              <w:ind w:left="246"/>
              <w:spacing w:after="0"/>
              <w:rPr>
                <w:sz w:val="20"/>
                <w:szCs w:val="20"/>
                <w:color w:val="auto"/>
              </w:rPr>
            </w:pPr>
            <w:r>
              <w:rPr>
                <w:rFonts w:ascii="Arial" w:cs="Arial" w:eastAsia="Arial" w:hAnsi="Arial"/>
                <w:sz w:val="11"/>
                <w:szCs w:val="11"/>
                <w:b w:val="1"/>
                <w:bCs w:val="1"/>
                <w:color w:val="050505"/>
                <w:w w:val="97"/>
              </w:rPr>
              <w:t>Fiscal Year Ended June 30,</w:t>
            </w:r>
          </w:p>
        </w:tc>
        <w:tc>
          <w:tcPr>
            <w:tcW w:w="40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gridSpan w:val="2"/>
          </w:tcPr>
          <w:p>
            <w:pPr>
              <w:jc w:val="right"/>
              <w:spacing w:after="0"/>
              <w:rPr>
                <w:sz w:val="20"/>
                <w:szCs w:val="20"/>
                <w:color w:val="auto"/>
              </w:rPr>
            </w:pPr>
            <w:r>
              <w:rPr>
                <w:rFonts w:ascii="Arial" w:cs="Arial" w:eastAsia="Arial" w:hAnsi="Arial"/>
                <w:sz w:val="11"/>
                <w:szCs w:val="11"/>
                <w:b w:val="1"/>
                <w:bCs w:val="1"/>
                <w:color w:val="050505"/>
              </w:rPr>
              <w:t>2017 to 2018</w:t>
            </w:r>
          </w:p>
        </w:tc>
        <w:tc>
          <w:tcPr>
            <w:tcW w:w="980" w:type="dxa"/>
            <w:vAlign w:val="bottom"/>
            <w:gridSpan w:val="3"/>
          </w:tcPr>
          <w:p>
            <w:pPr>
              <w:jc w:val="right"/>
              <w:ind w:right="40"/>
              <w:spacing w:after="0"/>
              <w:rPr>
                <w:sz w:val="20"/>
                <w:szCs w:val="20"/>
                <w:color w:val="auto"/>
              </w:rPr>
            </w:pPr>
            <w:r>
              <w:rPr>
                <w:rFonts w:ascii="Arial" w:cs="Arial" w:eastAsia="Arial" w:hAnsi="Arial"/>
                <w:sz w:val="11"/>
                <w:szCs w:val="11"/>
                <w:b w:val="1"/>
                <w:bCs w:val="1"/>
                <w:color w:val="050505"/>
              </w:rPr>
              <w:t>2018 to 2019</w:t>
            </w:r>
          </w:p>
        </w:tc>
      </w:tr>
      <w:tr>
        <w:trPr>
          <w:trHeight w:val="115"/>
        </w:trPr>
        <w:tc>
          <w:tcPr>
            <w:tcW w:w="24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jc w:val="right"/>
              <w:ind w:right="186"/>
              <w:spacing w:after="0" w:line="115" w:lineRule="exact"/>
              <w:rPr>
                <w:sz w:val="20"/>
                <w:szCs w:val="20"/>
                <w:color w:val="auto"/>
              </w:rPr>
            </w:pPr>
            <w:r>
              <w:rPr>
                <w:rFonts w:ascii="Arial" w:cs="Arial" w:eastAsia="Arial" w:hAnsi="Arial"/>
                <w:sz w:val="11"/>
                <w:szCs w:val="11"/>
                <w:b w:val="1"/>
                <w:bCs w:val="1"/>
                <w:color w:val="050505"/>
              </w:rPr>
              <w:t>2017</w:t>
            </w:r>
          </w:p>
        </w:tc>
        <w:tc>
          <w:tcPr>
            <w:tcW w:w="360" w:type="dxa"/>
            <w:vAlign w:val="bottom"/>
          </w:tcPr>
          <w:p>
            <w:pPr>
              <w:spacing w:after="0"/>
              <w:rPr>
                <w:sz w:val="10"/>
                <w:szCs w:val="10"/>
                <w:color w:val="auto"/>
              </w:rPr>
            </w:pPr>
          </w:p>
        </w:tc>
        <w:tc>
          <w:tcPr>
            <w:tcW w:w="720" w:type="dxa"/>
            <w:vAlign w:val="bottom"/>
          </w:tcPr>
          <w:p>
            <w:pPr>
              <w:jc w:val="center"/>
              <w:ind w:right="346"/>
              <w:spacing w:after="0" w:line="115" w:lineRule="exact"/>
              <w:rPr>
                <w:sz w:val="20"/>
                <w:szCs w:val="20"/>
                <w:color w:val="auto"/>
              </w:rPr>
            </w:pPr>
            <w:r>
              <w:rPr>
                <w:rFonts w:ascii="Arial" w:cs="Arial" w:eastAsia="Arial" w:hAnsi="Arial"/>
                <w:sz w:val="11"/>
                <w:szCs w:val="11"/>
                <w:b w:val="1"/>
                <w:bCs w:val="1"/>
                <w:color w:val="050505"/>
                <w:w w:val="97"/>
              </w:rPr>
              <w:t>2018</w:t>
            </w:r>
          </w:p>
        </w:tc>
        <w:tc>
          <w:tcPr>
            <w:tcW w:w="160" w:type="dxa"/>
            <w:vAlign w:val="bottom"/>
          </w:tcPr>
          <w:p>
            <w:pPr>
              <w:spacing w:after="0"/>
              <w:rPr>
                <w:sz w:val="10"/>
                <w:szCs w:val="10"/>
                <w:color w:val="auto"/>
              </w:rPr>
            </w:pPr>
          </w:p>
        </w:tc>
        <w:tc>
          <w:tcPr>
            <w:tcW w:w="400" w:type="dxa"/>
            <w:vAlign w:val="bottom"/>
          </w:tcPr>
          <w:p>
            <w:pPr>
              <w:jc w:val="right"/>
              <w:ind w:right="86"/>
              <w:spacing w:after="0" w:line="115" w:lineRule="exact"/>
              <w:rPr>
                <w:sz w:val="20"/>
                <w:szCs w:val="20"/>
                <w:color w:val="auto"/>
              </w:rPr>
            </w:pPr>
            <w:r>
              <w:rPr>
                <w:rFonts w:ascii="Arial" w:cs="Arial" w:eastAsia="Arial" w:hAnsi="Arial"/>
                <w:sz w:val="11"/>
                <w:szCs w:val="11"/>
                <w:b w:val="1"/>
                <w:bCs w:val="1"/>
                <w:color w:val="050505"/>
                <w:w w:val="97"/>
              </w:rPr>
              <w:t>2019</w:t>
            </w: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jc w:val="right"/>
              <w:ind w:right="26"/>
              <w:spacing w:after="0" w:line="115" w:lineRule="exact"/>
              <w:rPr>
                <w:sz w:val="20"/>
                <w:szCs w:val="20"/>
                <w:color w:val="auto"/>
              </w:rPr>
            </w:pPr>
            <w:r>
              <w:rPr>
                <w:rFonts w:ascii="Arial" w:cs="Arial" w:eastAsia="Arial" w:hAnsi="Arial"/>
                <w:sz w:val="11"/>
                <w:szCs w:val="11"/>
                <w:b w:val="1"/>
                <w:bCs w:val="1"/>
                <w:color w:val="050505"/>
              </w:rPr>
              <w:t>% Change</w:t>
            </w:r>
          </w:p>
        </w:tc>
        <w:tc>
          <w:tcPr>
            <w:tcW w:w="280" w:type="dxa"/>
            <w:vAlign w:val="bottom"/>
          </w:tcPr>
          <w:p>
            <w:pPr>
              <w:spacing w:after="0"/>
              <w:rPr>
                <w:sz w:val="10"/>
                <w:szCs w:val="10"/>
                <w:color w:val="auto"/>
              </w:rPr>
            </w:pPr>
          </w:p>
        </w:tc>
        <w:tc>
          <w:tcPr>
            <w:tcW w:w="700" w:type="dxa"/>
            <w:vAlign w:val="bottom"/>
            <w:gridSpan w:val="2"/>
          </w:tcPr>
          <w:p>
            <w:pPr>
              <w:ind w:left="60"/>
              <w:spacing w:after="0" w:line="115" w:lineRule="exact"/>
              <w:rPr>
                <w:sz w:val="20"/>
                <w:szCs w:val="20"/>
                <w:color w:val="auto"/>
              </w:rPr>
            </w:pPr>
            <w:r>
              <w:rPr>
                <w:rFonts w:ascii="Arial" w:cs="Arial" w:eastAsia="Arial" w:hAnsi="Arial"/>
                <w:sz w:val="11"/>
                <w:szCs w:val="11"/>
                <w:b w:val="1"/>
                <w:bCs w:val="1"/>
                <w:color w:val="050505"/>
              </w:rPr>
              <w:t>% Change</w:t>
            </w:r>
          </w:p>
        </w:tc>
      </w:tr>
      <w:tr>
        <w:trPr>
          <w:trHeight w:val="115"/>
        </w:trPr>
        <w:tc>
          <w:tcPr>
            <w:tcW w:w="24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520" w:type="dxa"/>
            <w:vAlign w:val="bottom"/>
            <w:tcBorders>
              <w:top w:val="single" w:sz="8" w:color="auto"/>
            </w:tcBorders>
          </w:tcPr>
          <w:p>
            <w:pPr>
              <w:spacing w:after="0"/>
              <w:rPr>
                <w:sz w:val="10"/>
                <w:szCs w:val="10"/>
                <w:color w:val="auto"/>
              </w:rPr>
            </w:pPr>
          </w:p>
        </w:tc>
        <w:tc>
          <w:tcPr>
            <w:tcW w:w="1080" w:type="dxa"/>
            <w:vAlign w:val="bottom"/>
            <w:tcBorders>
              <w:top w:val="single" w:sz="8" w:color="auto"/>
            </w:tcBorders>
            <w:gridSpan w:val="2"/>
          </w:tcPr>
          <w:p>
            <w:pPr>
              <w:jc w:val="center"/>
              <w:spacing w:after="0" w:line="115" w:lineRule="exact"/>
              <w:rPr>
                <w:sz w:val="20"/>
                <w:szCs w:val="20"/>
                <w:color w:val="auto"/>
              </w:rPr>
            </w:pPr>
            <w:r>
              <w:rPr>
                <w:rFonts w:ascii="Arial" w:cs="Arial" w:eastAsia="Arial" w:hAnsi="Arial"/>
                <w:sz w:val="11"/>
                <w:szCs w:val="11"/>
                <w:b w:val="1"/>
                <w:bCs w:val="1"/>
                <w:color w:val="050505"/>
                <w:w w:val="99"/>
              </w:rPr>
              <w:t>(dollars in millions)</w:t>
            </w:r>
          </w:p>
        </w:tc>
        <w:tc>
          <w:tcPr>
            <w:tcW w:w="160" w:type="dxa"/>
            <w:vAlign w:val="bottom"/>
            <w:tcBorders>
              <w:top w:val="single" w:sz="8" w:color="auto"/>
            </w:tcBorders>
          </w:tcPr>
          <w:p>
            <w:pPr>
              <w:spacing w:after="0"/>
              <w:rPr>
                <w:sz w:val="10"/>
                <w:szCs w:val="10"/>
                <w:color w:val="auto"/>
              </w:rPr>
            </w:pPr>
          </w:p>
        </w:tc>
        <w:tc>
          <w:tcPr>
            <w:tcW w:w="400" w:type="dxa"/>
            <w:vAlign w:val="bottom"/>
            <w:tcBorders>
              <w:top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280" w:type="dxa"/>
            <w:vAlign w:val="bottom"/>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40" w:type="dxa"/>
            <w:vAlign w:val="bottom"/>
          </w:tcPr>
          <w:p>
            <w:pPr>
              <w:spacing w:after="0"/>
              <w:rPr>
                <w:sz w:val="10"/>
                <w:szCs w:val="10"/>
                <w:color w:val="auto"/>
              </w:rPr>
            </w:pPr>
          </w:p>
        </w:tc>
      </w:tr>
      <w:tr>
        <w:trPr>
          <w:trHeight w:val="126"/>
        </w:trPr>
        <w:tc>
          <w:tcPr>
            <w:tcW w:w="2400" w:type="dxa"/>
            <w:vAlign w:val="bottom"/>
            <w:shd w:val="clear" w:color="auto" w:fill="CCEEFF"/>
          </w:tcPr>
          <w:p>
            <w:pPr>
              <w:ind w:left="40"/>
              <w:spacing w:after="0"/>
              <w:rPr>
                <w:sz w:val="20"/>
                <w:szCs w:val="20"/>
                <w:color w:val="auto"/>
              </w:rPr>
            </w:pPr>
            <w:r>
              <w:rPr>
                <w:rFonts w:ascii="Arial" w:cs="Arial" w:eastAsia="Arial" w:hAnsi="Arial"/>
                <w:sz w:val="11"/>
                <w:szCs w:val="11"/>
                <w:color w:val="050505"/>
              </w:rPr>
              <w:t>Research and development</w:t>
            </w: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1"/>
                <w:szCs w:val="11"/>
                <w:color w:val="050505"/>
              </w:rPr>
              <w:t>$</w:t>
            </w:r>
          </w:p>
        </w:tc>
        <w:tc>
          <w:tcPr>
            <w:tcW w:w="52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050505"/>
              </w:rPr>
              <w:t>13.0</w:t>
            </w:r>
          </w:p>
        </w:tc>
        <w:tc>
          <w:tcPr>
            <w:tcW w:w="360" w:type="dxa"/>
            <w:vAlign w:val="bottom"/>
            <w:shd w:val="clear" w:color="auto" w:fill="CCEEFF"/>
          </w:tcPr>
          <w:p>
            <w:pPr>
              <w:jc w:val="right"/>
              <w:spacing w:after="0"/>
              <w:rPr>
                <w:sz w:val="20"/>
                <w:szCs w:val="20"/>
                <w:color w:val="auto"/>
              </w:rPr>
            </w:pPr>
            <w:r>
              <w:rPr>
                <w:rFonts w:ascii="Arial" w:cs="Arial" w:eastAsia="Arial" w:hAnsi="Arial"/>
                <w:sz w:val="11"/>
                <w:szCs w:val="11"/>
                <w:color w:val="050505"/>
              </w:rPr>
              <w:t>$</w:t>
            </w:r>
          </w:p>
        </w:tc>
        <w:tc>
          <w:tcPr>
            <w:tcW w:w="720" w:type="dxa"/>
            <w:vAlign w:val="bottom"/>
            <w:shd w:val="clear" w:color="auto" w:fill="CCEEFF"/>
          </w:tcPr>
          <w:p>
            <w:pPr>
              <w:jc w:val="right"/>
              <w:ind w:right="266"/>
              <w:spacing w:after="0"/>
              <w:rPr>
                <w:sz w:val="20"/>
                <w:szCs w:val="20"/>
                <w:color w:val="auto"/>
              </w:rPr>
            </w:pPr>
            <w:r>
              <w:rPr>
                <w:rFonts w:ascii="Arial" w:cs="Arial" w:eastAsia="Arial" w:hAnsi="Arial"/>
                <w:sz w:val="11"/>
                <w:szCs w:val="11"/>
                <w:color w:val="050505"/>
              </w:rPr>
              <w:t>23.4</w:t>
            </w:r>
          </w:p>
        </w:tc>
        <w:tc>
          <w:tcPr>
            <w:tcW w:w="160" w:type="dxa"/>
            <w:vAlign w:val="bottom"/>
            <w:shd w:val="clear" w:color="auto" w:fill="CCEEFF"/>
          </w:tcPr>
          <w:p>
            <w:pPr>
              <w:jc w:val="right"/>
              <w:spacing w:after="0"/>
              <w:rPr>
                <w:sz w:val="20"/>
                <w:szCs w:val="20"/>
                <w:color w:val="auto"/>
              </w:rPr>
            </w:pPr>
            <w:r>
              <w:rPr>
                <w:rFonts w:ascii="Arial" w:cs="Arial" w:eastAsia="Arial" w:hAnsi="Arial"/>
                <w:sz w:val="11"/>
                <w:szCs w:val="11"/>
                <w:color w:val="050505"/>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1"/>
                <w:szCs w:val="11"/>
                <w:color w:val="050505"/>
              </w:rPr>
              <w:t>54.8</w:t>
            </w:r>
          </w:p>
        </w:tc>
        <w:tc>
          <w:tcPr>
            <w:tcW w:w="240" w:type="dxa"/>
            <w:vAlign w:val="bottom"/>
            <w:shd w:val="clear" w:color="auto" w:fill="CCEEFF"/>
          </w:tcPr>
          <w:p>
            <w:pPr>
              <w:spacing w:after="0"/>
              <w:rPr>
                <w:sz w:val="10"/>
                <w:szCs w:val="10"/>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050505"/>
              </w:rPr>
              <w:t>79.1%</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050505"/>
              </w:rPr>
              <w:t>134.7%</w:t>
            </w:r>
          </w:p>
        </w:tc>
        <w:tc>
          <w:tcPr>
            <w:tcW w:w="40" w:type="dxa"/>
            <w:vAlign w:val="bottom"/>
            <w:shd w:val="clear" w:color="auto" w:fill="CCEEFF"/>
          </w:tcPr>
          <w:p>
            <w:pPr>
              <w:spacing w:after="0"/>
              <w:rPr>
                <w:sz w:val="10"/>
                <w:szCs w:val="10"/>
                <w:color w:val="auto"/>
              </w:rPr>
            </w:pPr>
          </w:p>
        </w:tc>
      </w:tr>
      <w:tr>
        <w:trPr>
          <w:trHeight w:val="140"/>
        </w:trPr>
        <w:tc>
          <w:tcPr>
            <w:tcW w:w="2400" w:type="dxa"/>
            <w:vAlign w:val="bottom"/>
          </w:tcPr>
          <w:p>
            <w:pPr>
              <w:ind w:left="160"/>
              <w:spacing w:after="0"/>
              <w:rPr>
                <w:sz w:val="20"/>
                <w:szCs w:val="20"/>
                <w:color w:val="auto"/>
              </w:rPr>
            </w:pPr>
            <w:r>
              <w:rPr>
                <w:rFonts w:ascii="Arial" w:cs="Arial" w:eastAsia="Arial" w:hAnsi="Arial"/>
                <w:sz w:val="11"/>
                <w:szCs w:val="11"/>
                <w:i w:val="1"/>
                <w:iCs w:val="1"/>
                <w:color w:val="050505"/>
              </w:rPr>
              <w:t>As a percentage of total revenue</w:t>
            </w: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1"/>
                <w:szCs w:val="11"/>
                <w:i w:val="1"/>
                <w:iCs w:val="1"/>
                <w:color w:val="050505"/>
              </w:rPr>
              <w:t>6.0%</w:t>
            </w:r>
          </w:p>
        </w:tc>
        <w:tc>
          <w:tcPr>
            <w:tcW w:w="360" w:type="dxa"/>
            <w:vAlign w:val="bottom"/>
          </w:tcPr>
          <w:p>
            <w:pPr>
              <w:spacing w:after="0"/>
              <w:rPr>
                <w:sz w:val="12"/>
                <w:szCs w:val="12"/>
                <w:color w:val="auto"/>
              </w:rPr>
            </w:pPr>
          </w:p>
        </w:tc>
        <w:tc>
          <w:tcPr>
            <w:tcW w:w="720" w:type="dxa"/>
            <w:vAlign w:val="bottom"/>
          </w:tcPr>
          <w:p>
            <w:pPr>
              <w:jc w:val="right"/>
              <w:ind w:right="166"/>
              <w:spacing w:after="0"/>
              <w:rPr>
                <w:sz w:val="20"/>
                <w:szCs w:val="20"/>
                <w:color w:val="auto"/>
              </w:rPr>
            </w:pPr>
            <w:r>
              <w:rPr>
                <w:rFonts w:ascii="Arial" w:cs="Arial" w:eastAsia="Arial" w:hAnsi="Arial"/>
                <w:sz w:val="11"/>
                <w:szCs w:val="11"/>
                <w:i w:val="1"/>
                <w:iCs w:val="1"/>
                <w:color w:val="050505"/>
              </w:rPr>
              <w:t>5.4%</w:t>
            </w:r>
          </w:p>
        </w:tc>
        <w:tc>
          <w:tcPr>
            <w:tcW w:w="160" w:type="dxa"/>
            <w:vAlign w:val="bottom"/>
          </w:tcPr>
          <w:p>
            <w:pPr>
              <w:spacing w:after="0"/>
              <w:rPr>
                <w:sz w:val="12"/>
                <w:szCs w:val="12"/>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1"/>
                <w:szCs w:val="11"/>
                <w:i w:val="1"/>
                <w:iCs w:val="1"/>
                <w:color w:val="050505"/>
              </w:rPr>
              <w:t>6.0%</w:t>
            </w: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r>
    </w:tbl>
    <w:p>
      <w:pPr>
        <w:spacing w:after="0" w:line="122" w:lineRule="exact"/>
        <w:rPr>
          <w:sz w:val="20"/>
          <w:szCs w:val="20"/>
          <w:color w:val="auto"/>
        </w:rPr>
      </w:pPr>
    </w:p>
    <w:p>
      <w:pPr>
        <w:ind w:left="2060"/>
        <w:spacing w:after="0"/>
        <w:rPr>
          <w:sz w:val="20"/>
          <w:szCs w:val="20"/>
          <w:color w:val="auto"/>
        </w:rPr>
      </w:pPr>
      <w:r>
        <w:rPr>
          <w:rFonts w:ascii="Arial" w:cs="Arial" w:eastAsia="Arial" w:hAnsi="Arial"/>
          <w:sz w:val="11"/>
          <w:szCs w:val="11"/>
          <w:i w:val="1"/>
          <w:iCs w:val="1"/>
          <w:color w:val="auto"/>
        </w:rPr>
        <w:t>2018 Compared to 2019</w:t>
      </w:r>
    </w:p>
    <w:p>
      <w:pPr>
        <w:spacing w:after="0" w:line="154" w:lineRule="exact"/>
        <w:rPr>
          <w:sz w:val="20"/>
          <w:szCs w:val="20"/>
          <w:color w:val="auto"/>
        </w:rPr>
      </w:pPr>
    </w:p>
    <w:p>
      <w:pPr>
        <w:jc w:val="both"/>
        <w:ind w:left="2060" w:right="839"/>
        <w:spacing w:after="0" w:line="241" w:lineRule="auto"/>
        <w:rPr>
          <w:sz w:val="20"/>
          <w:szCs w:val="20"/>
          <w:color w:val="auto"/>
        </w:rPr>
      </w:pPr>
      <w:r>
        <w:rPr>
          <w:rFonts w:ascii="Arial" w:cs="Arial" w:eastAsia="Arial" w:hAnsi="Arial"/>
          <w:sz w:val="11"/>
          <w:szCs w:val="11"/>
          <w:color w:val="050505"/>
        </w:rPr>
        <w:t>Research and development expense for fiscal 2019 increased $31.5 million, or 134.7%, compared to fiscal 2018. This increase was due primarily to an increase in personnel-related expenses, which, excluding stock-based compensation expense, increased $16.8 million, due to increased headcount. Stock-based compensation expense increased $6.3 million, of which $3.8 million was related to incremental costs associated with the tender offer completed in October 2018.</w:t>
      </w:r>
    </w:p>
    <w:p>
      <w:pPr>
        <w:spacing w:after="0" w:line="130" w:lineRule="exact"/>
        <w:rPr>
          <w:sz w:val="20"/>
          <w:szCs w:val="20"/>
          <w:color w:val="auto"/>
        </w:rPr>
      </w:pPr>
    </w:p>
    <w:p>
      <w:pPr>
        <w:ind w:left="2060"/>
        <w:spacing w:after="0"/>
        <w:rPr>
          <w:sz w:val="20"/>
          <w:szCs w:val="20"/>
          <w:color w:val="auto"/>
        </w:rPr>
      </w:pPr>
      <w:r>
        <w:rPr>
          <w:rFonts w:ascii="Arial" w:cs="Arial" w:eastAsia="Arial" w:hAnsi="Arial"/>
          <w:sz w:val="11"/>
          <w:szCs w:val="11"/>
          <w:i w:val="1"/>
          <w:iCs w:val="1"/>
          <w:color w:val="auto"/>
        </w:rPr>
        <w:t>2017 Compared to 2018</w:t>
      </w:r>
    </w:p>
    <w:p>
      <w:pPr>
        <w:spacing w:after="0" w:line="154" w:lineRule="exact"/>
        <w:rPr>
          <w:sz w:val="20"/>
          <w:szCs w:val="20"/>
          <w:color w:val="auto"/>
        </w:rPr>
      </w:pPr>
    </w:p>
    <w:p>
      <w:pPr>
        <w:jc w:val="both"/>
        <w:ind w:left="2060" w:right="839"/>
        <w:spacing w:after="0" w:line="241" w:lineRule="auto"/>
        <w:rPr>
          <w:sz w:val="20"/>
          <w:szCs w:val="20"/>
          <w:color w:val="auto"/>
        </w:rPr>
      </w:pPr>
      <w:r>
        <w:rPr>
          <w:rFonts w:ascii="Arial" w:cs="Arial" w:eastAsia="Arial" w:hAnsi="Arial"/>
          <w:sz w:val="11"/>
          <w:szCs w:val="11"/>
          <w:color w:val="050505"/>
        </w:rPr>
        <w:t>Research and development expenses for fiscal 2018 increased $10.3 million, or 79.1%, compared to fiscal 2017. This increase was due primarily to increases of $3.9 million in product development and research costs, $3.3 million in personnel-related expenses, excluding stock-based compensation expense, resulting from increased headcount, and $1.1 million in web hosting fees to create new, as well as improve existing products and interactive software features on our platform.</w:t>
      </w:r>
    </w:p>
    <w:p>
      <w:pPr>
        <w:spacing w:after="0" w:line="95" w:lineRule="exact"/>
        <w:rPr>
          <w:sz w:val="20"/>
          <w:szCs w:val="20"/>
          <w:color w:val="auto"/>
        </w:rPr>
      </w:pPr>
    </w:p>
    <w:p>
      <w:pPr>
        <w:ind w:left="5680"/>
        <w:spacing w:after="0"/>
        <w:rPr>
          <w:sz w:val="20"/>
          <w:szCs w:val="20"/>
          <w:color w:val="auto"/>
        </w:rPr>
      </w:pPr>
      <w:r>
        <w:rPr>
          <w:rFonts w:ascii="Arial" w:cs="Arial" w:eastAsia="Arial" w:hAnsi="Arial"/>
          <w:sz w:val="11"/>
          <w:szCs w:val="11"/>
          <w:color w:val="050505"/>
        </w:rPr>
        <w:t>75</w:t>
      </w:r>
    </w:p>
    <w:p>
      <w:pPr>
        <w:sectPr>
          <w:pgSz w:w="11900" w:h="16838" w:orient="portrait"/>
          <w:cols w:equalWidth="0" w:num="1">
            <w:col w:w="10239"/>
          </w:cols>
          <w:pgMar w:left="220" w:top="354" w:right="1440" w:bottom="1440" w:gutter="0" w:footer="0" w:header="0"/>
        </w:sectPr>
      </w:pPr>
    </w:p>
    <w:bookmarkStart w:id="80" w:name="page81"/>
    <w:bookmarkEnd w:id="80"/>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hyperlink w:anchor="page5">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tbl>
      <w:tblPr>
        <w:tblLayout w:type="fixed"/>
        <w:tblInd w:w="2060" w:type="dxa"/>
        <w:tblCellMar>
          <w:top w:w="0" w:type="dxa"/>
          <w:left w:w="0" w:type="dxa"/>
          <w:bottom w:w="0" w:type="dxa"/>
          <w:right w:w="0" w:type="dxa"/>
        </w:tblCellMar>
      </w:tblPr>
      <w:tr>
        <w:trPr>
          <w:trHeight w:val="140"/>
        </w:trPr>
        <w:tc>
          <w:tcPr>
            <w:tcW w:w="2300" w:type="dxa"/>
            <w:vAlign w:val="bottom"/>
          </w:tcPr>
          <w:p>
            <w:pPr>
              <w:spacing w:after="0"/>
              <w:rPr>
                <w:sz w:val="20"/>
                <w:szCs w:val="20"/>
                <w:color w:val="auto"/>
              </w:rPr>
            </w:pPr>
            <w:r>
              <w:rPr>
                <w:rFonts w:ascii="Arial" w:cs="Arial" w:eastAsia="Arial" w:hAnsi="Arial"/>
                <w:sz w:val="11"/>
                <w:szCs w:val="11"/>
                <w:i w:val="1"/>
                <w:iCs w:val="1"/>
                <w:color w:val="auto"/>
              </w:rPr>
              <w:t>Sales and Marketing</w:t>
            </w: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283"/>
        </w:trPr>
        <w:tc>
          <w:tcPr>
            <w:tcW w:w="23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gridSpan w:val="3"/>
          </w:tcPr>
          <w:p>
            <w:pPr>
              <w:ind w:left="360"/>
              <w:spacing w:after="0"/>
              <w:rPr>
                <w:sz w:val="20"/>
                <w:szCs w:val="20"/>
                <w:color w:val="auto"/>
              </w:rPr>
            </w:pPr>
            <w:r>
              <w:rPr>
                <w:rFonts w:ascii="Arial" w:cs="Arial" w:eastAsia="Arial" w:hAnsi="Arial"/>
                <w:sz w:val="11"/>
                <w:szCs w:val="11"/>
                <w:b w:val="1"/>
                <w:bCs w:val="1"/>
                <w:color w:val="050505"/>
              </w:rPr>
              <w:t>Fiscal Year Ended June 30,</w:t>
            </w:r>
          </w:p>
        </w:tc>
        <w:tc>
          <w:tcPr>
            <w:tcW w:w="400" w:type="dxa"/>
            <w:vAlign w:val="bottom"/>
            <w:tcBorders>
              <w:bottom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gridSpan w:val="3"/>
          </w:tcPr>
          <w:p>
            <w:pPr>
              <w:jc w:val="center"/>
              <w:ind w:right="100"/>
              <w:spacing w:after="0"/>
              <w:rPr>
                <w:sz w:val="20"/>
                <w:szCs w:val="20"/>
                <w:color w:val="auto"/>
              </w:rPr>
            </w:pPr>
            <w:r>
              <w:rPr>
                <w:rFonts w:ascii="Arial" w:cs="Arial" w:eastAsia="Arial" w:hAnsi="Arial"/>
                <w:sz w:val="11"/>
                <w:szCs w:val="11"/>
                <w:b w:val="1"/>
                <w:bCs w:val="1"/>
                <w:color w:val="050505"/>
                <w:w w:val="97"/>
              </w:rPr>
              <w:t>2017 to 2018</w:t>
            </w:r>
          </w:p>
        </w:tc>
        <w:tc>
          <w:tcPr>
            <w:tcW w:w="860" w:type="dxa"/>
            <w:vAlign w:val="bottom"/>
            <w:gridSpan w:val="3"/>
          </w:tcPr>
          <w:p>
            <w:pPr>
              <w:jc w:val="right"/>
              <w:ind w:right="40"/>
              <w:spacing w:after="0"/>
              <w:rPr>
                <w:sz w:val="20"/>
                <w:szCs w:val="20"/>
                <w:color w:val="auto"/>
              </w:rPr>
            </w:pPr>
            <w:r>
              <w:rPr>
                <w:rFonts w:ascii="Arial" w:cs="Arial" w:eastAsia="Arial" w:hAnsi="Arial"/>
                <w:sz w:val="11"/>
                <w:szCs w:val="11"/>
                <w:b w:val="1"/>
                <w:bCs w:val="1"/>
                <w:color w:val="050505"/>
              </w:rPr>
              <w:t>2018 to 2019</w:t>
            </w:r>
          </w:p>
        </w:tc>
      </w:tr>
      <w:tr>
        <w:trPr>
          <w:trHeight w:val="115"/>
        </w:trPr>
        <w:tc>
          <w:tcPr>
            <w:tcW w:w="23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jc w:val="right"/>
              <w:ind w:right="226"/>
              <w:spacing w:after="0" w:line="115" w:lineRule="exact"/>
              <w:rPr>
                <w:sz w:val="20"/>
                <w:szCs w:val="20"/>
                <w:color w:val="auto"/>
              </w:rPr>
            </w:pPr>
            <w:r>
              <w:rPr>
                <w:rFonts w:ascii="Arial" w:cs="Arial" w:eastAsia="Arial" w:hAnsi="Arial"/>
                <w:sz w:val="11"/>
                <w:szCs w:val="11"/>
                <w:b w:val="1"/>
                <w:bCs w:val="1"/>
                <w:color w:val="050505"/>
                <w:w w:val="97"/>
              </w:rPr>
              <w:t>2017</w:t>
            </w:r>
          </w:p>
        </w:tc>
        <w:tc>
          <w:tcPr>
            <w:tcW w:w="1100" w:type="dxa"/>
            <w:vAlign w:val="bottom"/>
          </w:tcPr>
          <w:p>
            <w:pPr>
              <w:jc w:val="right"/>
              <w:ind w:right="406"/>
              <w:spacing w:after="0" w:line="115" w:lineRule="exact"/>
              <w:rPr>
                <w:sz w:val="20"/>
                <w:szCs w:val="20"/>
                <w:color w:val="auto"/>
              </w:rPr>
            </w:pPr>
            <w:r>
              <w:rPr>
                <w:rFonts w:ascii="Arial" w:cs="Arial" w:eastAsia="Arial" w:hAnsi="Arial"/>
                <w:sz w:val="11"/>
                <w:szCs w:val="11"/>
                <w:b w:val="1"/>
                <w:bCs w:val="1"/>
                <w:color w:val="050505"/>
              </w:rPr>
              <w:t>2018</w:t>
            </w:r>
          </w:p>
        </w:tc>
        <w:tc>
          <w:tcPr>
            <w:tcW w:w="180" w:type="dxa"/>
            <w:vAlign w:val="bottom"/>
          </w:tcPr>
          <w:p>
            <w:pPr>
              <w:spacing w:after="0"/>
              <w:rPr>
                <w:sz w:val="10"/>
                <w:szCs w:val="10"/>
                <w:color w:val="auto"/>
              </w:rPr>
            </w:pPr>
          </w:p>
        </w:tc>
        <w:tc>
          <w:tcPr>
            <w:tcW w:w="400" w:type="dxa"/>
            <w:vAlign w:val="bottom"/>
          </w:tcPr>
          <w:p>
            <w:pPr>
              <w:jc w:val="right"/>
              <w:ind w:right="86"/>
              <w:spacing w:after="0" w:line="115" w:lineRule="exact"/>
              <w:rPr>
                <w:sz w:val="20"/>
                <w:szCs w:val="20"/>
                <w:color w:val="auto"/>
              </w:rPr>
            </w:pPr>
            <w:r>
              <w:rPr>
                <w:rFonts w:ascii="Arial" w:cs="Arial" w:eastAsia="Arial" w:hAnsi="Arial"/>
                <w:sz w:val="11"/>
                <w:szCs w:val="11"/>
                <w:b w:val="1"/>
                <w:bCs w:val="1"/>
                <w:color w:val="050505"/>
                <w:w w:val="97"/>
              </w:rPr>
              <w:t>2019</w:t>
            </w:r>
          </w:p>
        </w:tc>
        <w:tc>
          <w:tcPr>
            <w:tcW w:w="2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00" w:type="dxa"/>
            <w:vAlign w:val="bottom"/>
            <w:gridSpan w:val="2"/>
          </w:tcPr>
          <w:p>
            <w:pPr>
              <w:jc w:val="center"/>
              <w:ind w:right="260"/>
              <w:spacing w:after="0" w:line="115" w:lineRule="exact"/>
              <w:rPr>
                <w:sz w:val="20"/>
                <w:szCs w:val="20"/>
                <w:color w:val="auto"/>
              </w:rPr>
            </w:pPr>
            <w:r>
              <w:rPr>
                <w:rFonts w:ascii="Arial" w:cs="Arial" w:eastAsia="Arial" w:hAnsi="Arial"/>
                <w:sz w:val="11"/>
                <w:szCs w:val="11"/>
                <w:b w:val="1"/>
                <w:bCs w:val="1"/>
                <w:color w:val="050505"/>
                <w:w w:val="97"/>
              </w:rPr>
              <w:t>% Change</w:t>
            </w:r>
          </w:p>
        </w:tc>
        <w:tc>
          <w:tcPr>
            <w:tcW w:w="160" w:type="dxa"/>
            <w:vAlign w:val="bottom"/>
          </w:tcPr>
          <w:p>
            <w:pPr>
              <w:spacing w:after="0"/>
              <w:rPr>
                <w:sz w:val="10"/>
                <w:szCs w:val="10"/>
                <w:color w:val="auto"/>
              </w:rPr>
            </w:pPr>
          </w:p>
        </w:tc>
        <w:tc>
          <w:tcPr>
            <w:tcW w:w="700" w:type="dxa"/>
            <w:vAlign w:val="bottom"/>
            <w:gridSpan w:val="2"/>
          </w:tcPr>
          <w:p>
            <w:pPr>
              <w:ind w:left="60"/>
              <w:spacing w:after="0" w:line="115" w:lineRule="exact"/>
              <w:rPr>
                <w:sz w:val="20"/>
                <w:szCs w:val="20"/>
                <w:color w:val="auto"/>
              </w:rPr>
            </w:pPr>
            <w:r>
              <w:rPr>
                <w:rFonts w:ascii="Arial" w:cs="Arial" w:eastAsia="Arial" w:hAnsi="Arial"/>
                <w:sz w:val="11"/>
                <w:szCs w:val="11"/>
                <w:b w:val="1"/>
                <w:bCs w:val="1"/>
                <w:color w:val="050505"/>
              </w:rPr>
              <w:t>% Change</w:t>
            </w:r>
          </w:p>
        </w:tc>
      </w:tr>
      <w:tr>
        <w:trPr>
          <w:trHeight w:val="124"/>
        </w:trPr>
        <w:tc>
          <w:tcPr>
            <w:tcW w:w="23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1100" w:type="dxa"/>
            <w:vAlign w:val="bottom"/>
            <w:tcBorders>
              <w:top w:val="single" w:sz="8" w:color="auto"/>
            </w:tcBorders>
          </w:tcPr>
          <w:p>
            <w:pPr>
              <w:jc w:val="right"/>
              <w:ind w:right="6"/>
              <w:spacing w:after="0" w:line="124" w:lineRule="exact"/>
              <w:rPr>
                <w:sz w:val="20"/>
                <w:szCs w:val="20"/>
                <w:color w:val="auto"/>
              </w:rPr>
            </w:pPr>
            <w:r>
              <w:rPr>
                <w:rFonts w:ascii="Arial" w:cs="Arial" w:eastAsia="Arial" w:hAnsi="Arial"/>
                <w:sz w:val="11"/>
                <w:szCs w:val="11"/>
                <w:b w:val="1"/>
                <w:bCs w:val="1"/>
                <w:color w:val="050505"/>
              </w:rPr>
              <w:t>(dollars in millions)</w:t>
            </w:r>
          </w:p>
        </w:tc>
        <w:tc>
          <w:tcPr>
            <w:tcW w:w="180" w:type="dxa"/>
            <w:vAlign w:val="bottom"/>
            <w:tcBorders>
              <w:top w:val="single" w:sz="8" w:color="auto"/>
            </w:tcBorders>
          </w:tcPr>
          <w:p>
            <w:pPr>
              <w:spacing w:after="0"/>
              <w:rPr>
                <w:sz w:val="10"/>
                <w:szCs w:val="10"/>
                <w:color w:val="auto"/>
              </w:rPr>
            </w:pPr>
          </w:p>
        </w:tc>
        <w:tc>
          <w:tcPr>
            <w:tcW w:w="400" w:type="dxa"/>
            <w:vAlign w:val="bottom"/>
            <w:tcBorders>
              <w:top w:val="single" w:sz="8" w:color="auto"/>
            </w:tcBorders>
          </w:tcPr>
          <w:p>
            <w:pPr>
              <w:spacing w:after="0"/>
              <w:rPr>
                <w:sz w:val="10"/>
                <w:szCs w:val="10"/>
                <w:color w:val="auto"/>
              </w:rPr>
            </w:pPr>
          </w:p>
        </w:tc>
        <w:tc>
          <w:tcPr>
            <w:tcW w:w="2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2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40" w:type="dxa"/>
            <w:vAlign w:val="bottom"/>
          </w:tcPr>
          <w:p>
            <w:pPr>
              <w:spacing w:after="0"/>
              <w:rPr>
                <w:sz w:val="10"/>
                <w:szCs w:val="10"/>
                <w:color w:val="auto"/>
              </w:rPr>
            </w:pPr>
          </w:p>
        </w:tc>
      </w:tr>
      <w:tr>
        <w:trPr>
          <w:trHeight w:val="126"/>
        </w:trPr>
        <w:tc>
          <w:tcPr>
            <w:tcW w:w="2300" w:type="dxa"/>
            <w:vAlign w:val="bottom"/>
            <w:shd w:val="clear" w:color="auto" w:fill="CCEEFF"/>
          </w:tcPr>
          <w:p>
            <w:pPr>
              <w:ind w:left="40"/>
              <w:spacing w:after="0"/>
              <w:rPr>
                <w:sz w:val="20"/>
                <w:szCs w:val="20"/>
                <w:color w:val="auto"/>
              </w:rPr>
            </w:pPr>
            <w:r>
              <w:rPr>
                <w:rFonts w:ascii="Arial" w:cs="Arial" w:eastAsia="Arial" w:hAnsi="Arial"/>
                <w:sz w:val="11"/>
                <w:szCs w:val="11"/>
                <w:color w:val="050505"/>
              </w:rPr>
              <w:t>Sales and marketing</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050505"/>
              </w:rPr>
              <w:t>$</w:t>
            </w:r>
          </w:p>
        </w:tc>
        <w:tc>
          <w:tcPr>
            <w:tcW w:w="540" w:type="dxa"/>
            <w:vAlign w:val="bottom"/>
            <w:shd w:val="clear" w:color="auto" w:fill="CCEEFF"/>
          </w:tcPr>
          <w:p>
            <w:pPr>
              <w:ind w:left="180"/>
              <w:spacing w:after="0"/>
              <w:rPr>
                <w:sz w:val="20"/>
                <w:szCs w:val="20"/>
                <w:color w:val="auto"/>
              </w:rPr>
            </w:pPr>
            <w:r>
              <w:rPr>
                <w:rFonts w:ascii="Arial" w:cs="Arial" w:eastAsia="Arial" w:hAnsi="Arial"/>
                <w:sz w:val="11"/>
                <w:szCs w:val="11"/>
                <w:color w:val="050505"/>
              </w:rPr>
              <w:t>86.0</w:t>
            </w:r>
          </w:p>
        </w:tc>
        <w:tc>
          <w:tcPr>
            <w:tcW w:w="1100" w:type="dxa"/>
            <w:vAlign w:val="bottom"/>
            <w:shd w:val="clear" w:color="auto" w:fill="CCEEFF"/>
          </w:tcPr>
          <w:p>
            <w:pPr>
              <w:jc w:val="right"/>
              <w:ind w:right="286"/>
              <w:spacing w:after="0"/>
              <w:rPr>
                <w:sz w:val="20"/>
                <w:szCs w:val="20"/>
                <w:color w:val="auto"/>
              </w:rPr>
            </w:pPr>
            <w:r>
              <w:rPr>
                <w:rFonts w:ascii="Arial" w:cs="Arial" w:eastAsia="Arial" w:hAnsi="Arial"/>
                <w:sz w:val="11"/>
                <w:szCs w:val="11"/>
                <w:color w:val="050505"/>
              </w:rPr>
              <w:t>$   151.4</w:t>
            </w:r>
          </w:p>
        </w:tc>
        <w:tc>
          <w:tcPr>
            <w:tcW w:w="180" w:type="dxa"/>
            <w:vAlign w:val="bottom"/>
            <w:shd w:val="clear" w:color="auto" w:fill="CCEEFF"/>
          </w:tcPr>
          <w:p>
            <w:pPr>
              <w:jc w:val="right"/>
              <w:spacing w:after="0"/>
              <w:rPr>
                <w:sz w:val="20"/>
                <w:szCs w:val="20"/>
                <w:color w:val="auto"/>
              </w:rPr>
            </w:pPr>
            <w:r>
              <w:rPr>
                <w:rFonts w:ascii="Arial" w:cs="Arial" w:eastAsia="Arial" w:hAnsi="Arial"/>
                <w:sz w:val="11"/>
                <w:szCs w:val="11"/>
                <w:color w:val="050505"/>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1"/>
                <w:szCs w:val="11"/>
                <w:color w:val="050505"/>
              </w:rPr>
              <w:t>324.0</w:t>
            </w:r>
          </w:p>
        </w:tc>
        <w:tc>
          <w:tcPr>
            <w:tcW w:w="260" w:type="dxa"/>
            <w:vAlign w:val="bottom"/>
            <w:shd w:val="clear" w:color="auto" w:fill="CCEEFF"/>
          </w:tcPr>
          <w:p>
            <w:pPr>
              <w:spacing w:after="0"/>
              <w:rPr>
                <w:sz w:val="10"/>
                <w:szCs w:val="10"/>
                <w:color w:val="auto"/>
              </w:rPr>
            </w:pPr>
          </w:p>
        </w:tc>
        <w:tc>
          <w:tcPr>
            <w:tcW w:w="1060" w:type="dxa"/>
            <w:vAlign w:val="bottom"/>
            <w:gridSpan w:val="3"/>
            <w:shd w:val="clear" w:color="auto" w:fill="CCEEFF"/>
          </w:tcPr>
          <w:p>
            <w:pPr>
              <w:jc w:val="right"/>
              <w:ind w:right="160"/>
              <w:spacing w:after="0"/>
              <w:rPr>
                <w:sz w:val="20"/>
                <w:szCs w:val="20"/>
                <w:color w:val="auto"/>
              </w:rPr>
            </w:pPr>
            <w:r>
              <w:rPr>
                <w:rFonts w:ascii="Arial" w:cs="Arial" w:eastAsia="Arial" w:hAnsi="Arial"/>
                <w:sz w:val="11"/>
                <w:szCs w:val="11"/>
                <w:color w:val="050505"/>
              </w:rPr>
              <w:t>76.0%</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050505"/>
              </w:rPr>
              <w:t>114.1%</w:t>
            </w:r>
          </w:p>
        </w:tc>
        <w:tc>
          <w:tcPr>
            <w:tcW w:w="40" w:type="dxa"/>
            <w:vAlign w:val="bottom"/>
            <w:shd w:val="clear" w:color="auto" w:fill="CCEEFF"/>
          </w:tcPr>
          <w:p>
            <w:pPr>
              <w:spacing w:after="0"/>
              <w:rPr>
                <w:sz w:val="10"/>
                <w:szCs w:val="10"/>
                <w:color w:val="auto"/>
              </w:rPr>
            </w:pPr>
          </w:p>
        </w:tc>
      </w:tr>
      <w:tr>
        <w:trPr>
          <w:trHeight w:val="140"/>
        </w:trPr>
        <w:tc>
          <w:tcPr>
            <w:tcW w:w="2300" w:type="dxa"/>
            <w:vAlign w:val="bottom"/>
          </w:tcPr>
          <w:p>
            <w:pPr>
              <w:ind w:left="160"/>
              <w:spacing w:after="0"/>
              <w:rPr>
                <w:sz w:val="20"/>
                <w:szCs w:val="20"/>
                <w:color w:val="auto"/>
              </w:rPr>
            </w:pPr>
            <w:r>
              <w:rPr>
                <w:rFonts w:ascii="Arial" w:cs="Arial" w:eastAsia="Arial" w:hAnsi="Arial"/>
                <w:sz w:val="11"/>
                <w:szCs w:val="11"/>
                <w:i w:val="1"/>
                <w:iCs w:val="1"/>
                <w:color w:val="050505"/>
              </w:rPr>
              <w:t>As a percentage of total revenue</w:t>
            </w: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ind w:left="180"/>
              <w:spacing w:after="0"/>
              <w:rPr>
                <w:sz w:val="20"/>
                <w:szCs w:val="20"/>
                <w:color w:val="auto"/>
              </w:rPr>
            </w:pPr>
            <w:r>
              <w:rPr>
                <w:rFonts w:ascii="Arial" w:cs="Arial" w:eastAsia="Arial" w:hAnsi="Arial"/>
                <w:sz w:val="11"/>
                <w:szCs w:val="11"/>
                <w:i w:val="1"/>
                <w:iCs w:val="1"/>
                <w:color w:val="050505"/>
              </w:rPr>
              <w:t>39.3%</w:t>
            </w:r>
          </w:p>
        </w:tc>
        <w:tc>
          <w:tcPr>
            <w:tcW w:w="1100" w:type="dxa"/>
            <w:vAlign w:val="bottom"/>
          </w:tcPr>
          <w:p>
            <w:pPr>
              <w:jc w:val="right"/>
              <w:ind w:right="186"/>
              <w:spacing w:after="0"/>
              <w:rPr>
                <w:sz w:val="20"/>
                <w:szCs w:val="20"/>
                <w:color w:val="auto"/>
              </w:rPr>
            </w:pPr>
            <w:r>
              <w:rPr>
                <w:rFonts w:ascii="Arial" w:cs="Arial" w:eastAsia="Arial" w:hAnsi="Arial"/>
                <w:sz w:val="11"/>
                <w:szCs w:val="11"/>
                <w:i w:val="1"/>
                <w:iCs w:val="1"/>
                <w:color w:val="050505"/>
              </w:rPr>
              <w:t>34.8%</w:t>
            </w:r>
          </w:p>
        </w:tc>
        <w:tc>
          <w:tcPr>
            <w:tcW w:w="180" w:type="dxa"/>
            <w:vAlign w:val="bottom"/>
          </w:tcPr>
          <w:p>
            <w:pPr>
              <w:spacing w:after="0"/>
              <w:rPr>
                <w:sz w:val="12"/>
                <w:szCs w:val="12"/>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1"/>
                <w:szCs w:val="11"/>
                <w:i w:val="1"/>
                <w:iCs w:val="1"/>
                <w:color w:val="050505"/>
              </w:rPr>
              <w:t>35.4%</w:t>
            </w: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r>
    </w:tbl>
    <w:p>
      <w:pPr>
        <w:spacing w:after="0" w:line="122" w:lineRule="exact"/>
        <w:rPr>
          <w:sz w:val="20"/>
          <w:szCs w:val="20"/>
          <w:color w:val="auto"/>
        </w:rPr>
      </w:pPr>
    </w:p>
    <w:p>
      <w:pPr>
        <w:ind w:left="2060"/>
        <w:spacing w:after="0"/>
        <w:rPr>
          <w:sz w:val="20"/>
          <w:szCs w:val="20"/>
          <w:color w:val="auto"/>
        </w:rPr>
      </w:pPr>
      <w:r>
        <w:rPr>
          <w:rFonts w:ascii="Arial" w:cs="Arial" w:eastAsia="Arial" w:hAnsi="Arial"/>
          <w:sz w:val="11"/>
          <w:szCs w:val="11"/>
          <w:i w:val="1"/>
          <w:iCs w:val="1"/>
          <w:color w:val="auto"/>
        </w:rPr>
        <w:t>2018 Compared to 2019</w:t>
      </w:r>
    </w:p>
    <w:p>
      <w:pPr>
        <w:spacing w:after="0" w:line="154" w:lineRule="exact"/>
        <w:rPr>
          <w:sz w:val="20"/>
          <w:szCs w:val="20"/>
          <w:color w:val="auto"/>
        </w:rPr>
      </w:pPr>
    </w:p>
    <w:p>
      <w:pPr>
        <w:jc w:val="both"/>
        <w:ind w:left="2060" w:right="839"/>
        <w:spacing w:after="0"/>
        <w:rPr>
          <w:sz w:val="20"/>
          <w:szCs w:val="20"/>
          <w:color w:val="auto"/>
        </w:rPr>
      </w:pPr>
      <w:r>
        <w:rPr>
          <w:rFonts w:ascii="Arial" w:cs="Arial" w:eastAsia="Arial" w:hAnsi="Arial"/>
          <w:sz w:val="11"/>
          <w:szCs w:val="11"/>
          <w:color w:val="050505"/>
        </w:rPr>
        <w:t>Sales and marketing expense for fiscal 2019 increased $172.6 million, or 114.1%, compared to fiscal 2018. The increase was due primarily to increased spending of $117.4 million on advertising and marketing programs. In addition, personnel-related expenses, excluding stock-based compensation expense, increased by $22.2 million due to increased headcount, expenses related to our showrooms and microstores increased by $15.3 million due to our addition of 39 global retail locations, and stock-based compensation expense increased $7.7 million, of which $6.2 million was related to incremental costs associated with the tender offer completed in October 2018.</w:t>
      </w:r>
    </w:p>
    <w:p>
      <w:pPr>
        <w:spacing w:after="0" w:line="132" w:lineRule="exact"/>
        <w:rPr>
          <w:sz w:val="20"/>
          <w:szCs w:val="20"/>
          <w:color w:val="auto"/>
        </w:rPr>
      </w:pPr>
    </w:p>
    <w:p>
      <w:pPr>
        <w:ind w:left="2060"/>
        <w:spacing w:after="0"/>
        <w:rPr>
          <w:sz w:val="20"/>
          <w:szCs w:val="20"/>
          <w:color w:val="auto"/>
        </w:rPr>
      </w:pPr>
      <w:r>
        <w:rPr>
          <w:rFonts w:ascii="Arial" w:cs="Arial" w:eastAsia="Arial" w:hAnsi="Arial"/>
          <w:sz w:val="11"/>
          <w:szCs w:val="11"/>
          <w:i w:val="1"/>
          <w:iCs w:val="1"/>
          <w:color w:val="auto"/>
        </w:rPr>
        <w:t>2017 Compared to 2018</w:t>
      </w:r>
    </w:p>
    <w:p>
      <w:pPr>
        <w:spacing w:after="0" w:line="154" w:lineRule="exact"/>
        <w:rPr>
          <w:sz w:val="20"/>
          <w:szCs w:val="20"/>
          <w:color w:val="auto"/>
        </w:rPr>
      </w:pPr>
    </w:p>
    <w:p>
      <w:pPr>
        <w:jc w:val="both"/>
        <w:ind w:left="2060" w:right="839"/>
        <w:spacing w:after="0" w:line="242" w:lineRule="auto"/>
        <w:rPr>
          <w:sz w:val="20"/>
          <w:szCs w:val="20"/>
          <w:color w:val="auto"/>
        </w:rPr>
      </w:pPr>
      <w:r>
        <w:rPr>
          <w:rFonts w:ascii="Arial" w:cs="Arial" w:eastAsia="Arial" w:hAnsi="Arial"/>
          <w:sz w:val="11"/>
          <w:szCs w:val="11"/>
          <w:color w:val="050505"/>
        </w:rPr>
        <w:t>Sales and marketing expense for fiscal 2018 increased $65.4 million, or 76.0%, compared to fiscal 2017. This increase was primarily driven by $44.3 million in increased marketing costs, $8.2 million of increased personnel-related expenses, $5.4 million of increased payment processing fees, and $5.2 million of additional costs related to 12 additional retail locations we added in the period.</w:t>
      </w:r>
    </w:p>
    <w:p>
      <w:pPr>
        <w:spacing w:after="0" w:line="130" w:lineRule="exact"/>
        <w:rPr>
          <w:sz w:val="20"/>
          <w:szCs w:val="20"/>
          <w:color w:val="auto"/>
        </w:rPr>
      </w:pPr>
    </w:p>
    <w:tbl>
      <w:tblPr>
        <w:tblLayout w:type="fixed"/>
        <w:tblInd w:w="2060" w:type="dxa"/>
        <w:tblCellMar>
          <w:top w:w="0" w:type="dxa"/>
          <w:left w:w="0" w:type="dxa"/>
          <w:bottom w:w="0" w:type="dxa"/>
          <w:right w:w="0" w:type="dxa"/>
        </w:tblCellMar>
      </w:tblPr>
      <w:tr>
        <w:trPr>
          <w:trHeight w:val="140"/>
        </w:trPr>
        <w:tc>
          <w:tcPr>
            <w:tcW w:w="2320" w:type="dxa"/>
            <w:vAlign w:val="bottom"/>
          </w:tcPr>
          <w:p>
            <w:pPr>
              <w:spacing w:after="0"/>
              <w:rPr>
                <w:sz w:val="20"/>
                <w:szCs w:val="20"/>
                <w:color w:val="auto"/>
              </w:rPr>
            </w:pPr>
            <w:r>
              <w:rPr>
                <w:rFonts w:ascii="Arial" w:cs="Arial" w:eastAsia="Arial" w:hAnsi="Arial"/>
                <w:sz w:val="11"/>
                <w:szCs w:val="11"/>
                <w:i w:val="1"/>
                <w:iCs w:val="1"/>
                <w:color w:val="auto"/>
              </w:rPr>
              <w:t>General and Administrative</w:t>
            </w: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283"/>
        </w:trPr>
        <w:tc>
          <w:tcPr>
            <w:tcW w:w="23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gridSpan w:val="4"/>
          </w:tcPr>
          <w:p>
            <w:pPr>
              <w:jc w:val="center"/>
              <w:ind w:left="266"/>
              <w:spacing w:after="0"/>
              <w:rPr>
                <w:sz w:val="20"/>
                <w:szCs w:val="20"/>
                <w:color w:val="auto"/>
              </w:rPr>
            </w:pPr>
            <w:r>
              <w:rPr>
                <w:rFonts w:ascii="Arial" w:cs="Arial" w:eastAsia="Arial" w:hAnsi="Arial"/>
                <w:sz w:val="11"/>
                <w:szCs w:val="11"/>
                <w:b w:val="1"/>
                <w:bCs w:val="1"/>
                <w:color w:val="050505"/>
                <w:w w:val="98"/>
              </w:rPr>
              <w:t>Fiscal Year Ended June 30,</w:t>
            </w:r>
          </w:p>
        </w:tc>
        <w:tc>
          <w:tcPr>
            <w:tcW w:w="400" w:type="dxa"/>
            <w:vAlign w:val="bottom"/>
            <w:tcBorders>
              <w:bottom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gridSpan w:val="2"/>
          </w:tcPr>
          <w:p>
            <w:pPr>
              <w:jc w:val="right"/>
              <w:spacing w:after="0"/>
              <w:rPr>
                <w:sz w:val="20"/>
                <w:szCs w:val="20"/>
                <w:color w:val="auto"/>
              </w:rPr>
            </w:pPr>
            <w:r>
              <w:rPr>
                <w:rFonts w:ascii="Arial" w:cs="Arial" w:eastAsia="Arial" w:hAnsi="Arial"/>
                <w:sz w:val="11"/>
                <w:szCs w:val="11"/>
                <w:b w:val="1"/>
                <w:bCs w:val="1"/>
                <w:color w:val="050505"/>
              </w:rPr>
              <w:t>2017 to 2018</w:t>
            </w:r>
          </w:p>
        </w:tc>
        <w:tc>
          <w:tcPr>
            <w:tcW w:w="1040" w:type="dxa"/>
            <w:vAlign w:val="bottom"/>
            <w:gridSpan w:val="3"/>
          </w:tcPr>
          <w:p>
            <w:pPr>
              <w:jc w:val="right"/>
              <w:ind w:right="40"/>
              <w:spacing w:after="0"/>
              <w:rPr>
                <w:sz w:val="20"/>
                <w:szCs w:val="20"/>
                <w:color w:val="auto"/>
              </w:rPr>
            </w:pPr>
            <w:r>
              <w:rPr>
                <w:rFonts w:ascii="Arial" w:cs="Arial" w:eastAsia="Arial" w:hAnsi="Arial"/>
                <w:sz w:val="11"/>
                <w:szCs w:val="11"/>
                <w:b w:val="1"/>
                <w:bCs w:val="1"/>
                <w:color w:val="050505"/>
              </w:rPr>
              <w:t>2018 to 2019</w:t>
            </w:r>
          </w:p>
        </w:tc>
      </w:tr>
      <w:tr>
        <w:trPr>
          <w:trHeight w:val="115"/>
        </w:trPr>
        <w:tc>
          <w:tcPr>
            <w:tcW w:w="23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jc w:val="right"/>
              <w:ind w:right="226"/>
              <w:spacing w:after="0" w:line="115" w:lineRule="exact"/>
              <w:rPr>
                <w:sz w:val="20"/>
                <w:szCs w:val="20"/>
                <w:color w:val="auto"/>
              </w:rPr>
            </w:pPr>
            <w:r>
              <w:rPr>
                <w:rFonts w:ascii="Arial" w:cs="Arial" w:eastAsia="Arial" w:hAnsi="Arial"/>
                <w:sz w:val="11"/>
                <w:szCs w:val="11"/>
                <w:b w:val="1"/>
                <w:bCs w:val="1"/>
                <w:color w:val="050505"/>
              </w:rPr>
              <w:t>2017</w:t>
            </w:r>
          </w:p>
        </w:tc>
        <w:tc>
          <w:tcPr>
            <w:tcW w:w="360" w:type="dxa"/>
            <w:vAlign w:val="bottom"/>
          </w:tcPr>
          <w:p>
            <w:pPr>
              <w:spacing w:after="0"/>
              <w:rPr>
                <w:sz w:val="10"/>
                <w:szCs w:val="10"/>
                <w:color w:val="auto"/>
              </w:rPr>
            </w:pPr>
          </w:p>
        </w:tc>
        <w:tc>
          <w:tcPr>
            <w:tcW w:w="760" w:type="dxa"/>
            <w:vAlign w:val="bottom"/>
          </w:tcPr>
          <w:p>
            <w:pPr>
              <w:jc w:val="right"/>
              <w:ind w:right="426"/>
              <w:spacing w:after="0" w:line="115" w:lineRule="exact"/>
              <w:rPr>
                <w:sz w:val="20"/>
                <w:szCs w:val="20"/>
                <w:color w:val="auto"/>
              </w:rPr>
            </w:pPr>
            <w:r>
              <w:rPr>
                <w:rFonts w:ascii="Arial" w:cs="Arial" w:eastAsia="Arial" w:hAnsi="Arial"/>
                <w:sz w:val="11"/>
                <w:szCs w:val="11"/>
                <w:b w:val="1"/>
                <w:bCs w:val="1"/>
                <w:color w:val="050505"/>
              </w:rPr>
              <w:t>2018</w:t>
            </w:r>
          </w:p>
        </w:tc>
        <w:tc>
          <w:tcPr>
            <w:tcW w:w="160" w:type="dxa"/>
            <w:vAlign w:val="bottom"/>
          </w:tcPr>
          <w:p>
            <w:pPr>
              <w:spacing w:after="0"/>
              <w:rPr>
                <w:sz w:val="10"/>
                <w:szCs w:val="10"/>
                <w:color w:val="auto"/>
              </w:rPr>
            </w:pPr>
          </w:p>
        </w:tc>
        <w:tc>
          <w:tcPr>
            <w:tcW w:w="400" w:type="dxa"/>
            <w:vAlign w:val="bottom"/>
          </w:tcPr>
          <w:p>
            <w:pPr>
              <w:jc w:val="right"/>
              <w:ind w:right="66"/>
              <w:spacing w:after="0" w:line="115" w:lineRule="exact"/>
              <w:rPr>
                <w:sz w:val="20"/>
                <w:szCs w:val="20"/>
                <w:color w:val="auto"/>
              </w:rPr>
            </w:pPr>
            <w:r>
              <w:rPr>
                <w:rFonts w:ascii="Arial" w:cs="Arial" w:eastAsia="Arial" w:hAnsi="Arial"/>
                <w:sz w:val="11"/>
                <w:szCs w:val="11"/>
                <w:b w:val="1"/>
                <w:bCs w:val="1"/>
                <w:color w:val="050505"/>
              </w:rPr>
              <w:t>2019</w:t>
            </w:r>
          </w:p>
        </w:tc>
        <w:tc>
          <w:tcPr>
            <w:tcW w:w="2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tcPr>
          <w:p>
            <w:pPr>
              <w:jc w:val="right"/>
              <w:ind w:right="6"/>
              <w:spacing w:after="0" w:line="115" w:lineRule="exact"/>
              <w:rPr>
                <w:sz w:val="20"/>
                <w:szCs w:val="20"/>
                <w:color w:val="auto"/>
              </w:rPr>
            </w:pPr>
            <w:r>
              <w:rPr>
                <w:rFonts w:ascii="Arial" w:cs="Arial" w:eastAsia="Arial" w:hAnsi="Arial"/>
                <w:sz w:val="11"/>
                <w:szCs w:val="11"/>
                <w:b w:val="1"/>
                <w:bCs w:val="1"/>
                <w:color w:val="050505"/>
              </w:rPr>
              <w:t>% Change</w:t>
            </w:r>
          </w:p>
        </w:tc>
        <w:tc>
          <w:tcPr>
            <w:tcW w:w="340" w:type="dxa"/>
            <w:vAlign w:val="bottom"/>
          </w:tcPr>
          <w:p>
            <w:pPr>
              <w:spacing w:after="0"/>
              <w:rPr>
                <w:sz w:val="10"/>
                <w:szCs w:val="10"/>
                <w:color w:val="auto"/>
              </w:rPr>
            </w:pPr>
          </w:p>
        </w:tc>
        <w:tc>
          <w:tcPr>
            <w:tcW w:w="700" w:type="dxa"/>
            <w:vAlign w:val="bottom"/>
            <w:gridSpan w:val="2"/>
          </w:tcPr>
          <w:p>
            <w:pPr>
              <w:ind w:left="60"/>
              <w:spacing w:after="0" w:line="115" w:lineRule="exact"/>
              <w:rPr>
                <w:sz w:val="20"/>
                <w:szCs w:val="20"/>
                <w:color w:val="auto"/>
              </w:rPr>
            </w:pPr>
            <w:r>
              <w:rPr>
                <w:rFonts w:ascii="Arial" w:cs="Arial" w:eastAsia="Arial" w:hAnsi="Arial"/>
                <w:sz w:val="11"/>
                <w:szCs w:val="11"/>
                <w:b w:val="1"/>
                <w:bCs w:val="1"/>
                <w:color w:val="050505"/>
              </w:rPr>
              <w:t>% Change</w:t>
            </w:r>
          </w:p>
        </w:tc>
      </w:tr>
      <w:tr>
        <w:trPr>
          <w:trHeight w:val="115"/>
        </w:trPr>
        <w:tc>
          <w:tcPr>
            <w:tcW w:w="23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1120" w:type="dxa"/>
            <w:vAlign w:val="bottom"/>
            <w:tcBorders>
              <w:top w:val="single" w:sz="8" w:color="auto"/>
            </w:tcBorders>
            <w:gridSpan w:val="2"/>
          </w:tcPr>
          <w:p>
            <w:pPr>
              <w:ind w:left="40"/>
              <w:spacing w:after="0" w:line="115" w:lineRule="exact"/>
              <w:rPr>
                <w:sz w:val="20"/>
                <w:szCs w:val="20"/>
                <w:color w:val="auto"/>
              </w:rPr>
            </w:pPr>
            <w:r>
              <w:rPr>
                <w:rFonts w:ascii="Arial" w:cs="Arial" w:eastAsia="Arial" w:hAnsi="Arial"/>
                <w:sz w:val="11"/>
                <w:szCs w:val="11"/>
                <w:b w:val="1"/>
                <w:bCs w:val="1"/>
                <w:color w:val="050505"/>
              </w:rPr>
              <w:t>(dollars in millions)</w:t>
            </w:r>
          </w:p>
        </w:tc>
        <w:tc>
          <w:tcPr>
            <w:tcW w:w="160" w:type="dxa"/>
            <w:vAlign w:val="bottom"/>
            <w:tcBorders>
              <w:top w:val="single" w:sz="8" w:color="auto"/>
            </w:tcBorders>
          </w:tcPr>
          <w:p>
            <w:pPr>
              <w:spacing w:after="0"/>
              <w:rPr>
                <w:sz w:val="10"/>
                <w:szCs w:val="10"/>
                <w:color w:val="auto"/>
              </w:rPr>
            </w:pPr>
          </w:p>
        </w:tc>
        <w:tc>
          <w:tcPr>
            <w:tcW w:w="400" w:type="dxa"/>
            <w:vAlign w:val="bottom"/>
            <w:tcBorders>
              <w:top w:val="single" w:sz="8" w:color="auto"/>
            </w:tcBorders>
          </w:tcPr>
          <w:p>
            <w:pPr>
              <w:spacing w:after="0"/>
              <w:rPr>
                <w:sz w:val="10"/>
                <w:szCs w:val="10"/>
                <w:color w:val="auto"/>
              </w:rPr>
            </w:pPr>
          </w:p>
        </w:tc>
        <w:tc>
          <w:tcPr>
            <w:tcW w:w="2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340" w:type="dxa"/>
            <w:vAlign w:val="bottom"/>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40" w:type="dxa"/>
            <w:vAlign w:val="bottom"/>
          </w:tcPr>
          <w:p>
            <w:pPr>
              <w:spacing w:after="0"/>
              <w:rPr>
                <w:sz w:val="10"/>
                <w:szCs w:val="10"/>
                <w:color w:val="auto"/>
              </w:rPr>
            </w:pPr>
          </w:p>
        </w:tc>
      </w:tr>
      <w:tr>
        <w:trPr>
          <w:trHeight w:val="126"/>
        </w:trPr>
        <w:tc>
          <w:tcPr>
            <w:tcW w:w="2320" w:type="dxa"/>
            <w:vAlign w:val="bottom"/>
            <w:shd w:val="clear" w:color="auto" w:fill="CCEEFF"/>
          </w:tcPr>
          <w:p>
            <w:pPr>
              <w:ind w:left="40"/>
              <w:spacing w:after="0"/>
              <w:rPr>
                <w:sz w:val="20"/>
                <w:szCs w:val="20"/>
                <w:color w:val="auto"/>
              </w:rPr>
            </w:pPr>
            <w:r>
              <w:rPr>
                <w:rFonts w:ascii="Arial" w:cs="Arial" w:eastAsia="Arial" w:hAnsi="Arial"/>
                <w:sz w:val="11"/>
                <w:szCs w:val="11"/>
                <w:color w:val="050505"/>
              </w:rPr>
              <w:t>General and administrative</w:t>
            </w: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1"/>
                <w:szCs w:val="11"/>
                <w:color w:val="050505"/>
              </w:rPr>
              <w:t>$</w:t>
            </w:r>
          </w:p>
        </w:tc>
        <w:tc>
          <w:tcPr>
            <w:tcW w:w="560" w:type="dxa"/>
            <w:vAlign w:val="bottom"/>
            <w:shd w:val="clear" w:color="auto" w:fill="CCEEFF"/>
          </w:tcPr>
          <w:p>
            <w:pPr>
              <w:ind w:left="200"/>
              <w:spacing w:after="0"/>
              <w:rPr>
                <w:sz w:val="20"/>
                <w:szCs w:val="20"/>
                <w:color w:val="auto"/>
              </w:rPr>
            </w:pPr>
            <w:r>
              <w:rPr>
                <w:rFonts w:ascii="Arial" w:cs="Arial" w:eastAsia="Arial" w:hAnsi="Arial"/>
                <w:sz w:val="11"/>
                <w:szCs w:val="11"/>
                <w:color w:val="050505"/>
              </w:rPr>
              <w:t>45.6</w:t>
            </w:r>
          </w:p>
        </w:tc>
        <w:tc>
          <w:tcPr>
            <w:tcW w:w="360" w:type="dxa"/>
            <w:vAlign w:val="bottom"/>
            <w:shd w:val="clear" w:color="auto" w:fill="CCEEFF"/>
          </w:tcPr>
          <w:p>
            <w:pPr>
              <w:jc w:val="right"/>
              <w:spacing w:after="0"/>
              <w:rPr>
                <w:sz w:val="20"/>
                <w:szCs w:val="20"/>
                <w:color w:val="auto"/>
              </w:rPr>
            </w:pPr>
            <w:r>
              <w:rPr>
                <w:rFonts w:ascii="Arial" w:cs="Arial" w:eastAsia="Arial" w:hAnsi="Arial"/>
                <w:sz w:val="11"/>
                <w:szCs w:val="11"/>
                <w:color w:val="050505"/>
              </w:rPr>
              <w:t>$</w:t>
            </w:r>
          </w:p>
        </w:tc>
        <w:tc>
          <w:tcPr>
            <w:tcW w:w="760" w:type="dxa"/>
            <w:vAlign w:val="bottom"/>
            <w:shd w:val="clear" w:color="auto" w:fill="CCEEFF"/>
          </w:tcPr>
          <w:p>
            <w:pPr>
              <w:ind w:left="200"/>
              <w:spacing w:after="0"/>
              <w:rPr>
                <w:sz w:val="20"/>
                <w:szCs w:val="20"/>
                <w:color w:val="auto"/>
              </w:rPr>
            </w:pPr>
            <w:r>
              <w:rPr>
                <w:rFonts w:ascii="Arial" w:cs="Arial" w:eastAsia="Arial" w:hAnsi="Arial"/>
                <w:sz w:val="11"/>
                <w:szCs w:val="11"/>
                <w:color w:val="050505"/>
              </w:rPr>
              <w:t>62.4</w:t>
            </w:r>
          </w:p>
        </w:tc>
        <w:tc>
          <w:tcPr>
            <w:tcW w:w="160" w:type="dxa"/>
            <w:vAlign w:val="bottom"/>
            <w:shd w:val="clear" w:color="auto" w:fill="CCEEFF"/>
          </w:tcPr>
          <w:p>
            <w:pPr>
              <w:jc w:val="right"/>
              <w:spacing w:after="0"/>
              <w:rPr>
                <w:sz w:val="20"/>
                <w:szCs w:val="20"/>
                <w:color w:val="auto"/>
              </w:rPr>
            </w:pPr>
            <w:r>
              <w:rPr>
                <w:rFonts w:ascii="Arial" w:cs="Arial" w:eastAsia="Arial" w:hAnsi="Arial"/>
                <w:sz w:val="11"/>
                <w:szCs w:val="11"/>
                <w:color w:val="050505"/>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1"/>
                <w:szCs w:val="11"/>
                <w:color w:val="050505"/>
              </w:rPr>
              <w:t>207.0</w:t>
            </w:r>
          </w:p>
        </w:tc>
        <w:tc>
          <w:tcPr>
            <w:tcW w:w="260" w:type="dxa"/>
            <w:vAlign w:val="bottom"/>
            <w:shd w:val="clear" w:color="auto" w:fill="CCEEFF"/>
          </w:tcPr>
          <w:p>
            <w:pPr>
              <w:spacing w:after="0"/>
              <w:rPr>
                <w:sz w:val="10"/>
                <w:szCs w:val="10"/>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050505"/>
              </w:rPr>
              <w:t>36.8%</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050505"/>
              </w:rPr>
              <w:t>231.5%</w:t>
            </w:r>
          </w:p>
        </w:tc>
        <w:tc>
          <w:tcPr>
            <w:tcW w:w="40" w:type="dxa"/>
            <w:vAlign w:val="bottom"/>
            <w:shd w:val="clear" w:color="auto" w:fill="CCEEFF"/>
          </w:tcPr>
          <w:p>
            <w:pPr>
              <w:spacing w:after="0"/>
              <w:rPr>
                <w:sz w:val="10"/>
                <w:szCs w:val="10"/>
                <w:color w:val="auto"/>
              </w:rPr>
            </w:pPr>
          </w:p>
        </w:tc>
      </w:tr>
      <w:tr>
        <w:trPr>
          <w:trHeight w:val="140"/>
        </w:trPr>
        <w:tc>
          <w:tcPr>
            <w:tcW w:w="2320" w:type="dxa"/>
            <w:vAlign w:val="bottom"/>
          </w:tcPr>
          <w:p>
            <w:pPr>
              <w:ind w:left="160"/>
              <w:spacing w:after="0"/>
              <w:rPr>
                <w:sz w:val="20"/>
                <w:szCs w:val="20"/>
                <w:color w:val="auto"/>
              </w:rPr>
            </w:pPr>
            <w:r>
              <w:rPr>
                <w:rFonts w:ascii="Arial" w:cs="Arial" w:eastAsia="Arial" w:hAnsi="Arial"/>
                <w:sz w:val="11"/>
                <w:szCs w:val="11"/>
                <w:i w:val="1"/>
                <w:iCs w:val="1"/>
                <w:color w:val="050505"/>
              </w:rPr>
              <w:t>As a percentage of total revenue</w:t>
            </w: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ind w:left="200"/>
              <w:spacing w:after="0"/>
              <w:rPr>
                <w:sz w:val="20"/>
                <w:szCs w:val="20"/>
                <w:color w:val="auto"/>
              </w:rPr>
            </w:pPr>
            <w:r>
              <w:rPr>
                <w:rFonts w:ascii="Arial" w:cs="Arial" w:eastAsia="Arial" w:hAnsi="Arial"/>
                <w:sz w:val="11"/>
                <w:szCs w:val="11"/>
                <w:i w:val="1"/>
                <w:iCs w:val="1"/>
                <w:color w:val="050505"/>
              </w:rPr>
              <w:t>20.9%</w:t>
            </w:r>
          </w:p>
        </w:tc>
        <w:tc>
          <w:tcPr>
            <w:tcW w:w="360" w:type="dxa"/>
            <w:vAlign w:val="bottom"/>
          </w:tcPr>
          <w:p>
            <w:pPr>
              <w:spacing w:after="0"/>
              <w:rPr>
                <w:sz w:val="12"/>
                <w:szCs w:val="12"/>
                <w:color w:val="auto"/>
              </w:rPr>
            </w:pPr>
          </w:p>
        </w:tc>
        <w:tc>
          <w:tcPr>
            <w:tcW w:w="760" w:type="dxa"/>
            <w:vAlign w:val="bottom"/>
          </w:tcPr>
          <w:p>
            <w:pPr>
              <w:ind w:left="200"/>
              <w:spacing w:after="0"/>
              <w:rPr>
                <w:sz w:val="20"/>
                <w:szCs w:val="20"/>
                <w:color w:val="auto"/>
              </w:rPr>
            </w:pPr>
            <w:r>
              <w:rPr>
                <w:rFonts w:ascii="Arial" w:cs="Arial" w:eastAsia="Arial" w:hAnsi="Arial"/>
                <w:sz w:val="11"/>
                <w:szCs w:val="11"/>
                <w:i w:val="1"/>
                <w:iCs w:val="1"/>
                <w:color w:val="050505"/>
              </w:rPr>
              <w:t>14.4%</w:t>
            </w:r>
          </w:p>
        </w:tc>
        <w:tc>
          <w:tcPr>
            <w:tcW w:w="160" w:type="dxa"/>
            <w:vAlign w:val="bottom"/>
          </w:tcPr>
          <w:p>
            <w:pPr>
              <w:spacing w:after="0"/>
              <w:rPr>
                <w:sz w:val="12"/>
                <w:szCs w:val="12"/>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1"/>
                <w:szCs w:val="11"/>
                <w:i w:val="1"/>
                <w:iCs w:val="1"/>
                <w:color w:val="050505"/>
              </w:rPr>
              <w:t>22.6%</w:t>
            </w: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r>
    </w:tbl>
    <w:p>
      <w:pPr>
        <w:spacing w:after="0" w:line="122" w:lineRule="exact"/>
        <w:rPr>
          <w:sz w:val="20"/>
          <w:szCs w:val="20"/>
          <w:color w:val="auto"/>
        </w:rPr>
      </w:pPr>
    </w:p>
    <w:p>
      <w:pPr>
        <w:ind w:left="2060"/>
        <w:spacing w:after="0"/>
        <w:rPr>
          <w:sz w:val="20"/>
          <w:szCs w:val="20"/>
          <w:color w:val="auto"/>
        </w:rPr>
      </w:pPr>
      <w:r>
        <w:rPr>
          <w:rFonts w:ascii="Arial" w:cs="Arial" w:eastAsia="Arial" w:hAnsi="Arial"/>
          <w:sz w:val="11"/>
          <w:szCs w:val="11"/>
          <w:i w:val="1"/>
          <w:iCs w:val="1"/>
          <w:color w:val="auto"/>
        </w:rPr>
        <w:t>2018 Compared to 2019</w:t>
      </w:r>
    </w:p>
    <w:p>
      <w:pPr>
        <w:spacing w:after="0" w:line="154" w:lineRule="exact"/>
        <w:rPr>
          <w:sz w:val="20"/>
          <w:szCs w:val="20"/>
          <w:color w:val="auto"/>
        </w:rPr>
      </w:pPr>
    </w:p>
    <w:p>
      <w:pPr>
        <w:jc w:val="both"/>
        <w:ind w:left="2060" w:right="839"/>
        <w:spacing w:after="0"/>
        <w:rPr>
          <w:sz w:val="20"/>
          <w:szCs w:val="20"/>
          <w:color w:val="auto"/>
        </w:rPr>
      </w:pPr>
      <w:r>
        <w:rPr>
          <w:rFonts w:ascii="Arial" w:cs="Arial" w:eastAsia="Arial" w:hAnsi="Arial"/>
          <w:sz w:val="11"/>
          <w:szCs w:val="11"/>
          <w:color w:val="050505"/>
        </w:rPr>
        <w:t>General and administrative expense for fiscal 2019 increased $144.6 million, or 231.5%, compared to fiscal 2018. The increase was due primarily to an increase of $64.1 million in stock-based compensation expense, of which $50.6 million related to the tender offer completed in October 2018. Professional fees, comprised of legal, accounting, and consulting fees, increased by $24.4 million. In addition, personnel-related expenses, excluding stock-based compensation expense, increased by $22.7 million due to increased headcount. We also incurred an additional $8.4 million expense relating to new system implementations and software licenses to support our growth and scale our operations, and facilities costs increased $12.9 million, of which $7.2 million was lease expense related to build-to-suit obligations.</w:t>
      </w:r>
    </w:p>
    <w:p>
      <w:pPr>
        <w:spacing w:after="0" w:line="132" w:lineRule="exact"/>
        <w:rPr>
          <w:sz w:val="20"/>
          <w:szCs w:val="20"/>
          <w:color w:val="auto"/>
        </w:rPr>
      </w:pPr>
    </w:p>
    <w:p>
      <w:pPr>
        <w:ind w:left="2060"/>
        <w:spacing w:after="0"/>
        <w:rPr>
          <w:sz w:val="20"/>
          <w:szCs w:val="20"/>
          <w:color w:val="auto"/>
        </w:rPr>
      </w:pPr>
      <w:r>
        <w:rPr>
          <w:rFonts w:ascii="Arial" w:cs="Arial" w:eastAsia="Arial" w:hAnsi="Arial"/>
          <w:sz w:val="11"/>
          <w:szCs w:val="11"/>
          <w:i w:val="1"/>
          <w:iCs w:val="1"/>
          <w:color w:val="auto"/>
        </w:rPr>
        <w:t>2017 Compared to 2018</w:t>
      </w:r>
    </w:p>
    <w:p>
      <w:pPr>
        <w:spacing w:after="0" w:line="154" w:lineRule="exact"/>
        <w:rPr>
          <w:sz w:val="20"/>
          <w:szCs w:val="20"/>
          <w:color w:val="auto"/>
        </w:rPr>
      </w:pPr>
    </w:p>
    <w:p>
      <w:pPr>
        <w:jc w:val="both"/>
        <w:ind w:left="2060" w:right="839"/>
        <w:spacing w:after="0"/>
        <w:rPr>
          <w:sz w:val="20"/>
          <w:szCs w:val="20"/>
          <w:color w:val="auto"/>
        </w:rPr>
      </w:pPr>
      <w:r>
        <w:rPr>
          <w:rFonts w:ascii="Arial" w:cs="Arial" w:eastAsia="Arial" w:hAnsi="Arial"/>
          <w:sz w:val="11"/>
          <w:szCs w:val="11"/>
          <w:color w:val="050505"/>
        </w:rPr>
        <w:t>General and administrative expense for fiscal 2018 increased $16.8 million, or 36.8%, compared to fiscal 2017. The increase was primarily due to an additional $6.5 million in professional services fees, $6.4 million in personnel-related expenses, excluding stock-based compensation expense, due to increased headcount, $2.5 million in new system implementations and licenses to support our growth and scale our operations, and $2.3 million of facilities costs from additional leased office space. These costs were partially offset by a decrease of $3.0 million in stock-based compensation expense due to an incremental $8.3 million charge incurred in fiscal 2017 related to the tender offer completed in June 2017.</w:t>
      </w:r>
    </w:p>
    <w:p>
      <w:pPr>
        <w:spacing w:after="0" w:line="97" w:lineRule="exact"/>
        <w:rPr>
          <w:sz w:val="20"/>
          <w:szCs w:val="20"/>
          <w:color w:val="auto"/>
        </w:rPr>
      </w:pPr>
    </w:p>
    <w:p>
      <w:pPr>
        <w:ind w:left="5680"/>
        <w:spacing w:after="0"/>
        <w:rPr>
          <w:sz w:val="20"/>
          <w:szCs w:val="20"/>
          <w:color w:val="auto"/>
        </w:rPr>
      </w:pPr>
      <w:r>
        <w:rPr>
          <w:rFonts w:ascii="Arial" w:cs="Arial" w:eastAsia="Arial" w:hAnsi="Arial"/>
          <w:sz w:val="11"/>
          <w:szCs w:val="11"/>
          <w:color w:val="050505"/>
        </w:rPr>
        <w:t>76</w:t>
      </w:r>
    </w:p>
    <w:p>
      <w:pPr>
        <w:sectPr>
          <w:pgSz w:w="11900" w:h="16838" w:orient="portrait"/>
          <w:cols w:equalWidth="0" w:num="1">
            <w:col w:w="10239"/>
          </w:cols>
          <w:pgMar w:left="220" w:top="354" w:right="1440" w:bottom="1440" w:gutter="0" w:footer="0" w:header="0"/>
        </w:sectPr>
      </w:pPr>
    </w:p>
    <w:bookmarkStart w:id="81" w:name="page82"/>
    <w:bookmarkEnd w:id="81"/>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hyperlink w:anchor="page5">
        <w:r>
          <w:rPr>
            <w:rFonts w:ascii="Arial" w:cs="Arial" w:eastAsia="Arial" w:hAnsi="Arial"/>
            <w:sz w:val="12"/>
            <w:szCs w:val="12"/>
            <w:b w:val="1"/>
            <w:bCs w:val="1"/>
            <w:u w:val="single" w:color="auto"/>
            <w:color w:val="0000EE"/>
          </w:rPr>
          <w:t>Table of Contents</w:t>
        </w:r>
      </w:hyperlink>
    </w:p>
    <w:p>
      <w:pPr>
        <w:spacing w:after="0" w:line="204" w:lineRule="exact"/>
        <w:rPr>
          <w:sz w:val="20"/>
          <w:szCs w:val="20"/>
          <w:color w:val="auto"/>
        </w:rPr>
      </w:pPr>
    </w:p>
    <w:tbl>
      <w:tblPr>
        <w:tblLayout w:type="fixed"/>
        <w:tblInd w:w="2060" w:type="dxa"/>
        <w:tblCellMar>
          <w:top w:w="0" w:type="dxa"/>
          <w:left w:w="0" w:type="dxa"/>
          <w:bottom w:w="0" w:type="dxa"/>
          <w:right w:w="0" w:type="dxa"/>
        </w:tblCellMar>
      </w:tblPr>
      <w:tr>
        <w:trPr>
          <w:trHeight w:val="142"/>
        </w:trPr>
        <w:tc>
          <w:tcPr>
            <w:tcW w:w="4480" w:type="dxa"/>
            <w:vAlign w:val="bottom"/>
            <w:gridSpan w:val="6"/>
          </w:tcPr>
          <w:p>
            <w:pPr>
              <w:jc w:val="right"/>
              <w:ind w:right="546"/>
              <w:spacing w:after="0"/>
              <w:rPr>
                <w:sz w:val="20"/>
                <w:szCs w:val="20"/>
                <w:color w:val="auto"/>
              </w:rPr>
            </w:pPr>
            <w:r>
              <w:rPr>
                <w:rFonts w:ascii="Arial" w:cs="Arial" w:eastAsia="Arial" w:hAnsi="Arial"/>
                <w:sz w:val="11"/>
                <w:szCs w:val="11"/>
                <w:b w:val="1"/>
                <w:bCs w:val="1"/>
                <w:i w:val="1"/>
                <w:iCs w:val="1"/>
                <w:color w:val="auto"/>
                <w:w w:val="97"/>
              </w:rPr>
              <w:t>Other Income (Expense), Net and Provision for (Benefit from) Income Taxes</w:t>
            </w: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283"/>
        </w:trPr>
        <w:tc>
          <w:tcPr>
            <w:tcW w:w="19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gridSpan w:val="2"/>
          </w:tcPr>
          <w:p>
            <w:pPr>
              <w:jc w:val="right"/>
              <w:spacing w:after="0"/>
              <w:rPr>
                <w:sz w:val="20"/>
                <w:szCs w:val="20"/>
                <w:color w:val="auto"/>
              </w:rPr>
            </w:pPr>
            <w:r>
              <w:rPr>
                <w:rFonts w:ascii="Arial" w:cs="Arial" w:eastAsia="Arial" w:hAnsi="Arial"/>
                <w:sz w:val="11"/>
                <w:szCs w:val="11"/>
                <w:b w:val="1"/>
                <w:bCs w:val="1"/>
                <w:color w:val="050505"/>
                <w:w w:val="97"/>
              </w:rPr>
              <w:t>Fiscal Year Ended June 30,</w:t>
            </w:r>
          </w:p>
        </w:tc>
        <w:tc>
          <w:tcPr>
            <w:tcW w:w="16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340" w:type="dxa"/>
            <w:vAlign w:val="bottom"/>
            <w:gridSpan w:val="3"/>
          </w:tcPr>
          <w:p>
            <w:pPr>
              <w:jc w:val="right"/>
              <w:ind w:right="300"/>
              <w:spacing w:after="0"/>
              <w:rPr>
                <w:sz w:val="20"/>
                <w:szCs w:val="20"/>
                <w:color w:val="auto"/>
              </w:rPr>
            </w:pPr>
            <w:r>
              <w:rPr>
                <w:rFonts w:ascii="Arial" w:cs="Arial" w:eastAsia="Arial" w:hAnsi="Arial"/>
                <w:sz w:val="11"/>
                <w:szCs w:val="11"/>
                <w:b w:val="1"/>
                <w:bCs w:val="1"/>
                <w:color w:val="050505"/>
              </w:rPr>
              <w:t>2017 to 2018</w:t>
            </w:r>
          </w:p>
        </w:tc>
        <w:tc>
          <w:tcPr>
            <w:tcW w:w="900" w:type="dxa"/>
            <w:vAlign w:val="bottom"/>
            <w:gridSpan w:val="3"/>
          </w:tcPr>
          <w:p>
            <w:pPr>
              <w:jc w:val="right"/>
              <w:ind w:right="40"/>
              <w:spacing w:after="0"/>
              <w:rPr>
                <w:sz w:val="20"/>
                <w:szCs w:val="20"/>
                <w:color w:val="auto"/>
              </w:rPr>
            </w:pPr>
            <w:r>
              <w:rPr>
                <w:rFonts w:ascii="Arial" w:cs="Arial" w:eastAsia="Arial" w:hAnsi="Arial"/>
                <w:sz w:val="11"/>
                <w:szCs w:val="11"/>
                <w:b w:val="1"/>
                <w:bCs w:val="1"/>
                <w:color w:val="050505"/>
              </w:rPr>
              <w:t>2018 to 2019</w:t>
            </w:r>
          </w:p>
        </w:tc>
      </w:tr>
      <w:tr>
        <w:trPr>
          <w:trHeight w:val="115"/>
        </w:trPr>
        <w:tc>
          <w:tcPr>
            <w:tcW w:w="19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jc w:val="right"/>
              <w:ind w:right="166"/>
              <w:spacing w:after="0" w:line="115" w:lineRule="exact"/>
              <w:rPr>
                <w:sz w:val="20"/>
                <w:szCs w:val="20"/>
                <w:color w:val="auto"/>
              </w:rPr>
            </w:pPr>
            <w:r>
              <w:rPr>
                <w:rFonts w:ascii="Arial" w:cs="Arial" w:eastAsia="Arial" w:hAnsi="Arial"/>
                <w:sz w:val="11"/>
                <w:szCs w:val="11"/>
                <w:b w:val="1"/>
                <w:bCs w:val="1"/>
                <w:color w:val="050505"/>
              </w:rPr>
              <w:t>2017</w:t>
            </w:r>
          </w:p>
        </w:tc>
        <w:tc>
          <w:tcPr>
            <w:tcW w:w="560" w:type="dxa"/>
            <w:vAlign w:val="bottom"/>
          </w:tcPr>
          <w:p>
            <w:pPr>
              <w:spacing w:after="0"/>
              <w:rPr>
                <w:sz w:val="10"/>
                <w:szCs w:val="10"/>
                <w:color w:val="auto"/>
              </w:rPr>
            </w:pPr>
          </w:p>
        </w:tc>
        <w:tc>
          <w:tcPr>
            <w:tcW w:w="880" w:type="dxa"/>
            <w:vAlign w:val="bottom"/>
          </w:tcPr>
          <w:p>
            <w:pPr>
              <w:jc w:val="right"/>
              <w:ind w:right="526"/>
              <w:spacing w:after="0" w:line="115" w:lineRule="exact"/>
              <w:rPr>
                <w:sz w:val="20"/>
                <w:szCs w:val="20"/>
                <w:color w:val="auto"/>
              </w:rPr>
            </w:pPr>
            <w:r>
              <w:rPr>
                <w:rFonts w:ascii="Arial" w:cs="Arial" w:eastAsia="Arial" w:hAnsi="Arial"/>
                <w:sz w:val="11"/>
                <w:szCs w:val="11"/>
                <w:b w:val="1"/>
                <w:bCs w:val="1"/>
                <w:color w:val="050505"/>
              </w:rPr>
              <w:t>2018</w:t>
            </w:r>
          </w:p>
        </w:tc>
        <w:tc>
          <w:tcPr>
            <w:tcW w:w="160" w:type="dxa"/>
            <w:vAlign w:val="bottom"/>
          </w:tcPr>
          <w:p>
            <w:pPr>
              <w:spacing w:after="0"/>
              <w:rPr>
                <w:sz w:val="10"/>
                <w:szCs w:val="10"/>
                <w:color w:val="auto"/>
              </w:rPr>
            </w:pPr>
          </w:p>
        </w:tc>
        <w:tc>
          <w:tcPr>
            <w:tcW w:w="480" w:type="dxa"/>
            <w:vAlign w:val="bottom"/>
          </w:tcPr>
          <w:p>
            <w:pPr>
              <w:jc w:val="right"/>
              <w:ind w:right="126"/>
              <w:spacing w:after="0" w:line="115" w:lineRule="exact"/>
              <w:rPr>
                <w:sz w:val="20"/>
                <w:szCs w:val="20"/>
                <w:color w:val="auto"/>
              </w:rPr>
            </w:pPr>
            <w:r>
              <w:rPr>
                <w:rFonts w:ascii="Arial" w:cs="Arial" w:eastAsia="Arial" w:hAnsi="Arial"/>
                <w:sz w:val="11"/>
                <w:szCs w:val="11"/>
                <w:b w:val="1"/>
                <w:bCs w:val="1"/>
                <w:color w:val="050505"/>
              </w:rPr>
              <w:t>2019</w:t>
            </w:r>
          </w:p>
        </w:tc>
        <w:tc>
          <w:tcPr>
            <w:tcW w:w="400" w:type="dxa"/>
            <w:vAlign w:val="bottom"/>
          </w:tcPr>
          <w:p>
            <w:pPr>
              <w:spacing w:after="0"/>
              <w:rPr>
                <w:sz w:val="10"/>
                <w:szCs w:val="10"/>
                <w:color w:val="auto"/>
              </w:rPr>
            </w:pPr>
          </w:p>
        </w:tc>
        <w:tc>
          <w:tcPr>
            <w:tcW w:w="940" w:type="dxa"/>
            <w:vAlign w:val="bottom"/>
            <w:gridSpan w:val="2"/>
          </w:tcPr>
          <w:p>
            <w:pPr>
              <w:jc w:val="right"/>
              <w:ind w:right="360"/>
              <w:spacing w:after="0" w:line="115" w:lineRule="exact"/>
              <w:rPr>
                <w:sz w:val="20"/>
                <w:szCs w:val="20"/>
                <w:color w:val="auto"/>
              </w:rPr>
            </w:pPr>
            <w:r>
              <w:rPr>
                <w:rFonts w:ascii="Arial" w:cs="Arial" w:eastAsia="Arial" w:hAnsi="Arial"/>
                <w:sz w:val="11"/>
                <w:szCs w:val="11"/>
                <w:b w:val="1"/>
                <w:bCs w:val="1"/>
                <w:color w:val="050505"/>
              </w:rPr>
              <w:t>% Change</w:t>
            </w:r>
          </w:p>
        </w:tc>
        <w:tc>
          <w:tcPr>
            <w:tcW w:w="200" w:type="dxa"/>
            <w:vAlign w:val="bottom"/>
          </w:tcPr>
          <w:p>
            <w:pPr>
              <w:spacing w:after="0"/>
              <w:rPr>
                <w:sz w:val="10"/>
                <w:szCs w:val="10"/>
                <w:color w:val="auto"/>
              </w:rPr>
            </w:pPr>
          </w:p>
        </w:tc>
        <w:tc>
          <w:tcPr>
            <w:tcW w:w="700" w:type="dxa"/>
            <w:vAlign w:val="bottom"/>
            <w:gridSpan w:val="2"/>
          </w:tcPr>
          <w:p>
            <w:pPr>
              <w:ind w:left="60"/>
              <w:spacing w:after="0" w:line="115" w:lineRule="exact"/>
              <w:rPr>
                <w:sz w:val="20"/>
                <w:szCs w:val="20"/>
                <w:color w:val="auto"/>
              </w:rPr>
            </w:pPr>
            <w:r>
              <w:rPr>
                <w:rFonts w:ascii="Arial" w:cs="Arial" w:eastAsia="Arial" w:hAnsi="Arial"/>
                <w:sz w:val="11"/>
                <w:szCs w:val="11"/>
                <w:b w:val="1"/>
                <w:bCs w:val="1"/>
                <w:color w:val="050505"/>
              </w:rPr>
              <w:t>% Change</w:t>
            </w:r>
          </w:p>
        </w:tc>
      </w:tr>
      <w:tr>
        <w:trPr>
          <w:trHeight w:val="115"/>
        </w:trPr>
        <w:tc>
          <w:tcPr>
            <w:tcW w:w="19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520" w:type="dxa"/>
            <w:vAlign w:val="bottom"/>
            <w:tcBorders>
              <w:top w:val="single" w:sz="8" w:color="auto"/>
            </w:tcBorders>
          </w:tcPr>
          <w:p>
            <w:pPr>
              <w:spacing w:after="0"/>
              <w:rPr>
                <w:sz w:val="10"/>
                <w:szCs w:val="10"/>
                <w:color w:val="auto"/>
              </w:rPr>
            </w:pPr>
          </w:p>
        </w:tc>
        <w:tc>
          <w:tcPr>
            <w:tcW w:w="1440" w:type="dxa"/>
            <w:vAlign w:val="bottom"/>
            <w:tcBorders>
              <w:top w:val="single" w:sz="8" w:color="auto"/>
            </w:tcBorders>
            <w:gridSpan w:val="2"/>
          </w:tcPr>
          <w:p>
            <w:pPr>
              <w:jc w:val="right"/>
              <w:ind w:right="166"/>
              <w:spacing w:after="0" w:line="115" w:lineRule="exact"/>
              <w:rPr>
                <w:sz w:val="20"/>
                <w:szCs w:val="20"/>
                <w:color w:val="auto"/>
              </w:rPr>
            </w:pPr>
            <w:r>
              <w:rPr>
                <w:rFonts w:ascii="Arial" w:cs="Arial" w:eastAsia="Arial" w:hAnsi="Arial"/>
                <w:sz w:val="11"/>
                <w:szCs w:val="11"/>
                <w:b w:val="1"/>
                <w:bCs w:val="1"/>
                <w:color w:val="050505"/>
              </w:rPr>
              <w:t>(dollars in millions)</w:t>
            </w:r>
          </w:p>
        </w:tc>
        <w:tc>
          <w:tcPr>
            <w:tcW w:w="16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400" w:type="dxa"/>
            <w:vAlign w:val="bottom"/>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2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40" w:type="dxa"/>
            <w:vAlign w:val="bottom"/>
          </w:tcPr>
          <w:p>
            <w:pPr>
              <w:spacing w:after="0"/>
              <w:rPr>
                <w:sz w:val="10"/>
                <w:szCs w:val="10"/>
                <w:color w:val="auto"/>
              </w:rPr>
            </w:pPr>
          </w:p>
        </w:tc>
      </w:tr>
      <w:tr>
        <w:trPr>
          <w:trHeight w:val="126"/>
        </w:trPr>
        <w:tc>
          <w:tcPr>
            <w:tcW w:w="1900" w:type="dxa"/>
            <w:vAlign w:val="bottom"/>
            <w:shd w:val="clear" w:color="auto" w:fill="CCEEFF"/>
          </w:tcPr>
          <w:p>
            <w:pPr>
              <w:ind w:left="40"/>
              <w:spacing w:after="0"/>
              <w:rPr>
                <w:sz w:val="20"/>
                <w:szCs w:val="20"/>
                <w:color w:val="auto"/>
              </w:rPr>
            </w:pPr>
            <w:r>
              <w:rPr>
                <w:rFonts w:ascii="Arial" w:cs="Arial" w:eastAsia="Arial" w:hAnsi="Arial"/>
                <w:sz w:val="11"/>
                <w:szCs w:val="11"/>
                <w:color w:val="050505"/>
              </w:rPr>
              <w:t>Other (expense) income, net</w:t>
            </w: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050505"/>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1"/>
                <w:szCs w:val="11"/>
                <w:color w:val="050505"/>
              </w:rPr>
              <w:t>(0.3)</w:t>
            </w:r>
          </w:p>
        </w:tc>
        <w:tc>
          <w:tcPr>
            <w:tcW w:w="56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050505"/>
              </w:rPr>
              <w:t>$</w:t>
            </w:r>
          </w:p>
        </w:tc>
        <w:tc>
          <w:tcPr>
            <w:tcW w:w="880" w:type="dxa"/>
            <w:vAlign w:val="bottom"/>
            <w:shd w:val="clear" w:color="auto" w:fill="CCEEFF"/>
          </w:tcPr>
          <w:p>
            <w:pPr>
              <w:jc w:val="right"/>
              <w:ind w:right="306"/>
              <w:spacing w:after="0"/>
              <w:rPr>
                <w:sz w:val="20"/>
                <w:szCs w:val="20"/>
                <w:color w:val="auto"/>
              </w:rPr>
            </w:pPr>
            <w:r>
              <w:rPr>
                <w:rFonts w:ascii="Arial" w:cs="Arial" w:eastAsia="Arial" w:hAnsi="Arial"/>
                <w:sz w:val="11"/>
                <w:szCs w:val="11"/>
                <w:color w:val="050505"/>
              </w:rPr>
              <w:t>(0.3)</w:t>
            </w:r>
          </w:p>
        </w:tc>
        <w:tc>
          <w:tcPr>
            <w:tcW w:w="16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050505"/>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1"/>
                <w:szCs w:val="11"/>
                <w:color w:val="050505"/>
              </w:rPr>
              <w:t>6.7</w:t>
            </w:r>
          </w:p>
        </w:tc>
        <w:tc>
          <w:tcPr>
            <w:tcW w:w="1340" w:type="dxa"/>
            <w:vAlign w:val="bottom"/>
            <w:gridSpan w:val="3"/>
            <w:shd w:val="clear" w:color="auto" w:fill="CCEEFF"/>
          </w:tcPr>
          <w:p>
            <w:pPr>
              <w:jc w:val="right"/>
              <w:ind w:right="200"/>
              <w:spacing w:after="0"/>
              <w:rPr>
                <w:sz w:val="20"/>
                <w:szCs w:val="20"/>
                <w:color w:val="auto"/>
              </w:rPr>
            </w:pPr>
            <w:r>
              <w:rPr>
                <w:rFonts w:ascii="Arial" w:cs="Arial" w:eastAsia="Arial" w:hAnsi="Arial"/>
                <w:sz w:val="11"/>
                <w:szCs w:val="11"/>
                <w:color w:val="050505"/>
              </w:rPr>
              <w:t>22.8%</w:t>
            </w:r>
          </w:p>
        </w:tc>
        <w:tc>
          <w:tcPr>
            <w:tcW w:w="200" w:type="dxa"/>
            <w:vAlign w:val="bottom"/>
            <w:shd w:val="clear" w:color="auto" w:fill="CCEEFF"/>
          </w:tcPr>
          <w:p>
            <w:pPr>
              <w:spacing w:after="0"/>
              <w:rPr>
                <w:sz w:val="10"/>
                <w:szCs w:val="10"/>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050505"/>
              </w:rPr>
              <w:t>NM</w:t>
            </w:r>
          </w:p>
        </w:tc>
      </w:tr>
      <w:tr>
        <w:trPr>
          <w:trHeight w:val="131"/>
        </w:trPr>
        <w:tc>
          <w:tcPr>
            <w:tcW w:w="1900" w:type="dxa"/>
            <w:vAlign w:val="bottom"/>
          </w:tcPr>
          <w:p>
            <w:pPr>
              <w:ind w:left="40"/>
              <w:spacing w:after="0"/>
              <w:rPr>
                <w:sz w:val="20"/>
                <w:szCs w:val="20"/>
                <w:color w:val="auto"/>
              </w:rPr>
            </w:pPr>
            <w:r>
              <w:rPr>
                <w:rFonts w:ascii="Arial" w:cs="Arial" w:eastAsia="Arial" w:hAnsi="Arial"/>
                <w:sz w:val="11"/>
                <w:szCs w:val="11"/>
                <w:color w:val="050505"/>
              </w:rPr>
              <w:t>Provision for income taxes</w:t>
            </w: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050505"/>
              </w:rPr>
              <w:t>—</w:t>
            </w:r>
          </w:p>
        </w:tc>
        <w:tc>
          <w:tcPr>
            <w:tcW w:w="560" w:type="dxa"/>
            <w:vAlign w:val="bottom"/>
          </w:tcPr>
          <w:p>
            <w:pPr>
              <w:spacing w:after="0"/>
              <w:rPr>
                <w:sz w:val="11"/>
                <w:szCs w:val="11"/>
                <w:color w:val="auto"/>
              </w:rPr>
            </w:pPr>
          </w:p>
        </w:tc>
        <w:tc>
          <w:tcPr>
            <w:tcW w:w="880" w:type="dxa"/>
            <w:vAlign w:val="bottom"/>
          </w:tcPr>
          <w:p>
            <w:pPr>
              <w:jc w:val="right"/>
              <w:ind w:right="346"/>
              <w:spacing w:after="0"/>
              <w:rPr>
                <w:sz w:val="20"/>
                <w:szCs w:val="20"/>
                <w:color w:val="auto"/>
              </w:rPr>
            </w:pPr>
            <w:r>
              <w:rPr>
                <w:rFonts w:ascii="Arial" w:cs="Arial" w:eastAsia="Arial" w:hAnsi="Arial"/>
                <w:sz w:val="11"/>
                <w:szCs w:val="11"/>
                <w:color w:val="050505"/>
              </w:rPr>
              <w:t>0.1</w:t>
            </w:r>
          </w:p>
        </w:tc>
        <w:tc>
          <w:tcPr>
            <w:tcW w:w="16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050505"/>
              </w:rPr>
              <w:t>0.1</w:t>
            </w:r>
          </w:p>
        </w:tc>
        <w:tc>
          <w:tcPr>
            <w:tcW w:w="400" w:type="dxa"/>
            <w:vAlign w:val="bottom"/>
          </w:tcPr>
          <w:p>
            <w:pPr>
              <w:spacing w:after="0"/>
              <w:rPr>
                <w:sz w:val="11"/>
                <w:szCs w:val="11"/>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1"/>
                <w:szCs w:val="11"/>
                <w:color w:val="050505"/>
              </w:rPr>
              <w:t>NM</w:t>
            </w:r>
          </w:p>
        </w:tc>
        <w:tc>
          <w:tcPr>
            <w:tcW w:w="200" w:type="dxa"/>
            <w:vAlign w:val="bottom"/>
          </w:tcPr>
          <w:p>
            <w:pPr>
              <w:spacing w:after="0"/>
              <w:rPr>
                <w:sz w:val="11"/>
                <w:szCs w:val="11"/>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1"/>
                <w:szCs w:val="11"/>
                <w:color w:val="050505"/>
              </w:rPr>
              <w:t>NM</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1310640</wp:posOffset>
            </wp:positionH>
            <wp:positionV relativeFrom="paragraph">
              <wp:posOffset>53975</wp:posOffset>
            </wp:positionV>
            <wp:extent cx="1212215" cy="571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212215" cy="5715"/>
                    </a:xfrm>
                    <a:prstGeom prst="rect">
                      <a:avLst/>
                    </a:prstGeom>
                    <a:noFill/>
                  </pic:spPr>
                </pic:pic>
              </a:graphicData>
            </a:graphic>
          </wp:anchor>
        </w:drawing>
      </w:r>
    </w:p>
    <w:p>
      <w:pPr>
        <w:spacing w:after="0" w:line="97" w:lineRule="exact"/>
        <w:rPr>
          <w:sz w:val="20"/>
          <w:szCs w:val="20"/>
          <w:color w:val="auto"/>
        </w:rPr>
      </w:pPr>
    </w:p>
    <w:p>
      <w:pPr>
        <w:ind w:left="2060"/>
        <w:spacing w:after="0"/>
        <w:rPr>
          <w:sz w:val="20"/>
          <w:szCs w:val="20"/>
          <w:color w:val="auto"/>
        </w:rPr>
      </w:pPr>
      <w:r>
        <w:rPr>
          <w:rFonts w:ascii="Arial" w:cs="Arial" w:eastAsia="Arial" w:hAnsi="Arial"/>
          <w:sz w:val="8"/>
          <w:szCs w:val="8"/>
          <w:color w:val="050505"/>
        </w:rPr>
        <w:t>*NM—not meaningful</w:t>
      </w:r>
    </w:p>
    <w:p>
      <w:pPr>
        <w:spacing w:after="0" w:line="147" w:lineRule="exact"/>
        <w:rPr>
          <w:sz w:val="20"/>
          <w:szCs w:val="20"/>
          <w:color w:val="auto"/>
        </w:rPr>
      </w:pPr>
    </w:p>
    <w:p>
      <w:pPr>
        <w:jc w:val="both"/>
        <w:ind w:left="2060" w:right="839"/>
        <w:spacing w:after="0" w:line="242" w:lineRule="auto"/>
        <w:rPr>
          <w:sz w:val="20"/>
          <w:szCs w:val="20"/>
          <w:color w:val="auto"/>
        </w:rPr>
      </w:pPr>
      <w:r>
        <w:rPr>
          <w:rFonts w:ascii="Arial" w:cs="Arial" w:eastAsia="Arial" w:hAnsi="Arial"/>
          <w:sz w:val="11"/>
          <w:szCs w:val="11"/>
          <w:color w:val="050505"/>
        </w:rPr>
        <w:t>Other (expense) income, net, was $6.7 million for fiscal 2019 compared to $(0.3) million for fiscal 2018. The increase in other (expense) income, net, was primarily due to $8.2 million of interest earned on cash, cash equivalents, and short-term investments, partially offset by a $1.0 million increase in interest expense incurred under our Credit Agreement.</w:t>
      </w:r>
    </w:p>
    <w:p>
      <w:pPr>
        <w:spacing w:after="0" w:line="130" w:lineRule="exact"/>
        <w:rPr>
          <w:sz w:val="20"/>
          <w:szCs w:val="20"/>
          <w:color w:val="auto"/>
        </w:rPr>
      </w:pPr>
    </w:p>
    <w:p>
      <w:pPr>
        <w:ind w:left="2060"/>
        <w:spacing w:after="0"/>
        <w:rPr>
          <w:sz w:val="20"/>
          <w:szCs w:val="20"/>
          <w:color w:val="auto"/>
        </w:rPr>
      </w:pPr>
      <w:r>
        <w:rPr>
          <w:rFonts w:ascii="Arial" w:cs="Arial" w:eastAsia="Arial" w:hAnsi="Arial"/>
          <w:sz w:val="11"/>
          <w:szCs w:val="11"/>
          <w:i w:val="1"/>
          <w:iCs w:val="1"/>
          <w:color w:val="auto"/>
        </w:rPr>
        <w:t>2017 Compared to 2018</w:t>
      </w:r>
    </w:p>
    <w:p>
      <w:pPr>
        <w:spacing w:after="0" w:line="154" w:lineRule="exact"/>
        <w:rPr>
          <w:sz w:val="20"/>
          <w:szCs w:val="20"/>
          <w:color w:val="auto"/>
        </w:rPr>
      </w:pPr>
    </w:p>
    <w:p>
      <w:pPr>
        <w:jc w:val="both"/>
        <w:ind w:left="2060" w:right="839"/>
        <w:spacing w:after="0" w:line="242" w:lineRule="auto"/>
        <w:rPr>
          <w:sz w:val="20"/>
          <w:szCs w:val="20"/>
          <w:color w:val="auto"/>
        </w:rPr>
      </w:pPr>
      <w:r>
        <w:rPr>
          <w:rFonts w:ascii="Arial" w:cs="Arial" w:eastAsia="Arial" w:hAnsi="Arial"/>
          <w:sz w:val="11"/>
          <w:szCs w:val="11"/>
          <w:color w:val="050505"/>
        </w:rPr>
        <w:t>Other (expense) income, net, for fiscal 2018 was $(0.3) million compared to $(0.3) million for fiscal 2017. An increase of $0.5 million in interest earned on cash, cash equivalents and short-term investments was partially offset by a $0.4 million increase in interest expense incurred under our Credit Agreement and the associated amortization of deferred financing costs.</w:t>
      </w:r>
    </w:p>
    <w:p>
      <w:pPr>
        <w:spacing w:after="0" w:line="95" w:lineRule="exact"/>
        <w:rPr>
          <w:sz w:val="20"/>
          <w:szCs w:val="20"/>
          <w:color w:val="auto"/>
        </w:rPr>
      </w:pPr>
    </w:p>
    <w:p>
      <w:pPr>
        <w:ind w:left="5680"/>
        <w:spacing w:after="0"/>
        <w:rPr>
          <w:sz w:val="20"/>
          <w:szCs w:val="20"/>
          <w:color w:val="auto"/>
        </w:rPr>
      </w:pPr>
      <w:r>
        <w:rPr>
          <w:rFonts w:ascii="Arial" w:cs="Arial" w:eastAsia="Arial" w:hAnsi="Arial"/>
          <w:sz w:val="11"/>
          <w:szCs w:val="11"/>
          <w:color w:val="050505"/>
        </w:rPr>
        <w:t>77</w:t>
      </w:r>
    </w:p>
    <w:p>
      <w:pPr>
        <w:sectPr>
          <w:pgSz w:w="11900" w:h="16838" w:orient="portrait"/>
          <w:cols w:equalWidth="0" w:num="1">
            <w:col w:w="10239"/>
          </w:cols>
          <w:pgMar w:left="220" w:top="354" w:right="1440" w:bottom="1440" w:gutter="0" w:footer="0" w:header="0"/>
        </w:sectPr>
      </w:pPr>
    </w:p>
    <w:bookmarkStart w:id="82" w:name="page83"/>
    <w:bookmarkEnd w:id="82"/>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hyperlink w:anchor="page5">
        <w:r>
          <w:rPr>
            <w:rFonts w:ascii="Arial" w:cs="Arial" w:eastAsia="Arial" w:hAnsi="Arial"/>
            <w:sz w:val="12"/>
            <w:szCs w:val="12"/>
            <w:b w:val="1"/>
            <w:bCs w:val="1"/>
            <w:u w:val="single" w:color="auto"/>
            <w:color w:val="0000EE"/>
          </w:rPr>
          <w:t>Table of Contents</w:t>
        </w:r>
      </w:hyperlink>
    </w:p>
    <w:p>
      <w:pPr>
        <w:spacing w:after="0" w:line="204" w:lineRule="exact"/>
        <w:rPr>
          <w:sz w:val="20"/>
          <w:szCs w:val="20"/>
          <w:color w:val="auto"/>
        </w:rPr>
      </w:pPr>
    </w:p>
    <w:p>
      <w:pPr>
        <w:ind w:left="2060"/>
        <w:spacing w:after="0"/>
        <w:rPr>
          <w:sz w:val="20"/>
          <w:szCs w:val="20"/>
          <w:color w:val="auto"/>
        </w:rPr>
      </w:pPr>
      <w:r>
        <w:rPr>
          <w:rFonts w:ascii="Arial" w:cs="Arial" w:eastAsia="Arial" w:hAnsi="Arial"/>
          <w:sz w:val="11"/>
          <w:szCs w:val="11"/>
          <w:b w:val="1"/>
          <w:bCs w:val="1"/>
          <w:u w:val="single" w:color="auto"/>
          <w:color w:val="auto"/>
        </w:rPr>
        <w:t>Quarterly Results of Operations and Key Metrics</w:t>
      </w:r>
    </w:p>
    <w:p>
      <w:pPr>
        <w:spacing w:after="0" w:line="144" w:lineRule="exact"/>
        <w:rPr>
          <w:sz w:val="20"/>
          <w:szCs w:val="20"/>
          <w:color w:val="auto"/>
        </w:rPr>
      </w:pPr>
    </w:p>
    <w:p>
      <w:pPr>
        <w:ind w:left="2060"/>
        <w:spacing w:after="0"/>
        <w:rPr>
          <w:sz w:val="20"/>
          <w:szCs w:val="20"/>
          <w:color w:val="auto"/>
        </w:rPr>
      </w:pPr>
      <w:r>
        <w:rPr>
          <w:rFonts w:ascii="Arial" w:cs="Arial" w:eastAsia="Arial" w:hAnsi="Arial"/>
          <w:sz w:val="11"/>
          <w:szCs w:val="11"/>
          <w:b w:val="1"/>
          <w:bCs w:val="1"/>
          <w:i w:val="1"/>
          <w:iCs w:val="1"/>
          <w:color w:val="auto"/>
        </w:rPr>
        <w:t>Quarterly Results of Operations</w:t>
      </w:r>
    </w:p>
    <w:p>
      <w:pPr>
        <w:spacing w:after="0" w:line="12" w:lineRule="exact"/>
        <w:rPr>
          <w:sz w:val="20"/>
          <w:szCs w:val="20"/>
          <w:color w:val="auto"/>
        </w:rPr>
      </w:pPr>
    </w:p>
    <w:p>
      <w:pPr>
        <w:jc w:val="both"/>
        <w:ind w:left="2060" w:right="839"/>
        <w:spacing w:after="0"/>
        <w:rPr>
          <w:sz w:val="20"/>
          <w:szCs w:val="20"/>
          <w:color w:val="auto"/>
        </w:rPr>
      </w:pPr>
      <w:r>
        <w:rPr>
          <w:rFonts w:ascii="Arial" w:cs="Arial" w:eastAsia="Arial" w:hAnsi="Arial"/>
          <w:sz w:val="11"/>
          <w:szCs w:val="11"/>
          <w:color w:val="050505"/>
        </w:rPr>
        <w:t>The following table sets forth our unaudited quarterly consolidated statements of operations data for each of the eight quarters in the period ended June 30, 2019. The information for each of these quarters has been prepared on a basis consistent with our audited annual consolidated financial statements appearing elsewhere in this prospectus and, in our opinion, include all normal recurring adjustments necessary for the fair statement of the financial information contained in those statements. The following unaudited consolidated quarterly financial data should be read in conjunction with our annual consolidated financial statements and the related notes included elsewhere in this prospectus. These quarterly results are not necessarily indicative of our operating results for a full year or any future period.</w:t>
      </w:r>
    </w:p>
    <w:p>
      <w:pPr>
        <w:spacing w:after="0" w:line="67" w:lineRule="exact"/>
        <w:rPr>
          <w:sz w:val="20"/>
          <w:szCs w:val="20"/>
          <w:color w:val="auto"/>
        </w:rPr>
      </w:pPr>
    </w:p>
    <w:tbl>
      <w:tblPr>
        <w:tblLayout w:type="fixed"/>
        <w:tblInd w:w="2060" w:type="dxa"/>
        <w:tblCellMar>
          <w:top w:w="0" w:type="dxa"/>
          <w:left w:w="0" w:type="dxa"/>
          <w:bottom w:w="0" w:type="dxa"/>
          <w:right w:w="0" w:type="dxa"/>
        </w:tblCellMar>
      </w:tblPr>
      <w:tr>
        <w:trPr>
          <w:trHeight w:val="137"/>
        </w:trPr>
        <w:tc>
          <w:tcPr>
            <w:tcW w:w="20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240" w:type="dxa"/>
            <w:vAlign w:val="bottom"/>
            <w:tcBorders>
              <w:bottom w:val="single" w:sz="8" w:color="auto"/>
            </w:tcBorders>
            <w:gridSpan w:val="7"/>
          </w:tcPr>
          <w:p>
            <w:pPr>
              <w:jc w:val="center"/>
              <w:ind w:right="120"/>
              <w:spacing w:after="0"/>
              <w:rPr>
                <w:sz w:val="20"/>
                <w:szCs w:val="20"/>
                <w:color w:val="auto"/>
              </w:rPr>
            </w:pPr>
            <w:r>
              <w:rPr>
                <w:rFonts w:ascii="Arial" w:cs="Arial" w:eastAsia="Arial" w:hAnsi="Arial"/>
                <w:sz w:val="11"/>
                <w:szCs w:val="11"/>
                <w:b w:val="1"/>
                <w:bCs w:val="1"/>
                <w:color w:val="050505"/>
                <w:w w:val="99"/>
              </w:rPr>
              <w:t>Three Months Ended</w:t>
            </w:r>
          </w:p>
        </w:tc>
        <w:tc>
          <w:tcPr>
            <w:tcW w:w="6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r>
      <w:tr>
        <w:trPr>
          <w:trHeight w:val="104"/>
        </w:trPr>
        <w:tc>
          <w:tcPr>
            <w:tcW w:w="2000" w:type="dxa"/>
            <w:vAlign w:val="bottom"/>
          </w:tcPr>
          <w:p>
            <w:pPr>
              <w:spacing w:after="0"/>
              <w:rPr>
                <w:sz w:val="9"/>
                <w:szCs w:val="9"/>
                <w:color w:val="auto"/>
              </w:rPr>
            </w:pPr>
          </w:p>
        </w:tc>
        <w:tc>
          <w:tcPr>
            <w:tcW w:w="200" w:type="dxa"/>
            <w:vAlign w:val="bottom"/>
          </w:tcPr>
          <w:p>
            <w:pPr>
              <w:spacing w:after="0"/>
              <w:rPr>
                <w:sz w:val="9"/>
                <w:szCs w:val="9"/>
                <w:color w:val="auto"/>
              </w:rPr>
            </w:pPr>
          </w:p>
        </w:tc>
        <w:tc>
          <w:tcPr>
            <w:tcW w:w="580" w:type="dxa"/>
            <w:vAlign w:val="bottom"/>
            <w:gridSpan w:val="3"/>
          </w:tcPr>
          <w:p>
            <w:pPr>
              <w:jc w:val="right"/>
              <w:ind w:right="140"/>
              <w:spacing w:after="0" w:line="105" w:lineRule="exact"/>
              <w:rPr>
                <w:sz w:val="20"/>
                <w:szCs w:val="20"/>
                <w:color w:val="auto"/>
              </w:rPr>
            </w:pPr>
            <w:r>
              <w:rPr>
                <w:rFonts w:ascii="Arial" w:cs="Arial" w:eastAsia="Arial" w:hAnsi="Arial"/>
                <w:sz w:val="11"/>
                <w:szCs w:val="11"/>
                <w:b w:val="1"/>
                <w:bCs w:val="1"/>
                <w:color w:val="050505"/>
              </w:rPr>
              <w:t>Sep. 30,</w:t>
            </w:r>
          </w:p>
        </w:tc>
        <w:tc>
          <w:tcPr>
            <w:tcW w:w="80" w:type="dxa"/>
            <w:vAlign w:val="bottom"/>
          </w:tcPr>
          <w:p>
            <w:pPr>
              <w:spacing w:after="0"/>
              <w:rPr>
                <w:sz w:val="9"/>
                <w:szCs w:val="9"/>
                <w:color w:val="auto"/>
              </w:rPr>
            </w:pPr>
          </w:p>
        </w:tc>
        <w:tc>
          <w:tcPr>
            <w:tcW w:w="580" w:type="dxa"/>
            <w:vAlign w:val="bottom"/>
            <w:gridSpan w:val="3"/>
          </w:tcPr>
          <w:p>
            <w:pPr>
              <w:jc w:val="right"/>
              <w:ind w:right="140"/>
              <w:spacing w:after="0" w:line="105" w:lineRule="exact"/>
              <w:rPr>
                <w:sz w:val="20"/>
                <w:szCs w:val="20"/>
                <w:color w:val="auto"/>
              </w:rPr>
            </w:pPr>
            <w:r>
              <w:rPr>
                <w:rFonts w:ascii="Arial" w:cs="Arial" w:eastAsia="Arial" w:hAnsi="Arial"/>
                <w:sz w:val="11"/>
                <w:szCs w:val="11"/>
                <w:b w:val="1"/>
                <w:bCs w:val="1"/>
                <w:color w:val="050505"/>
              </w:rPr>
              <w:t>Dec. 31,</w:t>
            </w:r>
          </w:p>
        </w:tc>
        <w:tc>
          <w:tcPr>
            <w:tcW w:w="80" w:type="dxa"/>
            <w:vAlign w:val="bottom"/>
          </w:tcPr>
          <w:p>
            <w:pPr>
              <w:spacing w:after="0"/>
              <w:rPr>
                <w:sz w:val="9"/>
                <w:szCs w:val="9"/>
                <w:color w:val="auto"/>
              </w:rPr>
            </w:pPr>
          </w:p>
        </w:tc>
        <w:tc>
          <w:tcPr>
            <w:tcW w:w="580" w:type="dxa"/>
            <w:vAlign w:val="bottom"/>
            <w:gridSpan w:val="3"/>
          </w:tcPr>
          <w:p>
            <w:pPr>
              <w:jc w:val="right"/>
              <w:ind w:right="140"/>
              <w:spacing w:after="0" w:line="105" w:lineRule="exact"/>
              <w:rPr>
                <w:sz w:val="20"/>
                <w:szCs w:val="20"/>
                <w:color w:val="auto"/>
              </w:rPr>
            </w:pPr>
            <w:r>
              <w:rPr>
                <w:rFonts w:ascii="Arial" w:cs="Arial" w:eastAsia="Arial" w:hAnsi="Arial"/>
                <w:sz w:val="11"/>
                <w:szCs w:val="11"/>
                <w:b w:val="1"/>
                <w:bCs w:val="1"/>
                <w:color w:val="050505"/>
              </w:rPr>
              <w:t>Mar. 31,</w:t>
            </w:r>
          </w:p>
        </w:tc>
        <w:tc>
          <w:tcPr>
            <w:tcW w:w="80" w:type="dxa"/>
            <w:vAlign w:val="bottom"/>
          </w:tcPr>
          <w:p>
            <w:pPr>
              <w:spacing w:after="0"/>
              <w:rPr>
                <w:sz w:val="9"/>
                <w:szCs w:val="9"/>
                <w:color w:val="auto"/>
              </w:rPr>
            </w:pPr>
          </w:p>
        </w:tc>
        <w:tc>
          <w:tcPr>
            <w:tcW w:w="580" w:type="dxa"/>
            <w:vAlign w:val="bottom"/>
            <w:gridSpan w:val="3"/>
          </w:tcPr>
          <w:p>
            <w:pPr>
              <w:jc w:val="right"/>
              <w:ind w:right="140"/>
              <w:spacing w:after="0" w:line="105" w:lineRule="exact"/>
              <w:rPr>
                <w:sz w:val="20"/>
                <w:szCs w:val="20"/>
                <w:color w:val="auto"/>
              </w:rPr>
            </w:pPr>
            <w:r>
              <w:rPr>
                <w:rFonts w:ascii="Arial" w:cs="Arial" w:eastAsia="Arial" w:hAnsi="Arial"/>
                <w:sz w:val="11"/>
                <w:szCs w:val="11"/>
                <w:b w:val="1"/>
                <w:bCs w:val="1"/>
                <w:color w:val="050505"/>
              </w:rPr>
              <w:t>Jun. 30,</w:t>
            </w:r>
          </w:p>
        </w:tc>
        <w:tc>
          <w:tcPr>
            <w:tcW w:w="80" w:type="dxa"/>
            <w:vAlign w:val="bottom"/>
          </w:tcPr>
          <w:p>
            <w:pPr>
              <w:spacing w:after="0"/>
              <w:rPr>
                <w:sz w:val="9"/>
                <w:szCs w:val="9"/>
                <w:color w:val="auto"/>
              </w:rPr>
            </w:pPr>
          </w:p>
        </w:tc>
        <w:tc>
          <w:tcPr>
            <w:tcW w:w="580" w:type="dxa"/>
            <w:vAlign w:val="bottom"/>
            <w:gridSpan w:val="3"/>
          </w:tcPr>
          <w:p>
            <w:pPr>
              <w:jc w:val="right"/>
              <w:ind w:right="140"/>
              <w:spacing w:after="0" w:line="105" w:lineRule="exact"/>
              <w:rPr>
                <w:sz w:val="20"/>
                <w:szCs w:val="20"/>
                <w:color w:val="auto"/>
              </w:rPr>
            </w:pPr>
            <w:r>
              <w:rPr>
                <w:rFonts w:ascii="Arial" w:cs="Arial" w:eastAsia="Arial" w:hAnsi="Arial"/>
                <w:sz w:val="11"/>
                <w:szCs w:val="11"/>
                <w:b w:val="1"/>
                <w:bCs w:val="1"/>
                <w:color w:val="050505"/>
              </w:rPr>
              <w:t>Sep. 30,</w:t>
            </w:r>
          </w:p>
        </w:tc>
        <w:tc>
          <w:tcPr>
            <w:tcW w:w="60" w:type="dxa"/>
            <w:vAlign w:val="bottom"/>
          </w:tcPr>
          <w:p>
            <w:pPr>
              <w:spacing w:after="0"/>
              <w:rPr>
                <w:sz w:val="9"/>
                <w:szCs w:val="9"/>
                <w:color w:val="auto"/>
              </w:rPr>
            </w:pPr>
          </w:p>
        </w:tc>
        <w:tc>
          <w:tcPr>
            <w:tcW w:w="600" w:type="dxa"/>
            <w:vAlign w:val="bottom"/>
            <w:gridSpan w:val="3"/>
          </w:tcPr>
          <w:p>
            <w:pPr>
              <w:jc w:val="right"/>
              <w:ind w:right="140"/>
              <w:spacing w:after="0" w:line="105" w:lineRule="exact"/>
              <w:rPr>
                <w:sz w:val="20"/>
                <w:szCs w:val="20"/>
                <w:color w:val="auto"/>
              </w:rPr>
            </w:pPr>
            <w:r>
              <w:rPr>
                <w:rFonts w:ascii="Arial" w:cs="Arial" w:eastAsia="Arial" w:hAnsi="Arial"/>
                <w:sz w:val="11"/>
                <w:szCs w:val="11"/>
                <w:b w:val="1"/>
                <w:bCs w:val="1"/>
                <w:color w:val="050505"/>
              </w:rPr>
              <w:t>Dec. 31,</w:t>
            </w:r>
          </w:p>
        </w:tc>
        <w:tc>
          <w:tcPr>
            <w:tcW w:w="60" w:type="dxa"/>
            <w:vAlign w:val="bottom"/>
          </w:tcPr>
          <w:p>
            <w:pPr>
              <w:spacing w:after="0"/>
              <w:rPr>
                <w:sz w:val="9"/>
                <w:szCs w:val="9"/>
                <w:color w:val="auto"/>
              </w:rPr>
            </w:pPr>
          </w:p>
        </w:tc>
        <w:tc>
          <w:tcPr>
            <w:tcW w:w="600" w:type="dxa"/>
            <w:vAlign w:val="bottom"/>
            <w:gridSpan w:val="3"/>
          </w:tcPr>
          <w:p>
            <w:pPr>
              <w:jc w:val="right"/>
              <w:ind w:right="160"/>
              <w:spacing w:after="0" w:line="105" w:lineRule="exact"/>
              <w:rPr>
                <w:sz w:val="20"/>
                <w:szCs w:val="20"/>
                <w:color w:val="auto"/>
              </w:rPr>
            </w:pPr>
            <w:r>
              <w:rPr>
                <w:rFonts w:ascii="Arial" w:cs="Arial" w:eastAsia="Arial" w:hAnsi="Arial"/>
                <w:sz w:val="11"/>
                <w:szCs w:val="11"/>
                <w:b w:val="1"/>
                <w:bCs w:val="1"/>
                <w:color w:val="050505"/>
              </w:rPr>
              <w:t>Mar. 31,</w:t>
            </w:r>
          </w:p>
        </w:tc>
        <w:tc>
          <w:tcPr>
            <w:tcW w:w="60" w:type="dxa"/>
            <w:vAlign w:val="bottom"/>
          </w:tcPr>
          <w:p>
            <w:pPr>
              <w:spacing w:after="0"/>
              <w:rPr>
                <w:sz w:val="9"/>
                <w:szCs w:val="9"/>
                <w:color w:val="auto"/>
              </w:rPr>
            </w:pPr>
          </w:p>
        </w:tc>
        <w:tc>
          <w:tcPr>
            <w:tcW w:w="500" w:type="dxa"/>
            <w:vAlign w:val="bottom"/>
            <w:gridSpan w:val="2"/>
          </w:tcPr>
          <w:p>
            <w:pPr>
              <w:jc w:val="right"/>
              <w:ind w:right="9"/>
              <w:spacing w:after="0" w:line="105" w:lineRule="exact"/>
              <w:rPr>
                <w:sz w:val="20"/>
                <w:szCs w:val="20"/>
                <w:color w:val="auto"/>
              </w:rPr>
            </w:pPr>
            <w:r>
              <w:rPr>
                <w:rFonts w:ascii="Arial" w:cs="Arial" w:eastAsia="Arial" w:hAnsi="Arial"/>
                <w:sz w:val="11"/>
                <w:szCs w:val="11"/>
                <w:b w:val="1"/>
                <w:bCs w:val="1"/>
                <w:color w:val="050505"/>
              </w:rPr>
              <w:t>Jun. 30,</w:t>
            </w:r>
          </w:p>
        </w:tc>
        <w:tc>
          <w:tcPr>
            <w:tcW w:w="60" w:type="dxa"/>
            <w:vAlign w:val="bottom"/>
          </w:tcPr>
          <w:p>
            <w:pPr>
              <w:spacing w:after="0"/>
              <w:rPr>
                <w:sz w:val="9"/>
                <w:szCs w:val="9"/>
                <w:color w:val="auto"/>
              </w:rPr>
            </w:pPr>
          </w:p>
        </w:tc>
      </w:tr>
      <w:tr>
        <w:trPr>
          <w:trHeight w:val="137"/>
        </w:trPr>
        <w:tc>
          <w:tcPr>
            <w:tcW w:w="20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jc w:val="right"/>
              <w:ind w:right="69"/>
              <w:spacing w:after="0"/>
              <w:rPr>
                <w:sz w:val="20"/>
                <w:szCs w:val="20"/>
                <w:color w:val="auto"/>
              </w:rPr>
            </w:pPr>
            <w:r>
              <w:rPr>
                <w:rFonts w:ascii="Arial" w:cs="Arial" w:eastAsia="Arial" w:hAnsi="Arial"/>
                <w:sz w:val="11"/>
                <w:szCs w:val="11"/>
                <w:b w:val="1"/>
                <w:bCs w:val="1"/>
                <w:color w:val="050505"/>
              </w:rPr>
              <w:t>2017</w:t>
            </w:r>
          </w:p>
        </w:tc>
        <w:tc>
          <w:tcPr>
            <w:tcW w:w="1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jc w:val="right"/>
              <w:ind w:right="69"/>
              <w:spacing w:after="0"/>
              <w:rPr>
                <w:sz w:val="20"/>
                <w:szCs w:val="20"/>
                <w:color w:val="auto"/>
              </w:rPr>
            </w:pPr>
            <w:r>
              <w:rPr>
                <w:rFonts w:ascii="Arial" w:cs="Arial" w:eastAsia="Arial" w:hAnsi="Arial"/>
                <w:sz w:val="11"/>
                <w:szCs w:val="11"/>
                <w:b w:val="1"/>
                <w:bCs w:val="1"/>
                <w:color w:val="050505"/>
              </w:rPr>
              <w:t>2017</w:t>
            </w:r>
          </w:p>
        </w:tc>
        <w:tc>
          <w:tcPr>
            <w:tcW w:w="1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jc w:val="right"/>
              <w:ind w:right="69"/>
              <w:spacing w:after="0"/>
              <w:rPr>
                <w:sz w:val="20"/>
                <w:szCs w:val="20"/>
                <w:color w:val="auto"/>
              </w:rPr>
            </w:pPr>
            <w:r>
              <w:rPr>
                <w:rFonts w:ascii="Arial" w:cs="Arial" w:eastAsia="Arial" w:hAnsi="Arial"/>
                <w:sz w:val="11"/>
                <w:szCs w:val="11"/>
                <w:b w:val="1"/>
                <w:bCs w:val="1"/>
                <w:color w:val="050505"/>
              </w:rPr>
              <w:t>2018</w:t>
            </w:r>
          </w:p>
        </w:tc>
        <w:tc>
          <w:tcPr>
            <w:tcW w:w="1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jc w:val="right"/>
              <w:ind w:right="69"/>
              <w:spacing w:after="0"/>
              <w:rPr>
                <w:sz w:val="20"/>
                <w:szCs w:val="20"/>
                <w:color w:val="auto"/>
              </w:rPr>
            </w:pPr>
            <w:r>
              <w:rPr>
                <w:rFonts w:ascii="Arial" w:cs="Arial" w:eastAsia="Arial" w:hAnsi="Arial"/>
                <w:sz w:val="11"/>
                <w:szCs w:val="11"/>
                <w:b w:val="1"/>
                <w:bCs w:val="1"/>
                <w:color w:val="050505"/>
              </w:rPr>
              <w:t>2018</w:t>
            </w:r>
          </w:p>
        </w:tc>
        <w:tc>
          <w:tcPr>
            <w:tcW w:w="10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gridSpan w:val="3"/>
          </w:tcPr>
          <w:p>
            <w:pPr>
              <w:jc w:val="right"/>
              <w:ind w:right="69"/>
              <w:spacing w:after="0"/>
              <w:rPr>
                <w:sz w:val="20"/>
                <w:szCs w:val="20"/>
                <w:color w:val="auto"/>
              </w:rPr>
            </w:pPr>
            <w:r>
              <w:rPr>
                <w:rFonts w:ascii="Arial" w:cs="Arial" w:eastAsia="Arial" w:hAnsi="Arial"/>
                <w:sz w:val="11"/>
                <w:szCs w:val="11"/>
                <w:b w:val="1"/>
                <w:bCs w:val="1"/>
                <w:color w:val="050505"/>
              </w:rPr>
              <w:t>2018</w:t>
            </w:r>
          </w:p>
        </w:tc>
        <w:tc>
          <w:tcPr>
            <w:tcW w:w="10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jc w:val="right"/>
              <w:ind w:right="89"/>
              <w:spacing w:after="0"/>
              <w:rPr>
                <w:sz w:val="20"/>
                <w:szCs w:val="20"/>
                <w:color w:val="auto"/>
              </w:rPr>
            </w:pPr>
            <w:r>
              <w:rPr>
                <w:rFonts w:ascii="Arial" w:cs="Arial" w:eastAsia="Arial" w:hAnsi="Arial"/>
                <w:sz w:val="11"/>
                <w:szCs w:val="11"/>
                <w:b w:val="1"/>
                <w:bCs w:val="1"/>
                <w:color w:val="050505"/>
                <w:w w:val="97"/>
              </w:rPr>
              <w:t>2018</w:t>
            </w:r>
          </w:p>
        </w:tc>
        <w:tc>
          <w:tcPr>
            <w:tcW w:w="10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jc w:val="right"/>
              <w:ind w:right="89"/>
              <w:spacing w:after="0"/>
              <w:rPr>
                <w:sz w:val="20"/>
                <w:szCs w:val="20"/>
                <w:color w:val="auto"/>
              </w:rPr>
            </w:pPr>
            <w:r>
              <w:rPr>
                <w:rFonts w:ascii="Arial" w:cs="Arial" w:eastAsia="Arial" w:hAnsi="Arial"/>
                <w:sz w:val="11"/>
                <w:szCs w:val="11"/>
                <w:b w:val="1"/>
                <w:bCs w:val="1"/>
                <w:color w:val="050505"/>
                <w:w w:val="97"/>
              </w:rPr>
              <w:t>2019</w:t>
            </w:r>
          </w:p>
        </w:tc>
        <w:tc>
          <w:tcPr>
            <w:tcW w:w="10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jc w:val="right"/>
              <w:ind w:right="89"/>
              <w:spacing w:after="0"/>
              <w:rPr>
                <w:sz w:val="20"/>
                <w:szCs w:val="20"/>
                <w:color w:val="auto"/>
              </w:rPr>
            </w:pPr>
            <w:r>
              <w:rPr>
                <w:rFonts w:ascii="Arial" w:cs="Arial" w:eastAsia="Arial" w:hAnsi="Arial"/>
                <w:sz w:val="11"/>
                <w:szCs w:val="11"/>
                <w:b w:val="1"/>
                <w:bCs w:val="1"/>
                <w:color w:val="050505"/>
              </w:rPr>
              <w:t>2019</w:t>
            </w:r>
          </w:p>
        </w:tc>
        <w:tc>
          <w:tcPr>
            <w:tcW w:w="60" w:type="dxa"/>
            <w:vAlign w:val="bottom"/>
          </w:tcPr>
          <w:p>
            <w:pPr>
              <w:spacing w:after="0"/>
              <w:rPr>
                <w:sz w:val="11"/>
                <w:szCs w:val="11"/>
                <w:color w:val="auto"/>
              </w:rPr>
            </w:pPr>
          </w:p>
        </w:tc>
      </w:tr>
      <w:tr>
        <w:trPr>
          <w:trHeight w:val="88"/>
        </w:trPr>
        <w:tc>
          <w:tcPr>
            <w:tcW w:w="200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40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0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0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780" w:type="dxa"/>
            <w:vAlign w:val="bottom"/>
            <w:gridSpan w:val="4"/>
          </w:tcPr>
          <w:p>
            <w:pPr>
              <w:jc w:val="center"/>
              <w:ind w:left="129"/>
              <w:spacing w:after="0" w:line="89" w:lineRule="exact"/>
              <w:rPr>
                <w:sz w:val="20"/>
                <w:szCs w:val="20"/>
                <w:color w:val="auto"/>
              </w:rPr>
            </w:pPr>
            <w:r>
              <w:rPr>
                <w:rFonts w:ascii="Arial" w:cs="Arial" w:eastAsia="Arial" w:hAnsi="Arial"/>
                <w:sz w:val="10"/>
                <w:szCs w:val="10"/>
                <w:b w:val="1"/>
                <w:bCs w:val="1"/>
                <w:color w:val="050505"/>
                <w:w w:val="95"/>
              </w:rPr>
              <w:t>(unaudited)</w:t>
            </w:r>
          </w:p>
        </w:tc>
        <w:tc>
          <w:tcPr>
            <w:tcW w:w="28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40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40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420" w:type="dxa"/>
            <w:vAlign w:val="bottom"/>
          </w:tcPr>
          <w:p>
            <w:pPr>
              <w:spacing w:after="0"/>
              <w:rPr>
                <w:sz w:val="7"/>
                <w:szCs w:val="7"/>
                <w:color w:val="auto"/>
              </w:rPr>
            </w:pPr>
          </w:p>
        </w:tc>
        <w:tc>
          <w:tcPr>
            <w:tcW w:w="60" w:type="dxa"/>
            <w:vAlign w:val="bottom"/>
          </w:tcPr>
          <w:p>
            <w:pPr>
              <w:spacing w:after="0"/>
              <w:rPr>
                <w:sz w:val="7"/>
                <w:szCs w:val="7"/>
                <w:color w:val="auto"/>
              </w:rPr>
            </w:pPr>
          </w:p>
        </w:tc>
      </w:tr>
      <w:tr>
        <w:trPr>
          <w:trHeight w:val="126"/>
        </w:trPr>
        <w:tc>
          <w:tcPr>
            <w:tcW w:w="20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gridSpan w:val="4"/>
          </w:tcPr>
          <w:p>
            <w:pPr>
              <w:jc w:val="center"/>
              <w:ind w:left="149"/>
              <w:spacing w:after="0"/>
              <w:rPr>
                <w:sz w:val="20"/>
                <w:szCs w:val="20"/>
                <w:color w:val="auto"/>
              </w:rPr>
            </w:pPr>
            <w:r>
              <w:rPr>
                <w:rFonts w:ascii="Arial" w:cs="Arial" w:eastAsia="Arial" w:hAnsi="Arial"/>
                <w:sz w:val="10"/>
                <w:szCs w:val="10"/>
                <w:b w:val="1"/>
                <w:bCs w:val="1"/>
                <w:color w:val="050505"/>
                <w:w w:val="96"/>
              </w:rPr>
              <w:t>(in millions)</w:t>
            </w: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0" w:type="dxa"/>
            <w:vAlign w:val="bottom"/>
          </w:tcPr>
          <w:p>
            <w:pPr>
              <w:spacing w:after="0"/>
              <w:rPr>
                <w:sz w:val="10"/>
                <w:szCs w:val="10"/>
                <w:color w:val="auto"/>
              </w:rPr>
            </w:pPr>
          </w:p>
        </w:tc>
      </w:tr>
      <w:tr>
        <w:trPr>
          <w:trHeight w:val="108"/>
        </w:trPr>
        <w:tc>
          <w:tcPr>
            <w:tcW w:w="2000" w:type="dxa"/>
            <w:vAlign w:val="bottom"/>
            <w:shd w:val="clear" w:color="auto" w:fill="CCEEFF"/>
          </w:tcPr>
          <w:p>
            <w:pPr>
              <w:ind w:left="60"/>
              <w:spacing w:after="0" w:line="108" w:lineRule="exact"/>
              <w:rPr>
                <w:sz w:val="20"/>
                <w:szCs w:val="20"/>
                <w:color w:val="auto"/>
              </w:rPr>
            </w:pPr>
            <w:r>
              <w:rPr>
                <w:rFonts w:ascii="Arial" w:cs="Arial" w:eastAsia="Arial" w:hAnsi="Arial"/>
                <w:sz w:val="10"/>
                <w:szCs w:val="10"/>
                <w:color w:val="050505"/>
              </w:rPr>
              <w:t>Revenue:</w:t>
            </w:r>
          </w:p>
        </w:tc>
        <w:tc>
          <w:tcPr>
            <w:tcW w:w="2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r>
      <w:tr>
        <w:trPr>
          <w:trHeight w:val="108"/>
        </w:trPr>
        <w:tc>
          <w:tcPr>
            <w:tcW w:w="2000" w:type="dxa"/>
            <w:vAlign w:val="bottom"/>
          </w:tcPr>
          <w:p>
            <w:pPr>
              <w:ind w:left="160"/>
              <w:spacing w:after="0" w:line="108" w:lineRule="exact"/>
              <w:rPr>
                <w:sz w:val="20"/>
                <w:szCs w:val="20"/>
                <w:color w:val="auto"/>
              </w:rPr>
            </w:pPr>
            <w:r>
              <w:rPr>
                <w:rFonts w:ascii="Arial" w:cs="Arial" w:eastAsia="Arial" w:hAnsi="Arial"/>
                <w:sz w:val="10"/>
                <w:szCs w:val="10"/>
                <w:color w:val="050505"/>
              </w:rPr>
              <w:t>Connected Fitness Products</w:t>
            </w:r>
          </w:p>
        </w:tc>
        <w:tc>
          <w:tcPr>
            <w:tcW w:w="280" w:type="dxa"/>
            <w:vAlign w:val="bottom"/>
            <w:gridSpan w:val="2"/>
          </w:tcPr>
          <w:p>
            <w:pPr>
              <w:jc w:val="right"/>
              <w:spacing w:after="0" w:line="108" w:lineRule="exact"/>
              <w:rPr>
                <w:sz w:val="20"/>
                <w:szCs w:val="20"/>
                <w:color w:val="auto"/>
              </w:rPr>
            </w:pPr>
            <w:r>
              <w:rPr>
                <w:rFonts w:ascii="Arial" w:cs="Arial" w:eastAsia="Arial" w:hAnsi="Arial"/>
                <w:sz w:val="10"/>
                <w:szCs w:val="10"/>
                <w:color w:val="050505"/>
              </w:rPr>
              <w:t>$</w:t>
            </w:r>
          </w:p>
        </w:tc>
        <w:tc>
          <w:tcPr>
            <w:tcW w:w="400" w:type="dxa"/>
            <w:vAlign w:val="bottom"/>
          </w:tcPr>
          <w:p>
            <w:pPr>
              <w:jc w:val="right"/>
              <w:spacing w:after="0" w:line="108" w:lineRule="exact"/>
              <w:rPr>
                <w:sz w:val="20"/>
                <w:szCs w:val="20"/>
                <w:color w:val="auto"/>
              </w:rPr>
            </w:pPr>
            <w:r>
              <w:rPr>
                <w:rFonts w:ascii="Arial" w:cs="Arial" w:eastAsia="Arial" w:hAnsi="Arial"/>
                <w:sz w:val="10"/>
                <w:szCs w:val="10"/>
                <w:color w:val="050505"/>
              </w:rPr>
              <w:t>41.1</w:t>
            </w:r>
          </w:p>
        </w:tc>
        <w:tc>
          <w:tcPr>
            <w:tcW w:w="100" w:type="dxa"/>
            <w:vAlign w:val="bottom"/>
          </w:tcPr>
          <w:p>
            <w:pPr>
              <w:spacing w:after="0"/>
              <w:rPr>
                <w:sz w:val="9"/>
                <w:szCs w:val="9"/>
                <w:color w:val="auto"/>
              </w:rPr>
            </w:pPr>
          </w:p>
        </w:tc>
        <w:tc>
          <w:tcPr>
            <w:tcW w:w="160" w:type="dxa"/>
            <w:vAlign w:val="bottom"/>
            <w:gridSpan w:val="2"/>
          </w:tcPr>
          <w:p>
            <w:pPr>
              <w:jc w:val="right"/>
              <w:spacing w:after="0" w:line="108" w:lineRule="exact"/>
              <w:rPr>
                <w:sz w:val="20"/>
                <w:szCs w:val="20"/>
                <w:color w:val="auto"/>
              </w:rPr>
            </w:pPr>
            <w:r>
              <w:rPr>
                <w:rFonts w:ascii="Arial" w:cs="Arial" w:eastAsia="Arial" w:hAnsi="Arial"/>
                <w:sz w:val="10"/>
                <w:szCs w:val="10"/>
                <w:color w:val="050505"/>
              </w:rPr>
              <w:t>$</w:t>
            </w:r>
          </w:p>
        </w:tc>
        <w:tc>
          <w:tcPr>
            <w:tcW w:w="400" w:type="dxa"/>
            <w:vAlign w:val="bottom"/>
          </w:tcPr>
          <w:p>
            <w:pPr>
              <w:jc w:val="right"/>
              <w:spacing w:after="0" w:line="108" w:lineRule="exact"/>
              <w:rPr>
                <w:sz w:val="20"/>
                <w:szCs w:val="20"/>
                <w:color w:val="auto"/>
              </w:rPr>
            </w:pPr>
            <w:r>
              <w:rPr>
                <w:rFonts w:ascii="Arial" w:cs="Arial" w:eastAsia="Arial" w:hAnsi="Arial"/>
                <w:sz w:val="10"/>
                <w:szCs w:val="10"/>
                <w:color w:val="050505"/>
              </w:rPr>
              <w:t>111.7</w:t>
            </w:r>
          </w:p>
        </w:tc>
        <w:tc>
          <w:tcPr>
            <w:tcW w:w="100" w:type="dxa"/>
            <w:vAlign w:val="bottom"/>
          </w:tcPr>
          <w:p>
            <w:pPr>
              <w:spacing w:after="0"/>
              <w:rPr>
                <w:sz w:val="9"/>
                <w:szCs w:val="9"/>
                <w:color w:val="auto"/>
              </w:rPr>
            </w:pPr>
          </w:p>
        </w:tc>
        <w:tc>
          <w:tcPr>
            <w:tcW w:w="160" w:type="dxa"/>
            <w:vAlign w:val="bottom"/>
            <w:gridSpan w:val="2"/>
          </w:tcPr>
          <w:p>
            <w:pPr>
              <w:jc w:val="right"/>
              <w:spacing w:after="0" w:line="108" w:lineRule="exact"/>
              <w:rPr>
                <w:sz w:val="20"/>
                <w:szCs w:val="20"/>
                <w:color w:val="auto"/>
              </w:rPr>
            </w:pPr>
            <w:r>
              <w:rPr>
                <w:rFonts w:ascii="Arial" w:cs="Arial" w:eastAsia="Arial" w:hAnsi="Arial"/>
                <w:sz w:val="10"/>
                <w:szCs w:val="10"/>
                <w:color w:val="050505"/>
              </w:rPr>
              <w:t>$</w:t>
            </w:r>
          </w:p>
        </w:tc>
        <w:tc>
          <w:tcPr>
            <w:tcW w:w="400" w:type="dxa"/>
            <w:vAlign w:val="bottom"/>
          </w:tcPr>
          <w:p>
            <w:pPr>
              <w:jc w:val="right"/>
              <w:spacing w:after="0" w:line="108" w:lineRule="exact"/>
              <w:rPr>
                <w:sz w:val="20"/>
                <w:szCs w:val="20"/>
                <w:color w:val="auto"/>
              </w:rPr>
            </w:pPr>
            <w:r>
              <w:rPr>
                <w:rFonts w:ascii="Arial" w:cs="Arial" w:eastAsia="Arial" w:hAnsi="Arial"/>
                <w:sz w:val="10"/>
                <w:szCs w:val="10"/>
                <w:color w:val="050505"/>
              </w:rPr>
              <w:t>118.1</w:t>
            </w:r>
          </w:p>
        </w:tc>
        <w:tc>
          <w:tcPr>
            <w:tcW w:w="100" w:type="dxa"/>
            <w:vAlign w:val="bottom"/>
          </w:tcPr>
          <w:p>
            <w:pPr>
              <w:spacing w:after="0"/>
              <w:rPr>
                <w:sz w:val="9"/>
                <w:szCs w:val="9"/>
                <w:color w:val="auto"/>
              </w:rPr>
            </w:pPr>
          </w:p>
        </w:tc>
        <w:tc>
          <w:tcPr>
            <w:tcW w:w="160" w:type="dxa"/>
            <w:vAlign w:val="bottom"/>
            <w:gridSpan w:val="2"/>
          </w:tcPr>
          <w:p>
            <w:pPr>
              <w:jc w:val="right"/>
              <w:spacing w:after="0" w:line="108" w:lineRule="exact"/>
              <w:rPr>
                <w:sz w:val="20"/>
                <w:szCs w:val="20"/>
                <w:color w:val="auto"/>
              </w:rPr>
            </w:pPr>
            <w:r>
              <w:rPr>
                <w:rFonts w:ascii="Arial" w:cs="Arial" w:eastAsia="Arial" w:hAnsi="Arial"/>
                <w:sz w:val="10"/>
                <w:szCs w:val="10"/>
                <w:color w:val="050505"/>
              </w:rPr>
              <w:t>$</w:t>
            </w:r>
          </w:p>
        </w:tc>
        <w:tc>
          <w:tcPr>
            <w:tcW w:w="400" w:type="dxa"/>
            <w:vAlign w:val="bottom"/>
          </w:tcPr>
          <w:p>
            <w:pPr>
              <w:jc w:val="right"/>
              <w:spacing w:after="0" w:line="108" w:lineRule="exact"/>
              <w:rPr>
                <w:sz w:val="20"/>
                <w:szCs w:val="20"/>
                <w:color w:val="auto"/>
              </w:rPr>
            </w:pPr>
            <w:r>
              <w:rPr>
                <w:rFonts w:ascii="Arial" w:cs="Arial" w:eastAsia="Arial" w:hAnsi="Arial"/>
                <w:sz w:val="10"/>
                <w:szCs w:val="10"/>
                <w:color w:val="050505"/>
              </w:rPr>
              <w:t>77.6</w:t>
            </w:r>
          </w:p>
        </w:tc>
        <w:tc>
          <w:tcPr>
            <w:tcW w:w="100" w:type="dxa"/>
            <w:vAlign w:val="bottom"/>
          </w:tcPr>
          <w:p>
            <w:pPr>
              <w:spacing w:after="0"/>
              <w:rPr>
                <w:sz w:val="9"/>
                <w:szCs w:val="9"/>
                <w:color w:val="auto"/>
              </w:rPr>
            </w:pPr>
          </w:p>
        </w:tc>
        <w:tc>
          <w:tcPr>
            <w:tcW w:w="280" w:type="dxa"/>
            <w:vAlign w:val="bottom"/>
            <w:gridSpan w:val="2"/>
          </w:tcPr>
          <w:p>
            <w:pPr>
              <w:jc w:val="right"/>
              <w:ind w:right="106"/>
              <w:spacing w:after="0" w:line="108" w:lineRule="exact"/>
              <w:rPr>
                <w:sz w:val="20"/>
                <w:szCs w:val="20"/>
                <w:color w:val="auto"/>
              </w:rPr>
            </w:pPr>
            <w:r>
              <w:rPr>
                <w:rFonts w:ascii="Arial" w:cs="Arial" w:eastAsia="Arial" w:hAnsi="Arial"/>
                <w:sz w:val="10"/>
                <w:szCs w:val="10"/>
                <w:color w:val="050505"/>
              </w:rPr>
              <w:t>$</w:t>
            </w:r>
          </w:p>
        </w:tc>
        <w:tc>
          <w:tcPr>
            <w:tcW w:w="280" w:type="dxa"/>
            <w:vAlign w:val="bottom"/>
          </w:tcPr>
          <w:p>
            <w:pPr>
              <w:jc w:val="right"/>
              <w:spacing w:after="0" w:line="108" w:lineRule="exact"/>
              <w:rPr>
                <w:sz w:val="20"/>
                <w:szCs w:val="20"/>
                <w:color w:val="auto"/>
              </w:rPr>
            </w:pPr>
            <w:r>
              <w:rPr>
                <w:rFonts w:ascii="Arial" w:cs="Arial" w:eastAsia="Arial" w:hAnsi="Arial"/>
                <w:sz w:val="10"/>
                <w:szCs w:val="10"/>
                <w:color w:val="050505"/>
              </w:rPr>
              <w:t>77.9</w:t>
            </w:r>
          </w:p>
        </w:tc>
        <w:tc>
          <w:tcPr>
            <w:tcW w:w="100" w:type="dxa"/>
            <w:vAlign w:val="bottom"/>
          </w:tcPr>
          <w:p>
            <w:pPr>
              <w:spacing w:after="0"/>
              <w:rPr>
                <w:sz w:val="9"/>
                <w:szCs w:val="9"/>
                <w:color w:val="auto"/>
              </w:rPr>
            </w:pPr>
          </w:p>
        </w:tc>
        <w:tc>
          <w:tcPr>
            <w:tcW w:w="160" w:type="dxa"/>
            <w:vAlign w:val="bottom"/>
            <w:gridSpan w:val="2"/>
          </w:tcPr>
          <w:p>
            <w:pPr>
              <w:jc w:val="right"/>
              <w:spacing w:after="0" w:line="108" w:lineRule="exact"/>
              <w:rPr>
                <w:sz w:val="20"/>
                <w:szCs w:val="20"/>
                <w:color w:val="auto"/>
              </w:rPr>
            </w:pPr>
            <w:r>
              <w:rPr>
                <w:rFonts w:ascii="Arial" w:cs="Arial" w:eastAsia="Arial" w:hAnsi="Arial"/>
                <w:sz w:val="10"/>
                <w:szCs w:val="10"/>
                <w:color w:val="050505"/>
              </w:rPr>
              <w:t>$</w:t>
            </w:r>
          </w:p>
        </w:tc>
        <w:tc>
          <w:tcPr>
            <w:tcW w:w="400" w:type="dxa"/>
            <w:vAlign w:val="bottom"/>
          </w:tcPr>
          <w:p>
            <w:pPr>
              <w:jc w:val="right"/>
              <w:spacing w:after="0" w:line="108" w:lineRule="exact"/>
              <w:rPr>
                <w:sz w:val="20"/>
                <w:szCs w:val="20"/>
                <w:color w:val="auto"/>
              </w:rPr>
            </w:pPr>
            <w:r>
              <w:rPr>
                <w:rFonts w:ascii="Arial" w:cs="Arial" w:eastAsia="Arial" w:hAnsi="Arial"/>
                <w:sz w:val="10"/>
                <w:szCs w:val="10"/>
                <w:color w:val="050505"/>
              </w:rPr>
              <w:t>221.3</w:t>
            </w:r>
          </w:p>
        </w:tc>
        <w:tc>
          <w:tcPr>
            <w:tcW w:w="100" w:type="dxa"/>
            <w:vAlign w:val="bottom"/>
          </w:tcPr>
          <w:p>
            <w:pPr>
              <w:spacing w:after="0"/>
              <w:rPr>
                <w:sz w:val="9"/>
                <w:szCs w:val="9"/>
                <w:color w:val="auto"/>
              </w:rPr>
            </w:pPr>
          </w:p>
        </w:tc>
        <w:tc>
          <w:tcPr>
            <w:tcW w:w="160" w:type="dxa"/>
            <w:vAlign w:val="bottom"/>
            <w:gridSpan w:val="2"/>
          </w:tcPr>
          <w:p>
            <w:pPr>
              <w:jc w:val="right"/>
              <w:spacing w:after="0" w:line="108" w:lineRule="exact"/>
              <w:rPr>
                <w:sz w:val="20"/>
                <w:szCs w:val="20"/>
                <w:color w:val="auto"/>
              </w:rPr>
            </w:pPr>
            <w:r>
              <w:rPr>
                <w:rFonts w:ascii="Arial" w:cs="Arial" w:eastAsia="Arial" w:hAnsi="Arial"/>
                <w:sz w:val="10"/>
                <w:szCs w:val="10"/>
                <w:color w:val="050505"/>
              </w:rPr>
              <w:t>$</w:t>
            </w:r>
          </w:p>
        </w:tc>
        <w:tc>
          <w:tcPr>
            <w:tcW w:w="400" w:type="dxa"/>
            <w:vAlign w:val="bottom"/>
          </w:tcPr>
          <w:p>
            <w:pPr>
              <w:jc w:val="right"/>
              <w:spacing w:after="0" w:line="108" w:lineRule="exact"/>
              <w:rPr>
                <w:sz w:val="20"/>
                <w:szCs w:val="20"/>
                <w:color w:val="auto"/>
              </w:rPr>
            </w:pPr>
            <w:r>
              <w:rPr>
                <w:rFonts w:ascii="Arial" w:cs="Arial" w:eastAsia="Arial" w:hAnsi="Arial"/>
                <w:sz w:val="10"/>
                <w:szCs w:val="10"/>
                <w:color w:val="050505"/>
              </w:rPr>
              <w:t>261.6</w:t>
            </w:r>
          </w:p>
        </w:tc>
        <w:tc>
          <w:tcPr>
            <w:tcW w:w="100" w:type="dxa"/>
            <w:vAlign w:val="bottom"/>
          </w:tcPr>
          <w:p>
            <w:pPr>
              <w:spacing w:after="0"/>
              <w:rPr>
                <w:sz w:val="9"/>
                <w:szCs w:val="9"/>
                <w:color w:val="auto"/>
              </w:rPr>
            </w:pPr>
          </w:p>
        </w:tc>
        <w:tc>
          <w:tcPr>
            <w:tcW w:w="140" w:type="dxa"/>
            <w:vAlign w:val="bottom"/>
            <w:gridSpan w:val="2"/>
          </w:tcPr>
          <w:p>
            <w:pPr>
              <w:jc w:val="right"/>
              <w:spacing w:after="0" w:line="108" w:lineRule="exact"/>
              <w:rPr>
                <w:sz w:val="20"/>
                <w:szCs w:val="20"/>
                <w:color w:val="auto"/>
              </w:rPr>
            </w:pPr>
            <w:r>
              <w:rPr>
                <w:rFonts w:ascii="Arial" w:cs="Arial" w:eastAsia="Arial" w:hAnsi="Arial"/>
                <w:sz w:val="10"/>
                <w:szCs w:val="10"/>
                <w:color w:val="050505"/>
              </w:rPr>
              <w:t>$</w:t>
            </w:r>
          </w:p>
        </w:tc>
        <w:tc>
          <w:tcPr>
            <w:tcW w:w="420" w:type="dxa"/>
            <w:vAlign w:val="bottom"/>
          </w:tcPr>
          <w:p>
            <w:pPr>
              <w:jc w:val="right"/>
              <w:spacing w:after="0" w:line="108" w:lineRule="exact"/>
              <w:rPr>
                <w:sz w:val="20"/>
                <w:szCs w:val="20"/>
                <w:color w:val="auto"/>
              </w:rPr>
            </w:pPr>
            <w:r>
              <w:rPr>
                <w:rFonts w:ascii="Arial" w:cs="Arial" w:eastAsia="Arial" w:hAnsi="Arial"/>
                <w:sz w:val="10"/>
                <w:szCs w:val="10"/>
                <w:color w:val="050505"/>
              </w:rPr>
              <w:t>158.4</w:t>
            </w:r>
          </w:p>
        </w:tc>
        <w:tc>
          <w:tcPr>
            <w:tcW w:w="60" w:type="dxa"/>
            <w:vAlign w:val="bottom"/>
          </w:tcPr>
          <w:p>
            <w:pPr>
              <w:spacing w:after="0"/>
              <w:rPr>
                <w:sz w:val="9"/>
                <w:szCs w:val="9"/>
                <w:color w:val="auto"/>
              </w:rPr>
            </w:pPr>
          </w:p>
        </w:tc>
      </w:tr>
      <w:tr>
        <w:trPr>
          <w:trHeight w:val="108"/>
        </w:trPr>
        <w:tc>
          <w:tcPr>
            <w:tcW w:w="2000" w:type="dxa"/>
            <w:vAlign w:val="bottom"/>
            <w:shd w:val="clear" w:color="auto" w:fill="CCEEFF"/>
          </w:tcPr>
          <w:p>
            <w:pPr>
              <w:ind w:left="160"/>
              <w:spacing w:after="0" w:line="108" w:lineRule="exact"/>
              <w:rPr>
                <w:sz w:val="20"/>
                <w:szCs w:val="20"/>
                <w:color w:val="auto"/>
              </w:rPr>
            </w:pPr>
            <w:r>
              <w:rPr>
                <w:rFonts w:ascii="Arial" w:cs="Arial" w:eastAsia="Arial" w:hAnsi="Arial"/>
                <w:sz w:val="10"/>
                <w:szCs w:val="10"/>
                <w:color w:val="050505"/>
              </w:rPr>
              <w:t>Subscription</w:t>
            </w:r>
          </w:p>
        </w:tc>
        <w:tc>
          <w:tcPr>
            <w:tcW w:w="2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050505"/>
              </w:rPr>
              <w:t>14.3</w:t>
            </w: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050505"/>
              </w:rPr>
              <w:t>16.5</w:t>
            </w: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050505"/>
              </w:rPr>
              <w:t>22.5</w:t>
            </w: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050505"/>
              </w:rPr>
              <w:t>27.0</w:t>
            </w: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28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050505"/>
              </w:rPr>
              <w:t>31.7</w:t>
            </w:r>
          </w:p>
        </w:tc>
        <w:tc>
          <w:tcPr>
            <w:tcW w:w="1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0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050505"/>
              </w:rPr>
              <w:t>37.3</w:t>
            </w:r>
          </w:p>
        </w:tc>
        <w:tc>
          <w:tcPr>
            <w:tcW w:w="1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0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050505"/>
              </w:rPr>
              <w:t>51.1</w:t>
            </w:r>
          </w:p>
        </w:tc>
        <w:tc>
          <w:tcPr>
            <w:tcW w:w="1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2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050505"/>
              </w:rPr>
              <w:t>61.0</w:t>
            </w:r>
          </w:p>
        </w:tc>
        <w:tc>
          <w:tcPr>
            <w:tcW w:w="60" w:type="dxa"/>
            <w:vAlign w:val="bottom"/>
            <w:shd w:val="clear" w:color="auto" w:fill="CCEEFF"/>
          </w:tcPr>
          <w:p>
            <w:pPr>
              <w:spacing w:after="0"/>
              <w:rPr>
                <w:sz w:val="9"/>
                <w:szCs w:val="9"/>
                <w:color w:val="auto"/>
              </w:rPr>
            </w:pPr>
          </w:p>
        </w:tc>
      </w:tr>
      <w:tr>
        <w:trPr>
          <w:trHeight w:val="108"/>
        </w:trPr>
        <w:tc>
          <w:tcPr>
            <w:tcW w:w="2000" w:type="dxa"/>
            <w:vAlign w:val="bottom"/>
          </w:tcPr>
          <w:p>
            <w:pPr>
              <w:ind w:left="160"/>
              <w:spacing w:after="0" w:line="108" w:lineRule="exact"/>
              <w:rPr>
                <w:sz w:val="20"/>
                <w:szCs w:val="20"/>
                <w:color w:val="auto"/>
              </w:rPr>
            </w:pPr>
            <w:r>
              <w:rPr>
                <w:rFonts w:ascii="Arial" w:cs="Arial" w:eastAsia="Arial" w:hAnsi="Arial"/>
                <w:sz w:val="10"/>
                <w:szCs w:val="10"/>
                <w:color w:val="050505"/>
              </w:rPr>
              <w:t>Other</w:t>
            </w:r>
          </w:p>
        </w:tc>
        <w:tc>
          <w:tcPr>
            <w:tcW w:w="2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jc w:val="right"/>
              <w:spacing w:after="0" w:line="108" w:lineRule="exact"/>
              <w:rPr>
                <w:sz w:val="20"/>
                <w:szCs w:val="20"/>
                <w:color w:val="auto"/>
              </w:rPr>
            </w:pPr>
            <w:r>
              <w:rPr>
                <w:rFonts w:ascii="Arial" w:cs="Arial" w:eastAsia="Arial" w:hAnsi="Arial"/>
                <w:sz w:val="10"/>
                <w:szCs w:val="10"/>
                <w:color w:val="050505"/>
              </w:rPr>
              <w:t>0.8</w:t>
            </w: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jc w:val="right"/>
              <w:spacing w:after="0" w:line="108" w:lineRule="exact"/>
              <w:rPr>
                <w:sz w:val="20"/>
                <w:szCs w:val="20"/>
                <w:color w:val="auto"/>
              </w:rPr>
            </w:pPr>
            <w:r>
              <w:rPr>
                <w:rFonts w:ascii="Arial" w:cs="Arial" w:eastAsia="Arial" w:hAnsi="Arial"/>
                <w:sz w:val="10"/>
                <w:szCs w:val="10"/>
                <w:color w:val="050505"/>
              </w:rPr>
              <w:t>1.6</w:t>
            </w: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jc w:val="right"/>
              <w:spacing w:after="0" w:line="108" w:lineRule="exact"/>
              <w:rPr>
                <w:sz w:val="20"/>
                <w:szCs w:val="20"/>
                <w:color w:val="auto"/>
              </w:rPr>
            </w:pPr>
            <w:r>
              <w:rPr>
                <w:rFonts w:ascii="Arial" w:cs="Arial" w:eastAsia="Arial" w:hAnsi="Arial"/>
                <w:sz w:val="10"/>
                <w:szCs w:val="10"/>
                <w:color w:val="050505"/>
              </w:rPr>
              <w:t>1.8</w:t>
            </w: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jc w:val="right"/>
              <w:spacing w:after="0" w:line="108" w:lineRule="exact"/>
              <w:rPr>
                <w:sz w:val="20"/>
                <w:szCs w:val="20"/>
                <w:color w:val="auto"/>
              </w:rPr>
            </w:pPr>
            <w:r>
              <w:rPr>
                <w:rFonts w:ascii="Arial" w:cs="Arial" w:eastAsia="Arial" w:hAnsi="Arial"/>
                <w:sz w:val="10"/>
                <w:szCs w:val="10"/>
                <w:color w:val="050505"/>
              </w:rPr>
              <w:t>2.0</w:t>
            </w: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jc w:val="right"/>
              <w:spacing w:after="0" w:line="108" w:lineRule="exact"/>
              <w:rPr>
                <w:sz w:val="20"/>
                <w:szCs w:val="20"/>
                <w:color w:val="auto"/>
              </w:rPr>
            </w:pPr>
            <w:r>
              <w:rPr>
                <w:rFonts w:ascii="Arial" w:cs="Arial" w:eastAsia="Arial" w:hAnsi="Arial"/>
                <w:sz w:val="10"/>
                <w:szCs w:val="10"/>
                <w:color w:val="050505"/>
              </w:rPr>
              <w:t>2.5</w:t>
            </w: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jc w:val="right"/>
              <w:spacing w:after="0" w:line="108" w:lineRule="exact"/>
              <w:rPr>
                <w:sz w:val="20"/>
                <w:szCs w:val="20"/>
                <w:color w:val="auto"/>
              </w:rPr>
            </w:pPr>
            <w:r>
              <w:rPr>
                <w:rFonts w:ascii="Arial" w:cs="Arial" w:eastAsia="Arial" w:hAnsi="Arial"/>
                <w:sz w:val="10"/>
                <w:szCs w:val="10"/>
                <w:color w:val="050505"/>
              </w:rPr>
              <w:t>4.2</w:t>
            </w: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jc w:val="right"/>
              <w:spacing w:after="0" w:line="108" w:lineRule="exact"/>
              <w:rPr>
                <w:sz w:val="20"/>
                <w:szCs w:val="20"/>
                <w:color w:val="auto"/>
              </w:rPr>
            </w:pPr>
            <w:r>
              <w:rPr>
                <w:rFonts w:ascii="Arial" w:cs="Arial" w:eastAsia="Arial" w:hAnsi="Arial"/>
                <w:sz w:val="10"/>
                <w:szCs w:val="10"/>
                <w:color w:val="050505"/>
              </w:rPr>
              <w:t>4.0</w:t>
            </w: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jc w:val="right"/>
              <w:spacing w:after="0" w:line="108" w:lineRule="exact"/>
              <w:rPr>
                <w:sz w:val="20"/>
                <w:szCs w:val="20"/>
                <w:color w:val="auto"/>
              </w:rPr>
            </w:pPr>
            <w:r>
              <w:rPr>
                <w:rFonts w:ascii="Arial" w:cs="Arial" w:eastAsia="Arial" w:hAnsi="Arial"/>
                <w:sz w:val="10"/>
                <w:szCs w:val="10"/>
                <w:color w:val="050505"/>
              </w:rPr>
              <w:t>4.0</w:t>
            </w:r>
          </w:p>
        </w:tc>
        <w:tc>
          <w:tcPr>
            <w:tcW w:w="60" w:type="dxa"/>
            <w:vAlign w:val="bottom"/>
          </w:tcPr>
          <w:p>
            <w:pPr>
              <w:spacing w:after="0"/>
              <w:rPr>
                <w:sz w:val="9"/>
                <w:szCs w:val="9"/>
                <w:color w:val="auto"/>
              </w:rPr>
            </w:pPr>
          </w:p>
        </w:tc>
      </w:tr>
      <w:tr>
        <w:trPr>
          <w:trHeight w:val="106"/>
        </w:trPr>
        <w:tc>
          <w:tcPr>
            <w:tcW w:w="2000" w:type="dxa"/>
            <w:vAlign w:val="bottom"/>
            <w:shd w:val="clear" w:color="auto" w:fill="CCEEFF"/>
          </w:tcPr>
          <w:p>
            <w:pPr>
              <w:ind w:left="260"/>
              <w:spacing w:after="0" w:line="106" w:lineRule="exact"/>
              <w:rPr>
                <w:sz w:val="20"/>
                <w:szCs w:val="20"/>
                <w:color w:val="auto"/>
              </w:rPr>
            </w:pPr>
            <w:r>
              <w:rPr>
                <w:rFonts w:ascii="Arial" w:cs="Arial" w:eastAsia="Arial" w:hAnsi="Arial"/>
                <w:sz w:val="10"/>
                <w:szCs w:val="10"/>
                <w:color w:val="050505"/>
              </w:rPr>
              <w:t>Total revenue</w:t>
            </w:r>
          </w:p>
        </w:tc>
        <w:tc>
          <w:tcPr>
            <w:tcW w:w="200" w:type="dxa"/>
            <w:vAlign w:val="bottom"/>
            <w:shd w:val="clear" w:color="auto" w:fill="CCEEFF"/>
          </w:tcPr>
          <w:p>
            <w:pPr>
              <w:spacing w:after="0"/>
              <w:rPr>
                <w:sz w:val="9"/>
                <w:szCs w:val="9"/>
                <w:color w:val="auto"/>
              </w:rPr>
            </w:pPr>
          </w:p>
        </w:tc>
        <w:tc>
          <w:tcPr>
            <w:tcW w:w="80" w:type="dxa"/>
            <w:vAlign w:val="bottom"/>
            <w:tcBorders>
              <w:bottom w:val="single" w:sz="8" w:color="auto"/>
            </w:tcBorders>
            <w:shd w:val="clear" w:color="auto" w:fill="CCEEFF"/>
          </w:tcPr>
          <w:p>
            <w:pPr>
              <w:spacing w:after="0"/>
              <w:rPr>
                <w:sz w:val="9"/>
                <w:szCs w:val="9"/>
                <w:color w:val="auto"/>
              </w:rPr>
            </w:pPr>
          </w:p>
        </w:tc>
        <w:tc>
          <w:tcPr>
            <w:tcW w:w="400" w:type="dxa"/>
            <w:vAlign w:val="bottom"/>
            <w:tcBorders>
              <w:bottom w:val="single" w:sz="8" w:color="auto"/>
            </w:tcBorders>
            <w:shd w:val="clear" w:color="auto" w:fill="CCEEFF"/>
          </w:tcPr>
          <w:p>
            <w:pPr>
              <w:jc w:val="right"/>
              <w:spacing w:after="0" w:line="106" w:lineRule="exact"/>
              <w:rPr>
                <w:sz w:val="20"/>
                <w:szCs w:val="20"/>
                <w:color w:val="auto"/>
              </w:rPr>
            </w:pPr>
            <w:r>
              <w:rPr>
                <w:rFonts w:ascii="Arial" w:cs="Arial" w:eastAsia="Arial" w:hAnsi="Arial"/>
                <w:sz w:val="10"/>
                <w:szCs w:val="10"/>
                <w:color w:val="050505"/>
              </w:rPr>
              <w:t>56.2</w:t>
            </w: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tcBorders>
              <w:bottom w:val="single" w:sz="8" w:color="auto"/>
            </w:tcBorders>
            <w:shd w:val="clear" w:color="auto" w:fill="CCEEFF"/>
          </w:tcPr>
          <w:p>
            <w:pPr>
              <w:spacing w:after="0"/>
              <w:rPr>
                <w:sz w:val="9"/>
                <w:szCs w:val="9"/>
                <w:color w:val="auto"/>
              </w:rPr>
            </w:pPr>
          </w:p>
        </w:tc>
        <w:tc>
          <w:tcPr>
            <w:tcW w:w="400" w:type="dxa"/>
            <w:vAlign w:val="bottom"/>
            <w:tcBorders>
              <w:bottom w:val="single" w:sz="8" w:color="auto"/>
            </w:tcBorders>
            <w:shd w:val="clear" w:color="auto" w:fill="CCEEFF"/>
          </w:tcPr>
          <w:p>
            <w:pPr>
              <w:jc w:val="right"/>
              <w:spacing w:after="0" w:line="106" w:lineRule="exact"/>
              <w:rPr>
                <w:sz w:val="20"/>
                <w:szCs w:val="20"/>
                <w:color w:val="auto"/>
              </w:rPr>
            </w:pPr>
            <w:r>
              <w:rPr>
                <w:rFonts w:ascii="Arial" w:cs="Arial" w:eastAsia="Arial" w:hAnsi="Arial"/>
                <w:sz w:val="10"/>
                <w:szCs w:val="10"/>
                <w:color w:val="050505"/>
              </w:rPr>
              <w:t>129.8</w:t>
            </w: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tcBorders>
              <w:bottom w:val="single" w:sz="8" w:color="auto"/>
            </w:tcBorders>
            <w:shd w:val="clear" w:color="auto" w:fill="CCEEFF"/>
          </w:tcPr>
          <w:p>
            <w:pPr>
              <w:spacing w:after="0"/>
              <w:rPr>
                <w:sz w:val="9"/>
                <w:szCs w:val="9"/>
                <w:color w:val="auto"/>
              </w:rPr>
            </w:pPr>
          </w:p>
        </w:tc>
        <w:tc>
          <w:tcPr>
            <w:tcW w:w="400" w:type="dxa"/>
            <w:vAlign w:val="bottom"/>
            <w:tcBorders>
              <w:bottom w:val="single" w:sz="8" w:color="auto"/>
            </w:tcBorders>
            <w:shd w:val="clear" w:color="auto" w:fill="CCEEFF"/>
          </w:tcPr>
          <w:p>
            <w:pPr>
              <w:jc w:val="right"/>
              <w:spacing w:after="0" w:line="106" w:lineRule="exact"/>
              <w:rPr>
                <w:sz w:val="20"/>
                <w:szCs w:val="20"/>
                <w:color w:val="auto"/>
              </w:rPr>
            </w:pPr>
            <w:r>
              <w:rPr>
                <w:rFonts w:ascii="Arial" w:cs="Arial" w:eastAsia="Arial" w:hAnsi="Arial"/>
                <w:sz w:val="10"/>
                <w:szCs w:val="10"/>
                <w:color w:val="050505"/>
              </w:rPr>
              <w:t>142.4</w:t>
            </w: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tcBorders>
              <w:bottom w:val="single" w:sz="8" w:color="auto"/>
            </w:tcBorders>
            <w:shd w:val="clear" w:color="auto" w:fill="CCEEFF"/>
          </w:tcPr>
          <w:p>
            <w:pPr>
              <w:spacing w:after="0"/>
              <w:rPr>
                <w:sz w:val="9"/>
                <w:szCs w:val="9"/>
                <w:color w:val="auto"/>
              </w:rPr>
            </w:pPr>
          </w:p>
        </w:tc>
        <w:tc>
          <w:tcPr>
            <w:tcW w:w="400" w:type="dxa"/>
            <w:vAlign w:val="bottom"/>
            <w:tcBorders>
              <w:bottom w:val="single" w:sz="8" w:color="auto"/>
            </w:tcBorders>
            <w:shd w:val="clear" w:color="auto" w:fill="CCEEFF"/>
          </w:tcPr>
          <w:p>
            <w:pPr>
              <w:jc w:val="right"/>
              <w:spacing w:after="0" w:line="106" w:lineRule="exact"/>
              <w:rPr>
                <w:sz w:val="20"/>
                <w:szCs w:val="20"/>
                <w:color w:val="auto"/>
              </w:rPr>
            </w:pPr>
            <w:r>
              <w:rPr>
                <w:rFonts w:ascii="Arial" w:cs="Arial" w:eastAsia="Arial" w:hAnsi="Arial"/>
                <w:sz w:val="10"/>
                <w:szCs w:val="10"/>
                <w:color w:val="050505"/>
              </w:rPr>
              <w:t>106.6</w:t>
            </w: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00" w:type="dxa"/>
            <w:vAlign w:val="bottom"/>
            <w:tcBorders>
              <w:bottom w:val="single" w:sz="8" w:color="auto"/>
            </w:tcBorders>
            <w:shd w:val="clear" w:color="auto" w:fill="CCEEFF"/>
          </w:tcPr>
          <w:p>
            <w:pPr>
              <w:spacing w:after="0"/>
              <w:rPr>
                <w:sz w:val="9"/>
                <w:szCs w:val="9"/>
                <w:color w:val="auto"/>
              </w:rPr>
            </w:pPr>
          </w:p>
        </w:tc>
        <w:tc>
          <w:tcPr>
            <w:tcW w:w="280" w:type="dxa"/>
            <w:vAlign w:val="bottom"/>
            <w:tcBorders>
              <w:bottom w:val="single" w:sz="8" w:color="auto"/>
            </w:tcBorders>
            <w:shd w:val="clear" w:color="auto" w:fill="CCEEFF"/>
          </w:tcPr>
          <w:p>
            <w:pPr>
              <w:jc w:val="right"/>
              <w:spacing w:after="0" w:line="106" w:lineRule="exact"/>
              <w:rPr>
                <w:sz w:val="20"/>
                <w:szCs w:val="20"/>
                <w:color w:val="auto"/>
              </w:rPr>
            </w:pPr>
            <w:r>
              <w:rPr>
                <w:rFonts w:ascii="Arial" w:cs="Arial" w:eastAsia="Arial" w:hAnsi="Arial"/>
                <w:sz w:val="10"/>
                <w:szCs w:val="10"/>
                <w:color w:val="050505"/>
              </w:rPr>
              <w:t>112.1</w:t>
            </w:r>
          </w:p>
        </w:tc>
        <w:tc>
          <w:tcPr>
            <w:tcW w:w="1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00" w:type="dxa"/>
            <w:vAlign w:val="bottom"/>
            <w:tcBorders>
              <w:bottom w:val="single" w:sz="8" w:color="auto"/>
            </w:tcBorders>
            <w:shd w:val="clear" w:color="auto" w:fill="CCEEFF"/>
          </w:tcPr>
          <w:p>
            <w:pPr>
              <w:spacing w:after="0"/>
              <w:rPr>
                <w:sz w:val="9"/>
                <w:szCs w:val="9"/>
                <w:color w:val="auto"/>
              </w:rPr>
            </w:pPr>
          </w:p>
        </w:tc>
        <w:tc>
          <w:tcPr>
            <w:tcW w:w="400" w:type="dxa"/>
            <w:vAlign w:val="bottom"/>
            <w:tcBorders>
              <w:bottom w:val="single" w:sz="8" w:color="auto"/>
            </w:tcBorders>
            <w:shd w:val="clear" w:color="auto" w:fill="CCEEFF"/>
          </w:tcPr>
          <w:p>
            <w:pPr>
              <w:jc w:val="right"/>
              <w:spacing w:after="0" w:line="106" w:lineRule="exact"/>
              <w:rPr>
                <w:sz w:val="20"/>
                <w:szCs w:val="20"/>
                <w:color w:val="auto"/>
              </w:rPr>
            </w:pPr>
            <w:r>
              <w:rPr>
                <w:rFonts w:ascii="Arial" w:cs="Arial" w:eastAsia="Arial" w:hAnsi="Arial"/>
                <w:sz w:val="10"/>
                <w:szCs w:val="10"/>
                <w:color w:val="050505"/>
              </w:rPr>
              <w:t>262.9</w:t>
            </w:r>
          </w:p>
        </w:tc>
        <w:tc>
          <w:tcPr>
            <w:tcW w:w="1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00" w:type="dxa"/>
            <w:vAlign w:val="bottom"/>
            <w:tcBorders>
              <w:bottom w:val="single" w:sz="8" w:color="auto"/>
            </w:tcBorders>
            <w:shd w:val="clear" w:color="auto" w:fill="CCEEFF"/>
          </w:tcPr>
          <w:p>
            <w:pPr>
              <w:spacing w:after="0"/>
              <w:rPr>
                <w:sz w:val="9"/>
                <w:szCs w:val="9"/>
                <w:color w:val="auto"/>
              </w:rPr>
            </w:pPr>
          </w:p>
        </w:tc>
        <w:tc>
          <w:tcPr>
            <w:tcW w:w="400" w:type="dxa"/>
            <w:vAlign w:val="bottom"/>
            <w:tcBorders>
              <w:bottom w:val="single" w:sz="8" w:color="auto"/>
            </w:tcBorders>
            <w:shd w:val="clear" w:color="auto" w:fill="CCEEFF"/>
          </w:tcPr>
          <w:p>
            <w:pPr>
              <w:jc w:val="right"/>
              <w:spacing w:after="0" w:line="106" w:lineRule="exact"/>
              <w:rPr>
                <w:sz w:val="20"/>
                <w:szCs w:val="20"/>
                <w:color w:val="auto"/>
              </w:rPr>
            </w:pPr>
            <w:r>
              <w:rPr>
                <w:rFonts w:ascii="Arial" w:cs="Arial" w:eastAsia="Arial" w:hAnsi="Arial"/>
                <w:sz w:val="10"/>
                <w:szCs w:val="10"/>
                <w:color w:val="050505"/>
              </w:rPr>
              <w:t>316.7</w:t>
            </w:r>
          </w:p>
        </w:tc>
        <w:tc>
          <w:tcPr>
            <w:tcW w:w="1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80" w:type="dxa"/>
            <w:vAlign w:val="bottom"/>
            <w:tcBorders>
              <w:bottom w:val="single" w:sz="8" w:color="auto"/>
            </w:tcBorders>
            <w:shd w:val="clear" w:color="auto" w:fill="CCEEFF"/>
          </w:tcPr>
          <w:p>
            <w:pPr>
              <w:spacing w:after="0"/>
              <w:rPr>
                <w:sz w:val="9"/>
                <w:szCs w:val="9"/>
                <w:color w:val="auto"/>
              </w:rPr>
            </w:pPr>
          </w:p>
        </w:tc>
        <w:tc>
          <w:tcPr>
            <w:tcW w:w="420" w:type="dxa"/>
            <w:vAlign w:val="bottom"/>
            <w:tcBorders>
              <w:bottom w:val="single" w:sz="8" w:color="auto"/>
            </w:tcBorders>
            <w:shd w:val="clear" w:color="auto" w:fill="CCEEFF"/>
          </w:tcPr>
          <w:p>
            <w:pPr>
              <w:jc w:val="right"/>
              <w:spacing w:after="0" w:line="106" w:lineRule="exact"/>
              <w:rPr>
                <w:sz w:val="20"/>
                <w:szCs w:val="20"/>
                <w:color w:val="auto"/>
              </w:rPr>
            </w:pPr>
            <w:r>
              <w:rPr>
                <w:rFonts w:ascii="Arial" w:cs="Arial" w:eastAsia="Arial" w:hAnsi="Arial"/>
                <w:sz w:val="10"/>
                <w:szCs w:val="10"/>
                <w:color w:val="050505"/>
              </w:rPr>
              <w:t>223.3</w:t>
            </w:r>
          </w:p>
        </w:tc>
        <w:tc>
          <w:tcPr>
            <w:tcW w:w="60" w:type="dxa"/>
            <w:vAlign w:val="bottom"/>
            <w:shd w:val="clear" w:color="auto" w:fill="CCEEFF"/>
          </w:tcPr>
          <w:p>
            <w:pPr>
              <w:spacing w:after="0"/>
              <w:rPr>
                <w:sz w:val="9"/>
                <w:szCs w:val="9"/>
                <w:color w:val="auto"/>
              </w:rPr>
            </w:pPr>
          </w:p>
        </w:tc>
      </w:tr>
      <w:tr>
        <w:trPr>
          <w:trHeight w:val="106"/>
        </w:trPr>
        <w:tc>
          <w:tcPr>
            <w:tcW w:w="2000" w:type="dxa"/>
            <w:vAlign w:val="bottom"/>
          </w:tcPr>
          <w:p>
            <w:pPr>
              <w:ind w:left="60"/>
              <w:spacing w:after="0" w:line="106" w:lineRule="exact"/>
              <w:rPr>
                <w:sz w:val="20"/>
                <w:szCs w:val="20"/>
                <w:color w:val="auto"/>
              </w:rPr>
            </w:pPr>
            <w:r>
              <w:rPr>
                <w:rFonts w:ascii="Arial" w:cs="Arial" w:eastAsia="Arial" w:hAnsi="Arial"/>
                <w:sz w:val="10"/>
                <w:szCs w:val="10"/>
                <w:color w:val="050505"/>
              </w:rPr>
              <w:t>Cost of revenue:</w:t>
            </w: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60" w:type="dxa"/>
            <w:vAlign w:val="bottom"/>
          </w:tcPr>
          <w:p>
            <w:pPr>
              <w:spacing w:after="0"/>
              <w:rPr>
                <w:sz w:val="9"/>
                <w:szCs w:val="9"/>
                <w:color w:val="auto"/>
              </w:rPr>
            </w:pPr>
          </w:p>
        </w:tc>
      </w:tr>
      <w:tr>
        <w:trPr>
          <w:trHeight w:val="108"/>
        </w:trPr>
        <w:tc>
          <w:tcPr>
            <w:tcW w:w="2000" w:type="dxa"/>
            <w:vAlign w:val="bottom"/>
            <w:shd w:val="clear" w:color="auto" w:fill="CCEEFF"/>
          </w:tcPr>
          <w:p>
            <w:pPr>
              <w:ind w:left="160"/>
              <w:spacing w:after="0" w:line="108" w:lineRule="exact"/>
              <w:rPr>
                <w:sz w:val="20"/>
                <w:szCs w:val="20"/>
                <w:color w:val="auto"/>
              </w:rPr>
            </w:pPr>
            <w:r>
              <w:rPr>
                <w:rFonts w:ascii="Arial" w:cs="Arial" w:eastAsia="Arial" w:hAnsi="Arial"/>
                <w:sz w:val="10"/>
                <w:szCs w:val="10"/>
                <w:color w:val="050505"/>
              </w:rPr>
              <w:t>Connected Fitness Products</w:t>
            </w:r>
          </w:p>
        </w:tc>
        <w:tc>
          <w:tcPr>
            <w:tcW w:w="2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050505"/>
              </w:rPr>
              <w:t>24.3</w:t>
            </w: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050505"/>
              </w:rPr>
              <w:t>61.6</w:t>
            </w: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050505"/>
              </w:rPr>
              <w:t>66.3</w:t>
            </w: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050505"/>
              </w:rPr>
              <w:t>42.8</w:t>
            </w: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28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050505"/>
              </w:rPr>
              <w:t>42.2</w:t>
            </w:r>
          </w:p>
        </w:tc>
        <w:tc>
          <w:tcPr>
            <w:tcW w:w="1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0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050505"/>
              </w:rPr>
              <w:t>126.5</w:t>
            </w:r>
          </w:p>
        </w:tc>
        <w:tc>
          <w:tcPr>
            <w:tcW w:w="1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0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050505"/>
              </w:rPr>
              <w:t>152.3</w:t>
            </w:r>
          </w:p>
        </w:tc>
        <w:tc>
          <w:tcPr>
            <w:tcW w:w="1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2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050505"/>
              </w:rPr>
              <w:t>89.7</w:t>
            </w:r>
          </w:p>
        </w:tc>
        <w:tc>
          <w:tcPr>
            <w:tcW w:w="60" w:type="dxa"/>
            <w:vAlign w:val="bottom"/>
            <w:shd w:val="clear" w:color="auto" w:fill="CCEEFF"/>
          </w:tcPr>
          <w:p>
            <w:pPr>
              <w:spacing w:after="0"/>
              <w:rPr>
                <w:sz w:val="9"/>
                <w:szCs w:val="9"/>
                <w:color w:val="auto"/>
              </w:rPr>
            </w:pPr>
          </w:p>
        </w:tc>
      </w:tr>
      <w:tr>
        <w:trPr>
          <w:trHeight w:val="108"/>
        </w:trPr>
        <w:tc>
          <w:tcPr>
            <w:tcW w:w="2000" w:type="dxa"/>
            <w:vAlign w:val="bottom"/>
          </w:tcPr>
          <w:p>
            <w:pPr>
              <w:ind w:left="160"/>
              <w:spacing w:after="0" w:line="108" w:lineRule="exact"/>
              <w:rPr>
                <w:sz w:val="20"/>
                <w:szCs w:val="20"/>
                <w:color w:val="auto"/>
              </w:rPr>
            </w:pPr>
            <w:r>
              <w:rPr>
                <w:rFonts w:ascii="Arial" w:cs="Arial" w:eastAsia="Arial" w:hAnsi="Arial"/>
                <w:sz w:val="10"/>
                <w:szCs w:val="10"/>
                <w:color w:val="050505"/>
              </w:rPr>
              <w:t>Subscription</w:t>
            </w: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jc w:val="right"/>
              <w:spacing w:after="0" w:line="108" w:lineRule="exact"/>
              <w:rPr>
                <w:sz w:val="20"/>
                <w:szCs w:val="20"/>
                <w:color w:val="auto"/>
              </w:rPr>
            </w:pPr>
            <w:r>
              <w:rPr>
                <w:rFonts w:ascii="Arial" w:cs="Arial" w:eastAsia="Arial" w:hAnsi="Arial"/>
                <w:sz w:val="10"/>
                <w:szCs w:val="10"/>
                <w:color w:val="050505"/>
              </w:rPr>
              <w:t>9.5</w:t>
            </w: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jc w:val="right"/>
              <w:spacing w:after="0" w:line="108" w:lineRule="exact"/>
              <w:rPr>
                <w:sz w:val="20"/>
                <w:szCs w:val="20"/>
                <w:color w:val="auto"/>
              </w:rPr>
            </w:pPr>
            <w:r>
              <w:rPr>
                <w:rFonts w:ascii="Arial" w:cs="Arial" w:eastAsia="Arial" w:hAnsi="Arial"/>
                <w:sz w:val="10"/>
                <w:szCs w:val="10"/>
                <w:color w:val="050505"/>
              </w:rPr>
              <w:t>8.2</w:t>
            </w: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jc w:val="right"/>
              <w:spacing w:after="0" w:line="108" w:lineRule="exact"/>
              <w:rPr>
                <w:sz w:val="20"/>
                <w:szCs w:val="20"/>
                <w:color w:val="auto"/>
              </w:rPr>
            </w:pPr>
            <w:r>
              <w:rPr>
                <w:rFonts w:ascii="Arial" w:cs="Arial" w:eastAsia="Arial" w:hAnsi="Arial"/>
                <w:sz w:val="10"/>
                <w:szCs w:val="10"/>
                <w:color w:val="050505"/>
              </w:rPr>
              <w:t>14.6</w:t>
            </w: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jc w:val="right"/>
              <w:spacing w:after="0" w:line="108" w:lineRule="exact"/>
              <w:rPr>
                <w:sz w:val="20"/>
                <w:szCs w:val="20"/>
                <w:color w:val="auto"/>
              </w:rPr>
            </w:pPr>
            <w:r>
              <w:rPr>
                <w:rFonts w:ascii="Arial" w:cs="Arial" w:eastAsia="Arial" w:hAnsi="Arial"/>
                <w:sz w:val="10"/>
                <w:szCs w:val="10"/>
                <w:color w:val="050505"/>
              </w:rPr>
              <w:t>13.2</w:t>
            </w: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80" w:type="dxa"/>
            <w:vAlign w:val="bottom"/>
          </w:tcPr>
          <w:p>
            <w:pPr>
              <w:jc w:val="right"/>
              <w:spacing w:after="0" w:line="108" w:lineRule="exact"/>
              <w:rPr>
                <w:sz w:val="20"/>
                <w:szCs w:val="20"/>
                <w:color w:val="auto"/>
              </w:rPr>
            </w:pPr>
            <w:r>
              <w:rPr>
                <w:rFonts w:ascii="Arial" w:cs="Arial" w:eastAsia="Arial" w:hAnsi="Arial"/>
                <w:sz w:val="10"/>
                <w:szCs w:val="10"/>
                <w:color w:val="050505"/>
              </w:rPr>
              <w:t>16.3</w:t>
            </w: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jc w:val="right"/>
              <w:spacing w:after="0" w:line="108" w:lineRule="exact"/>
              <w:rPr>
                <w:sz w:val="20"/>
                <w:szCs w:val="20"/>
                <w:color w:val="auto"/>
              </w:rPr>
            </w:pPr>
            <w:r>
              <w:rPr>
                <w:rFonts w:ascii="Arial" w:cs="Arial" w:eastAsia="Arial" w:hAnsi="Arial"/>
                <w:sz w:val="10"/>
                <w:szCs w:val="10"/>
                <w:color w:val="050505"/>
              </w:rPr>
              <w:t>20.3</w:t>
            </w: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jc w:val="right"/>
              <w:spacing w:after="0" w:line="108" w:lineRule="exact"/>
              <w:rPr>
                <w:sz w:val="20"/>
                <w:szCs w:val="20"/>
                <w:color w:val="auto"/>
              </w:rPr>
            </w:pPr>
            <w:r>
              <w:rPr>
                <w:rFonts w:ascii="Arial" w:cs="Arial" w:eastAsia="Arial" w:hAnsi="Arial"/>
                <w:sz w:val="10"/>
                <w:szCs w:val="10"/>
                <w:color w:val="050505"/>
              </w:rPr>
              <w:t>38.0</w:t>
            </w: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jc w:val="right"/>
              <w:spacing w:after="0" w:line="108" w:lineRule="exact"/>
              <w:rPr>
                <w:sz w:val="20"/>
                <w:szCs w:val="20"/>
                <w:color w:val="auto"/>
              </w:rPr>
            </w:pPr>
            <w:r>
              <w:rPr>
                <w:rFonts w:ascii="Arial" w:cs="Arial" w:eastAsia="Arial" w:hAnsi="Arial"/>
                <w:sz w:val="10"/>
                <w:szCs w:val="10"/>
                <w:color w:val="050505"/>
              </w:rPr>
              <w:t>29.1</w:t>
            </w:r>
          </w:p>
        </w:tc>
        <w:tc>
          <w:tcPr>
            <w:tcW w:w="60" w:type="dxa"/>
            <w:vAlign w:val="bottom"/>
          </w:tcPr>
          <w:p>
            <w:pPr>
              <w:spacing w:after="0"/>
              <w:rPr>
                <w:sz w:val="9"/>
                <w:szCs w:val="9"/>
                <w:color w:val="auto"/>
              </w:rPr>
            </w:pPr>
          </w:p>
        </w:tc>
      </w:tr>
      <w:tr>
        <w:trPr>
          <w:trHeight w:val="108"/>
        </w:trPr>
        <w:tc>
          <w:tcPr>
            <w:tcW w:w="2000" w:type="dxa"/>
            <w:vAlign w:val="bottom"/>
            <w:shd w:val="clear" w:color="auto" w:fill="CCEEFF"/>
          </w:tcPr>
          <w:p>
            <w:pPr>
              <w:ind w:left="160"/>
              <w:spacing w:after="0" w:line="108" w:lineRule="exact"/>
              <w:rPr>
                <w:sz w:val="20"/>
                <w:szCs w:val="20"/>
                <w:color w:val="auto"/>
              </w:rPr>
            </w:pPr>
            <w:r>
              <w:rPr>
                <w:rFonts w:ascii="Arial" w:cs="Arial" w:eastAsia="Arial" w:hAnsi="Arial"/>
                <w:sz w:val="10"/>
                <w:szCs w:val="10"/>
                <w:color w:val="050505"/>
              </w:rPr>
              <w:t>Other</w:t>
            </w:r>
          </w:p>
        </w:tc>
        <w:tc>
          <w:tcPr>
            <w:tcW w:w="200" w:type="dxa"/>
            <w:vAlign w:val="bottom"/>
            <w:shd w:val="clear" w:color="auto" w:fill="CCEEFF"/>
          </w:tcPr>
          <w:p>
            <w:pPr>
              <w:spacing w:after="0"/>
              <w:rPr>
                <w:sz w:val="9"/>
                <w:szCs w:val="9"/>
                <w:color w:val="auto"/>
              </w:rPr>
            </w:pPr>
          </w:p>
        </w:tc>
        <w:tc>
          <w:tcPr>
            <w:tcW w:w="80" w:type="dxa"/>
            <w:vAlign w:val="bottom"/>
            <w:tcBorders>
              <w:bottom w:val="single" w:sz="8" w:color="auto"/>
            </w:tcBorders>
            <w:shd w:val="clear" w:color="auto" w:fill="CCEEFF"/>
          </w:tcPr>
          <w:p>
            <w:pPr>
              <w:spacing w:after="0"/>
              <w:rPr>
                <w:sz w:val="9"/>
                <w:szCs w:val="9"/>
                <w:color w:val="auto"/>
              </w:rPr>
            </w:pPr>
          </w:p>
        </w:tc>
        <w:tc>
          <w:tcPr>
            <w:tcW w:w="400" w:type="dxa"/>
            <w:vAlign w:val="bottom"/>
            <w:tcBorders>
              <w:bottom w:val="single" w:sz="8" w:color="auto"/>
            </w:tcBorders>
            <w:shd w:val="clear" w:color="auto" w:fill="CCEEFF"/>
          </w:tcPr>
          <w:p>
            <w:pPr>
              <w:jc w:val="right"/>
              <w:spacing w:after="0" w:line="108" w:lineRule="exact"/>
              <w:rPr>
                <w:sz w:val="20"/>
                <w:szCs w:val="20"/>
                <w:color w:val="auto"/>
              </w:rPr>
            </w:pPr>
            <w:r>
              <w:rPr>
                <w:rFonts w:ascii="Arial" w:cs="Arial" w:eastAsia="Arial" w:hAnsi="Arial"/>
                <w:sz w:val="10"/>
                <w:szCs w:val="10"/>
                <w:color w:val="050505"/>
              </w:rPr>
              <w:t>0.7</w:t>
            </w: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tcBorders>
              <w:bottom w:val="single" w:sz="8" w:color="auto"/>
            </w:tcBorders>
            <w:shd w:val="clear" w:color="auto" w:fill="CCEEFF"/>
          </w:tcPr>
          <w:p>
            <w:pPr>
              <w:spacing w:after="0"/>
              <w:rPr>
                <w:sz w:val="9"/>
                <w:szCs w:val="9"/>
                <w:color w:val="auto"/>
              </w:rPr>
            </w:pPr>
          </w:p>
        </w:tc>
        <w:tc>
          <w:tcPr>
            <w:tcW w:w="400" w:type="dxa"/>
            <w:vAlign w:val="bottom"/>
            <w:tcBorders>
              <w:bottom w:val="single" w:sz="8" w:color="auto"/>
            </w:tcBorders>
            <w:shd w:val="clear" w:color="auto" w:fill="CCEEFF"/>
          </w:tcPr>
          <w:p>
            <w:pPr>
              <w:jc w:val="right"/>
              <w:spacing w:after="0" w:line="108" w:lineRule="exact"/>
              <w:rPr>
                <w:sz w:val="20"/>
                <w:szCs w:val="20"/>
                <w:color w:val="auto"/>
              </w:rPr>
            </w:pPr>
            <w:r>
              <w:rPr>
                <w:rFonts w:ascii="Arial" w:cs="Arial" w:eastAsia="Arial" w:hAnsi="Arial"/>
                <w:sz w:val="10"/>
                <w:szCs w:val="10"/>
                <w:color w:val="050505"/>
              </w:rPr>
              <w:t>1.2</w:t>
            </w: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tcBorders>
              <w:bottom w:val="single" w:sz="8" w:color="auto"/>
            </w:tcBorders>
            <w:shd w:val="clear" w:color="auto" w:fill="CCEEFF"/>
          </w:tcPr>
          <w:p>
            <w:pPr>
              <w:spacing w:after="0"/>
              <w:rPr>
                <w:sz w:val="9"/>
                <w:szCs w:val="9"/>
                <w:color w:val="auto"/>
              </w:rPr>
            </w:pPr>
          </w:p>
        </w:tc>
        <w:tc>
          <w:tcPr>
            <w:tcW w:w="400" w:type="dxa"/>
            <w:vAlign w:val="bottom"/>
            <w:tcBorders>
              <w:bottom w:val="single" w:sz="8" w:color="auto"/>
            </w:tcBorders>
            <w:shd w:val="clear" w:color="auto" w:fill="CCEEFF"/>
          </w:tcPr>
          <w:p>
            <w:pPr>
              <w:jc w:val="right"/>
              <w:spacing w:after="0" w:line="108" w:lineRule="exact"/>
              <w:rPr>
                <w:sz w:val="20"/>
                <w:szCs w:val="20"/>
                <w:color w:val="auto"/>
              </w:rPr>
            </w:pPr>
            <w:r>
              <w:rPr>
                <w:rFonts w:ascii="Arial" w:cs="Arial" w:eastAsia="Arial" w:hAnsi="Arial"/>
                <w:sz w:val="10"/>
                <w:szCs w:val="10"/>
                <w:color w:val="050505"/>
              </w:rPr>
              <w:t>1.2</w:t>
            </w: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tcBorders>
              <w:bottom w:val="single" w:sz="8" w:color="auto"/>
            </w:tcBorders>
            <w:shd w:val="clear" w:color="auto" w:fill="CCEEFF"/>
          </w:tcPr>
          <w:p>
            <w:pPr>
              <w:spacing w:after="0"/>
              <w:rPr>
                <w:sz w:val="9"/>
                <w:szCs w:val="9"/>
                <w:color w:val="auto"/>
              </w:rPr>
            </w:pPr>
          </w:p>
        </w:tc>
        <w:tc>
          <w:tcPr>
            <w:tcW w:w="400" w:type="dxa"/>
            <w:vAlign w:val="bottom"/>
            <w:tcBorders>
              <w:bottom w:val="single" w:sz="8" w:color="auto"/>
            </w:tcBorders>
            <w:shd w:val="clear" w:color="auto" w:fill="CCEEFF"/>
          </w:tcPr>
          <w:p>
            <w:pPr>
              <w:jc w:val="right"/>
              <w:spacing w:after="0" w:line="108" w:lineRule="exact"/>
              <w:rPr>
                <w:sz w:val="20"/>
                <w:szCs w:val="20"/>
                <w:color w:val="auto"/>
              </w:rPr>
            </w:pPr>
            <w:r>
              <w:rPr>
                <w:rFonts w:ascii="Arial" w:cs="Arial" w:eastAsia="Arial" w:hAnsi="Arial"/>
                <w:sz w:val="10"/>
                <w:szCs w:val="10"/>
                <w:color w:val="050505"/>
              </w:rPr>
              <w:t>1.8</w:t>
            </w: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00" w:type="dxa"/>
            <w:vAlign w:val="bottom"/>
            <w:tcBorders>
              <w:bottom w:val="single" w:sz="8" w:color="auto"/>
            </w:tcBorders>
            <w:shd w:val="clear" w:color="auto" w:fill="CCEEFF"/>
          </w:tcPr>
          <w:p>
            <w:pPr>
              <w:spacing w:after="0"/>
              <w:rPr>
                <w:sz w:val="9"/>
                <w:szCs w:val="9"/>
                <w:color w:val="auto"/>
              </w:rPr>
            </w:pPr>
          </w:p>
        </w:tc>
        <w:tc>
          <w:tcPr>
            <w:tcW w:w="280" w:type="dxa"/>
            <w:vAlign w:val="bottom"/>
            <w:tcBorders>
              <w:bottom w:val="single" w:sz="8" w:color="auto"/>
            </w:tcBorders>
            <w:shd w:val="clear" w:color="auto" w:fill="CCEEFF"/>
          </w:tcPr>
          <w:p>
            <w:pPr>
              <w:jc w:val="right"/>
              <w:spacing w:after="0" w:line="108" w:lineRule="exact"/>
              <w:rPr>
                <w:sz w:val="20"/>
                <w:szCs w:val="20"/>
                <w:color w:val="auto"/>
              </w:rPr>
            </w:pPr>
            <w:r>
              <w:rPr>
                <w:rFonts w:ascii="Arial" w:cs="Arial" w:eastAsia="Arial" w:hAnsi="Arial"/>
                <w:sz w:val="10"/>
                <w:szCs w:val="10"/>
                <w:color w:val="050505"/>
              </w:rPr>
              <w:t>2.1</w:t>
            </w:r>
          </w:p>
        </w:tc>
        <w:tc>
          <w:tcPr>
            <w:tcW w:w="1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00" w:type="dxa"/>
            <w:vAlign w:val="bottom"/>
            <w:tcBorders>
              <w:bottom w:val="single" w:sz="8" w:color="auto"/>
            </w:tcBorders>
            <w:shd w:val="clear" w:color="auto" w:fill="CCEEFF"/>
          </w:tcPr>
          <w:p>
            <w:pPr>
              <w:spacing w:after="0"/>
              <w:rPr>
                <w:sz w:val="9"/>
                <w:szCs w:val="9"/>
                <w:color w:val="auto"/>
              </w:rPr>
            </w:pPr>
          </w:p>
        </w:tc>
        <w:tc>
          <w:tcPr>
            <w:tcW w:w="400" w:type="dxa"/>
            <w:vAlign w:val="bottom"/>
            <w:tcBorders>
              <w:bottom w:val="single" w:sz="8" w:color="auto"/>
            </w:tcBorders>
            <w:shd w:val="clear" w:color="auto" w:fill="CCEEFF"/>
          </w:tcPr>
          <w:p>
            <w:pPr>
              <w:jc w:val="right"/>
              <w:spacing w:after="0" w:line="108" w:lineRule="exact"/>
              <w:rPr>
                <w:sz w:val="20"/>
                <w:szCs w:val="20"/>
                <w:color w:val="auto"/>
              </w:rPr>
            </w:pPr>
            <w:r>
              <w:rPr>
                <w:rFonts w:ascii="Arial" w:cs="Arial" w:eastAsia="Arial" w:hAnsi="Arial"/>
                <w:sz w:val="10"/>
                <w:szCs w:val="10"/>
                <w:color w:val="050505"/>
              </w:rPr>
              <w:t>4.6</w:t>
            </w:r>
          </w:p>
        </w:tc>
        <w:tc>
          <w:tcPr>
            <w:tcW w:w="1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00" w:type="dxa"/>
            <w:vAlign w:val="bottom"/>
            <w:tcBorders>
              <w:bottom w:val="single" w:sz="8" w:color="auto"/>
            </w:tcBorders>
            <w:shd w:val="clear" w:color="auto" w:fill="CCEEFF"/>
          </w:tcPr>
          <w:p>
            <w:pPr>
              <w:spacing w:after="0"/>
              <w:rPr>
                <w:sz w:val="9"/>
                <w:szCs w:val="9"/>
                <w:color w:val="auto"/>
              </w:rPr>
            </w:pPr>
          </w:p>
        </w:tc>
        <w:tc>
          <w:tcPr>
            <w:tcW w:w="400" w:type="dxa"/>
            <w:vAlign w:val="bottom"/>
            <w:tcBorders>
              <w:bottom w:val="single" w:sz="8" w:color="auto"/>
            </w:tcBorders>
            <w:shd w:val="clear" w:color="auto" w:fill="CCEEFF"/>
          </w:tcPr>
          <w:p>
            <w:pPr>
              <w:jc w:val="right"/>
              <w:spacing w:after="0" w:line="108" w:lineRule="exact"/>
              <w:rPr>
                <w:sz w:val="20"/>
                <w:szCs w:val="20"/>
                <w:color w:val="auto"/>
              </w:rPr>
            </w:pPr>
            <w:r>
              <w:rPr>
                <w:rFonts w:ascii="Arial" w:cs="Arial" w:eastAsia="Arial" w:hAnsi="Arial"/>
                <w:sz w:val="10"/>
                <w:szCs w:val="10"/>
                <w:color w:val="050505"/>
              </w:rPr>
              <w:t>5.8</w:t>
            </w:r>
          </w:p>
        </w:tc>
        <w:tc>
          <w:tcPr>
            <w:tcW w:w="1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80" w:type="dxa"/>
            <w:vAlign w:val="bottom"/>
            <w:tcBorders>
              <w:bottom w:val="single" w:sz="8" w:color="auto"/>
            </w:tcBorders>
            <w:shd w:val="clear" w:color="auto" w:fill="CCEEFF"/>
          </w:tcPr>
          <w:p>
            <w:pPr>
              <w:spacing w:after="0"/>
              <w:rPr>
                <w:sz w:val="9"/>
                <w:szCs w:val="9"/>
                <w:color w:val="auto"/>
              </w:rPr>
            </w:pPr>
          </w:p>
        </w:tc>
        <w:tc>
          <w:tcPr>
            <w:tcW w:w="420" w:type="dxa"/>
            <w:vAlign w:val="bottom"/>
            <w:tcBorders>
              <w:bottom w:val="single" w:sz="8" w:color="auto"/>
            </w:tcBorders>
            <w:shd w:val="clear" w:color="auto" w:fill="CCEEFF"/>
          </w:tcPr>
          <w:p>
            <w:pPr>
              <w:jc w:val="right"/>
              <w:spacing w:after="0" w:line="108" w:lineRule="exact"/>
              <w:rPr>
                <w:sz w:val="20"/>
                <w:szCs w:val="20"/>
                <w:color w:val="auto"/>
              </w:rPr>
            </w:pPr>
            <w:r>
              <w:rPr>
                <w:rFonts w:ascii="Arial" w:cs="Arial" w:eastAsia="Arial" w:hAnsi="Arial"/>
                <w:sz w:val="10"/>
                <w:szCs w:val="10"/>
                <w:color w:val="050505"/>
              </w:rPr>
              <w:t>4.4</w:t>
            </w:r>
          </w:p>
        </w:tc>
        <w:tc>
          <w:tcPr>
            <w:tcW w:w="60" w:type="dxa"/>
            <w:vAlign w:val="bottom"/>
            <w:shd w:val="clear" w:color="auto" w:fill="CCEEFF"/>
          </w:tcPr>
          <w:p>
            <w:pPr>
              <w:spacing w:after="0"/>
              <w:rPr>
                <w:sz w:val="9"/>
                <w:szCs w:val="9"/>
                <w:color w:val="auto"/>
              </w:rPr>
            </w:pPr>
          </w:p>
        </w:tc>
      </w:tr>
      <w:tr>
        <w:trPr>
          <w:trHeight w:val="106"/>
        </w:trPr>
        <w:tc>
          <w:tcPr>
            <w:tcW w:w="2000" w:type="dxa"/>
            <w:vAlign w:val="bottom"/>
          </w:tcPr>
          <w:p>
            <w:pPr>
              <w:ind w:left="260"/>
              <w:spacing w:after="0" w:line="106" w:lineRule="exact"/>
              <w:rPr>
                <w:sz w:val="20"/>
                <w:szCs w:val="20"/>
                <w:color w:val="auto"/>
              </w:rPr>
            </w:pPr>
            <w:r>
              <w:rPr>
                <w:rFonts w:ascii="Arial" w:cs="Arial" w:eastAsia="Arial" w:hAnsi="Arial"/>
                <w:sz w:val="10"/>
                <w:szCs w:val="10"/>
                <w:color w:val="050505"/>
              </w:rPr>
              <w:t>Total cost of revenue</w:t>
            </w:r>
          </w:p>
        </w:tc>
        <w:tc>
          <w:tcPr>
            <w:tcW w:w="2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jc w:val="right"/>
              <w:spacing w:after="0" w:line="106" w:lineRule="exact"/>
              <w:rPr>
                <w:sz w:val="20"/>
                <w:szCs w:val="20"/>
                <w:color w:val="auto"/>
              </w:rPr>
            </w:pPr>
            <w:r>
              <w:rPr>
                <w:rFonts w:ascii="Arial" w:cs="Arial" w:eastAsia="Arial" w:hAnsi="Arial"/>
                <w:sz w:val="10"/>
                <w:szCs w:val="10"/>
                <w:color w:val="050505"/>
              </w:rPr>
              <w:t>34.5</w:t>
            </w: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jc w:val="right"/>
              <w:spacing w:after="0" w:line="106" w:lineRule="exact"/>
              <w:rPr>
                <w:sz w:val="20"/>
                <w:szCs w:val="20"/>
                <w:color w:val="auto"/>
              </w:rPr>
            </w:pPr>
            <w:r>
              <w:rPr>
                <w:rFonts w:ascii="Arial" w:cs="Arial" w:eastAsia="Arial" w:hAnsi="Arial"/>
                <w:sz w:val="10"/>
                <w:szCs w:val="10"/>
                <w:color w:val="050505"/>
              </w:rPr>
              <w:t>70.9</w:t>
            </w: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jc w:val="right"/>
              <w:spacing w:after="0" w:line="106" w:lineRule="exact"/>
              <w:rPr>
                <w:sz w:val="20"/>
                <w:szCs w:val="20"/>
                <w:color w:val="auto"/>
              </w:rPr>
            </w:pPr>
            <w:r>
              <w:rPr>
                <w:rFonts w:ascii="Arial" w:cs="Arial" w:eastAsia="Arial" w:hAnsi="Arial"/>
                <w:sz w:val="10"/>
                <w:szCs w:val="10"/>
                <w:color w:val="050505"/>
              </w:rPr>
              <w:t>82.1</w:t>
            </w: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jc w:val="right"/>
              <w:spacing w:after="0" w:line="106" w:lineRule="exact"/>
              <w:rPr>
                <w:sz w:val="20"/>
                <w:szCs w:val="20"/>
                <w:color w:val="auto"/>
              </w:rPr>
            </w:pPr>
            <w:r>
              <w:rPr>
                <w:rFonts w:ascii="Arial" w:cs="Arial" w:eastAsia="Arial" w:hAnsi="Arial"/>
                <w:sz w:val="10"/>
                <w:szCs w:val="10"/>
                <w:color w:val="050505"/>
              </w:rPr>
              <w:t>57.9</w:t>
            </w: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jc w:val="right"/>
              <w:spacing w:after="0" w:line="106" w:lineRule="exact"/>
              <w:rPr>
                <w:sz w:val="20"/>
                <w:szCs w:val="20"/>
                <w:color w:val="auto"/>
              </w:rPr>
            </w:pPr>
            <w:r>
              <w:rPr>
                <w:rFonts w:ascii="Arial" w:cs="Arial" w:eastAsia="Arial" w:hAnsi="Arial"/>
                <w:sz w:val="10"/>
                <w:szCs w:val="10"/>
                <w:color w:val="050505"/>
              </w:rPr>
              <w:t>60.6</w:t>
            </w: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jc w:val="right"/>
              <w:spacing w:after="0" w:line="106" w:lineRule="exact"/>
              <w:rPr>
                <w:sz w:val="20"/>
                <w:szCs w:val="20"/>
                <w:color w:val="auto"/>
              </w:rPr>
            </w:pPr>
            <w:r>
              <w:rPr>
                <w:rFonts w:ascii="Arial" w:cs="Arial" w:eastAsia="Arial" w:hAnsi="Arial"/>
                <w:sz w:val="10"/>
                <w:szCs w:val="10"/>
                <w:color w:val="050505"/>
              </w:rPr>
              <w:t>151.5</w:t>
            </w: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jc w:val="right"/>
              <w:spacing w:after="0" w:line="106" w:lineRule="exact"/>
              <w:rPr>
                <w:sz w:val="20"/>
                <w:szCs w:val="20"/>
                <w:color w:val="auto"/>
              </w:rPr>
            </w:pPr>
            <w:r>
              <w:rPr>
                <w:rFonts w:ascii="Arial" w:cs="Arial" w:eastAsia="Arial" w:hAnsi="Arial"/>
                <w:sz w:val="10"/>
                <w:szCs w:val="10"/>
                <w:color w:val="050505"/>
              </w:rPr>
              <w:t>196.1</w:t>
            </w: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jc w:val="right"/>
              <w:spacing w:after="0" w:line="106" w:lineRule="exact"/>
              <w:rPr>
                <w:sz w:val="20"/>
                <w:szCs w:val="20"/>
                <w:color w:val="auto"/>
              </w:rPr>
            </w:pPr>
            <w:r>
              <w:rPr>
                <w:rFonts w:ascii="Arial" w:cs="Arial" w:eastAsia="Arial" w:hAnsi="Arial"/>
                <w:sz w:val="10"/>
                <w:szCs w:val="10"/>
                <w:color w:val="050505"/>
              </w:rPr>
              <w:t>123.2</w:t>
            </w:r>
          </w:p>
        </w:tc>
        <w:tc>
          <w:tcPr>
            <w:tcW w:w="60" w:type="dxa"/>
            <w:vAlign w:val="bottom"/>
          </w:tcPr>
          <w:p>
            <w:pPr>
              <w:spacing w:after="0"/>
              <w:rPr>
                <w:sz w:val="9"/>
                <w:szCs w:val="9"/>
                <w:color w:val="auto"/>
              </w:rPr>
            </w:pPr>
          </w:p>
        </w:tc>
      </w:tr>
      <w:tr>
        <w:trPr>
          <w:trHeight w:val="106"/>
        </w:trPr>
        <w:tc>
          <w:tcPr>
            <w:tcW w:w="2000" w:type="dxa"/>
            <w:vAlign w:val="bottom"/>
            <w:shd w:val="clear" w:color="auto" w:fill="CCEEFF"/>
          </w:tcPr>
          <w:p>
            <w:pPr>
              <w:ind w:left="60"/>
              <w:spacing w:after="0" w:line="106" w:lineRule="exact"/>
              <w:rPr>
                <w:sz w:val="20"/>
                <w:szCs w:val="20"/>
                <w:color w:val="auto"/>
              </w:rPr>
            </w:pPr>
            <w:r>
              <w:rPr>
                <w:rFonts w:ascii="Arial" w:cs="Arial" w:eastAsia="Arial" w:hAnsi="Arial"/>
                <w:sz w:val="10"/>
                <w:szCs w:val="10"/>
                <w:color w:val="050505"/>
              </w:rPr>
              <w:t>Gross profit</w:t>
            </w:r>
          </w:p>
        </w:tc>
        <w:tc>
          <w:tcPr>
            <w:tcW w:w="2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0" w:type="dxa"/>
            <w:vAlign w:val="bottom"/>
            <w:shd w:val="clear" w:color="auto" w:fill="CCEEFF"/>
          </w:tcPr>
          <w:p>
            <w:pPr>
              <w:jc w:val="right"/>
              <w:spacing w:after="0" w:line="106" w:lineRule="exact"/>
              <w:rPr>
                <w:sz w:val="20"/>
                <w:szCs w:val="20"/>
                <w:color w:val="auto"/>
              </w:rPr>
            </w:pPr>
            <w:r>
              <w:rPr>
                <w:rFonts w:ascii="Arial" w:cs="Arial" w:eastAsia="Arial" w:hAnsi="Arial"/>
                <w:sz w:val="10"/>
                <w:szCs w:val="10"/>
                <w:color w:val="050505"/>
              </w:rPr>
              <w:t>21.7</w:t>
            </w: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0" w:type="dxa"/>
            <w:vAlign w:val="bottom"/>
            <w:shd w:val="clear" w:color="auto" w:fill="CCEEFF"/>
          </w:tcPr>
          <w:p>
            <w:pPr>
              <w:jc w:val="right"/>
              <w:spacing w:after="0" w:line="106" w:lineRule="exact"/>
              <w:rPr>
                <w:sz w:val="20"/>
                <w:szCs w:val="20"/>
                <w:color w:val="auto"/>
              </w:rPr>
            </w:pPr>
            <w:r>
              <w:rPr>
                <w:rFonts w:ascii="Arial" w:cs="Arial" w:eastAsia="Arial" w:hAnsi="Arial"/>
                <w:sz w:val="10"/>
                <w:szCs w:val="10"/>
                <w:color w:val="050505"/>
              </w:rPr>
              <w:t>58.8</w:t>
            </w: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0" w:type="dxa"/>
            <w:vAlign w:val="bottom"/>
            <w:shd w:val="clear" w:color="auto" w:fill="CCEEFF"/>
          </w:tcPr>
          <w:p>
            <w:pPr>
              <w:jc w:val="right"/>
              <w:spacing w:after="0" w:line="106" w:lineRule="exact"/>
              <w:rPr>
                <w:sz w:val="20"/>
                <w:szCs w:val="20"/>
                <w:color w:val="auto"/>
              </w:rPr>
            </w:pPr>
            <w:r>
              <w:rPr>
                <w:rFonts w:ascii="Arial" w:cs="Arial" w:eastAsia="Arial" w:hAnsi="Arial"/>
                <w:sz w:val="10"/>
                <w:szCs w:val="10"/>
                <w:color w:val="050505"/>
              </w:rPr>
              <w:t>60.3</w:t>
            </w: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0" w:type="dxa"/>
            <w:vAlign w:val="bottom"/>
            <w:shd w:val="clear" w:color="auto" w:fill="CCEEFF"/>
          </w:tcPr>
          <w:p>
            <w:pPr>
              <w:jc w:val="right"/>
              <w:spacing w:after="0" w:line="106" w:lineRule="exact"/>
              <w:rPr>
                <w:sz w:val="20"/>
                <w:szCs w:val="20"/>
                <w:color w:val="auto"/>
              </w:rPr>
            </w:pPr>
            <w:r>
              <w:rPr>
                <w:rFonts w:ascii="Arial" w:cs="Arial" w:eastAsia="Arial" w:hAnsi="Arial"/>
                <w:sz w:val="10"/>
                <w:szCs w:val="10"/>
                <w:color w:val="050505"/>
              </w:rPr>
              <w:t>48.7</w:t>
            </w: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280" w:type="dxa"/>
            <w:vAlign w:val="bottom"/>
            <w:shd w:val="clear" w:color="auto" w:fill="CCEEFF"/>
          </w:tcPr>
          <w:p>
            <w:pPr>
              <w:jc w:val="right"/>
              <w:spacing w:after="0" w:line="106" w:lineRule="exact"/>
              <w:rPr>
                <w:sz w:val="20"/>
                <w:szCs w:val="20"/>
                <w:color w:val="auto"/>
              </w:rPr>
            </w:pPr>
            <w:r>
              <w:rPr>
                <w:rFonts w:ascii="Arial" w:cs="Arial" w:eastAsia="Arial" w:hAnsi="Arial"/>
                <w:sz w:val="10"/>
                <w:szCs w:val="10"/>
                <w:color w:val="050505"/>
              </w:rPr>
              <w:t>51.5</w:t>
            </w:r>
          </w:p>
        </w:tc>
        <w:tc>
          <w:tcPr>
            <w:tcW w:w="1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00" w:type="dxa"/>
            <w:vAlign w:val="bottom"/>
            <w:shd w:val="clear" w:color="auto" w:fill="CCEEFF"/>
          </w:tcPr>
          <w:p>
            <w:pPr>
              <w:jc w:val="right"/>
              <w:spacing w:after="0" w:line="106" w:lineRule="exact"/>
              <w:rPr>
                <w:sz w:val="20"/>
                <w:szCs w:val="20"/>
                <w:color w:val="auto"/>
              </w:rPr>
            </w:pPr>
            <w:r>
              <w:rPr>
                <w:rFonts w:ascii="Arial" w:cs="Arial" w:eastAsia="Arial" w:hAnsi="Arial"/>
                <w:sz w:val="10"/>
                <w:szCs w:val="10"/>
                <w:color w:val="050505"/>
              </w:rPr>
              <w:t>111.3</w:t>
            </w:r>
          </w:p>
        </w:tc>
        <w:tc>
          <w:tcPr>
            <w:tcW w:w="1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00" w:type="dxa"/>
            <w:vAlign w:val="bottom"/>
            <w:shd w:val="clear" w:color="auto" w:fill="CCEEFF"/>
          </w:tcPr>
          <w:p>
            <w:pPr>
              <w:jc w:val="right"/>
              <w:spacing w:after="0" w:line="106" w:lineRule="exact"/>
              <w:rPr>
                <w:sz w:val="20"/>
                <w:szCs w:val="20"/>
                <w:color w:val="auto"/>
              </w:rPr>
            </w:pPr>
            <w:r>
              <w:rPr>
                <w:rFonts w:ascii="Arial" w:cs="Arial" w:eastAsia="Arial" w:hAnsi="Arial"/>
                <w:sz w:val="10"/>
                <w:szCs w:val="10"/>
                <w:color w:val="050505"/>
              </w:rPr>
              <w:t>120.6</w:t>
            </w:r>
          </w:p>
        </w:tc>
        <w:tc>
          <w:tcPr>
            <w:tcW w:w="1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20" w:type="dxa"/>
            <w:vAlign w:val="bottom"/>
            <w:shd w:val="clear" w:color="auto" w:fill="CCEEFF"/>
          </w:tcPr>
          <w:p>
            <w:pPr>
              <w:jc w:val="right"/>
              <w:spacing w:after="0" w:line="106" w:lineRule="exact"/>
              <w:rPr>
                <w:sz w:val="20"/>
                <w:szCs w:val="20"/>
                <w:color w:val="auto"/>
              </w:rPr>
            </w:pPr>
            <w:r>
              <w:rPr>
                <w:rFonts w:ascii="Arial" w:cs="Arial" w:eastAsia="Arial" w:hAnsi="Arial"/>
                <w:sz w:val="10"/>
                <w:szCs w:val="10"/>
                <w:color w:val="050505"/>
              </w:rPr>
              <w:t>100.1</w:t>
            </w:r>
          </w:p>
        </w:tc>
        <w:tc>
          <w:tcPr>
            <w:tcW w:w="60" w:type="dxa"/>
            <w:vAlign w:val="bottom"/>
            <w:shd w:val="clear" w:color="auto" w:fill="CCEEFF"/>
          </w:tcPr>
          <w:p>
            <w:pPr>
              <w:spacing w:after="0"/>
              <w:rPr>
                <w:sz w:val="9"/>
                <w:szCs w:val="9"/>
                <w:color w:val="auto"/>
              </w:rPr>
            </w:pPr>
          </w:p>
        </w:tc>
      </w:tr>
      <w:tr>
        <w:trPr>
          <w:trHeight w:val="108"/>
        </w:trPr>
        <w:tc>
          <w:tcPr>
            <w:tcW w:w="2000" w:type="dxa"/>
            <w:vAlign w:val="bottom"/>
          </w:tcPr>
          <w:p>
            <w:pPr>
              <w:ind w:left="60"/>
              <w:spacing w:after="0" w:line="108" w:lineRule="exact"/>
              <w:rPr>
                <w:sz w:val="20"/>
                <w:szCs w:val="20"/>
                <w:color w:val="auto"/>
              </w:rPr>
            </w:pPr>
            <w:r>
              <w:rPr>
                <w:rFonts w:ascii="Arial" w:cs="Arial" w:eastAsia="Arial" w:hAnsi="Arial"/>
                <w:sz w:val="10"/>
                <w:szCs w:val="10"/>
                <w:color w:val="050505"/>
              </w:rPr>
              <w:t>Operating expenses:</w:t>
            </w: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60" w:type="dxa"/>
            <w:vAlign w:val="bottom"/>
          </w:tcPr>
          <w:p>
            <w:pPr>
              <w:spacing w:after="0"/>
              <w:rPr>
                <w:sz w:val="9"/>
                <w:szCs w:val="9"/>
                <w:color w:val="auto"/>
              </w:rPr>
            </w:pPr>
          </w:p>
        </w:tc>
      </w:tr>
      <w:tr>
        <w:trPr>
          <w:trHeight w:val="108"/>
        </w:trPr>
        <w:tc>
          <w:tcPr>
            <w:tcW w:w="2000" w:type="dxa"/>
            <w:vAlign w:val="bottom"/>
            <w:shd w:val="clear" w:color="auto" w:fill="CCEEFF"/>
          </w:tcPr>
          <w:p>
            <w:pPr>
              <w:ind w:left="160"/>
              <w:spacing w:after="0" w:line="108" w:lineRule="exact"/>
              <w:rPr>
                <w:sz w:val="20"/>
                <w:szCs w:val="20"/>
                <w:color w:val="auto"/>
              </w:rPr>
            </w:pPr>
            <w:r>
              <w:rPr>
                <w:rFonts w:ascii="Arial" w:cs="Arial" w:eastAsia="Arial" w:hAnsi="Arial"/>
                <w:sz w:val="10"/>
                <w:szCs w:val="10"/>
                <w:color w:val="050505"/>
              </w:rPr>
              <w:t>Research and development</w:t>
            </w:r>
          </w:p>
        </w:tc>
        <w:tc>
          <w:tcPr>
            <w:tcW w:w="2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050505"/>
              </w:rPr>
              <w:t>4.8</w:t>
            </w: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050505"/>
              </w:rPr>
              <w:t>4.9</w:t>
            </w: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050505"/>
              </w:rPr>
              <w:t>6.9</w:t>
            </w: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050505"/>
              </w:rPr>
              <w:t>6.7</w:t>
            </w: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28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050505"/>
              </w:rPr>
              <w:t>11.6</w:t>
            </w:r>
          </w:p>
        </w:tc>
        <w:tc>
          <w:tcPr>
            <w:tcW w:w="1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0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050505"/>
              </w:rPr>
              <w:t>12.4</w:t>
            </w:r>
          </w:p>
        </w:tc>
        <w:tc>
          <w:tcPr>
            <w:tcW w:w="1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0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050505"/>
              </w:rPr>
              <w:t>13.8</w:t>
            </w:r>
          </w:p>
        </w:tc>
        <w:tc>
          <w:tcPr>
            <w:tcW w:w="1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2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050505"/>
              </w:rPr>
              <w:t>17.0</w:t>
            </w:r>
          </w:p>
        </w:tc>
        <w:tc>
          <w:tcPr>
            <w:tcW w:w="60" w:type="dxa"/>
            <w:vAlign w:val="bottom"/>
            <w:shd w:val="clear" w:color="auto" w:fill="CCEEFF"/>
          </w:tcPr>
          <w:p>
            <w:pPr>
              <w:spacing w:after="0"/>
              <w:rPr>
                <w:sz w:val="9"/>
                <w:szCs w:val="9"/>
                <w:color w:val="auto"/>
              </w:rPr>
            </w:pPr>
          </w:p>
        </w:tc>
      </w:tr>
      <w:tr>
        <w:trPr>
          <w:trHeight w:val="108"/>
        </w:trPr>
        <w:tc>
          <w:tcPr>
            <w:tcW w:w="2000" w:type="dxa"/>
            <w:vAlign w:val="bottom"/>
          </w:tcPr>
          <w:p>
            <w:pPr>
              <w:ind w:left="160"/>
              <w:spacing w:after="0" w:line="108" w:lineRule="exact"/>
              <w:rPr>
                <w:sz w:val="20"/>
                <w:szCs w:val="20"/>
                <w:color w:val="auto"/>
              </w:rPr>
            </w:pPr>
            <w:r>
              <w:rPr>
                <w:rFonts w:ascii="Arial" w:cs="Arial" w:eastAsia="Arial" w:hAnsi="Arial"/>
                <w:sz w:val="10"/>
                <w:szCs w:val="10"/>
                <w:color w:val="050505"/>
              </w:rPr>
              <w:t>Sales and marketing</w:t>
            </w: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jc w:val="right"/>
              <w:spacing w:after="0" w:line="108" w:lineRule="exact"/>
              <w:rPr>
                <w:sz w:val="20"/>
                <w:szCs w:val="20"/>
                <w:color w:val="auto"/>
              </w:rPr>
            </w:pPr>
            <w:r>
              <w:rPr>
                <w:rFonts w:ascii="Arial" w:cs="Arial" w:eastAsia="Arial" w:hAnsi="Arial"/>
                <w:sz w:val="10"/>
                <w:szCs w:val="10"/>
                <w:color w:val="050505"/>
              </w:rPr>
              <w:t>21.6</w:t>
            </w: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jc w:val="right"/>
              <w:spacing w:after="0" w:line="108" w:lineRule="exact"/>
              <w:rPr>
                <w:sz w:val="20"/>
                <w:szCs w:val="20"/>
                <w:color w:val="auto"/>
              </w:rPr>
            </w:pPr>
            <w:r>
              <w:rPr>
                <w:rFonts w:ascii="Arial" w:cs="Arial" w:eastAsia="Arial" w:hAnsi="Arial"/>
                <w:sz w:val="10"/>
                <w:szCs w:val="10"/>
                <w:color w:val="050505"/>
              </w:rPr>
              <w:t>44.9</w:t>
            </w: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jc w:val="right"/>
              <w:spacing w:after="0" w:line="108" w:lineRule="exact"/>
              <w:rPr>
                <w:sz w:val="20"/>
                <w:szCs w:val="20"/>
                <w:color w:val="auto"/>
              </w:rPr>
            </w:pPr>
            <w:r>
              <w:rPr>
                <w:rFonts w:ascii="Arial" w:cs="Arial" w:eastAsia="Arial" w:hAnsi="Arial"/>
                <w:sz w:val="10"/>
                <w:szCs w:val="10"/>
                <w:color w:val="050505"/>
              </w:rPr>
              <w:t>52.3</w:t>
            </w: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jc w:val="right"/>
              <w:spacing w:after="0" w:line="108" w:lineRule="exact"/>
              <w:rPr>
                <w:sz w:val="20"/>
                <w:szCs w:val="20"/>
                <w:color w:val="auto"/>
              </w:rPr>
            </w:pPr>
            <w:r>
              <w:rPr>
                <w:rFonts w:ascii="Arial" w:cs="Arial" w:eastAsia="Arial" w:hAnsi="Arial"/>
                <w:sz w:val="10"/>
                <w:szCs w:val="10"/>
                <w:color w:val="050505"/>
              </w:rPr>
              <w:t>32.5</w:t>
            </w: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80" w:type="dxa"/>
            <w:vAlign w:val="bottom"/>
          </w:tcPr>
          <w:p>
            <w:pPr>
              <w:jc w:val="right"/>
              <w:spacing w:after="0" w:line="108" w:lineRule="exact"/>
              <w:rPr>
                <w:sz w:val="20"/>
                <w:szCs w:val="20"/>
                <w:color w:val="auto"/>
              </w:rPr>
            </w:pPr>
            <w:r>
              <w:rPr>
                <w:rFonts w:ascii="Arial" w:cs="Arial" w:eastAsia="Arial" w:hAnsi="Arial"/>
                <w:sz w:val="10"/>
                <w:szCs w:val="10"/>
                <w:color w:val="050505"/>
              </w:rPr>
              <w:t>45.5</w:t>
            </w: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jc w:val="right"/>
              <w:spacing w:after="0" w:line="108" w:lineRule="exact"/>
              <w:rPr>
                <w:sz w:val="20"/>
                <w:szCs w:val="20"/>
                <w:color w:val="auto"/>
              </w:rPr>
            </w:pPr>
            <w:r>
              <w:rPr>
                <w:rFonts w:ascii="Arial" w:cs="Arial" w:eastAsia="Arial" w:hAnsi="Arial"/>
                <w:sz w:val="10"/>
                <w:szCs w:val="10"/>
                <w:color w:val="050505"/>
              </w:rPr>
              <w:t>99.5</w:t>
            </w: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jc w:val="right"/>
              <w:spacing w:after="0" w:line="108" w:lineRule="exact"/>
              <w:rPr>
                <w:sz w:val="20"/>
                <w:szCs w:val="20"/>
                <w:color w:val="auto"/>
              </w:rPr>
            </w:pPr>
            <w:r>
              <w:rPr>
                <w:rFonts w:ascii="Arial" w:cs="Arial" w:eastAsia="Arial" w:hAnsi="Arial"/>
                <w:sz w:val="10"/>
                <w:szCs w:val="10"/>
                <w:color w:val="050505"/>
              </w:rPr>
              <w:t>101.1</w:t>
            </w: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jc w:val="right"/>
              <w:spacing w:after="0" w:line="108" w:lineRule="exact"/>
              <w:rPr>
                <w:sz w:val="20"/>
                <w:szCs w:val="20"/>
                <w:color w:val="auto"/>
              </w:rPr>
            </w:pPr>
            <w:r>
              <w:rPr>
                <w:rFonts w:ascii="Arial" w:cs="Arial" w:eastAsia="Arial" w:hAnsi="Arial"/>
                <w:sz w:val="10"/>
                <w:szCs w:val="10"/>
                <w:color w:val="050505"/>
              </w:rPr>
              <w:t>77.9</w:t>
            </w:r>
          </w:p>
        </w:tc>
        <w:tc>
          <w:tcPr>
            <w:tcW w:w="60" w:type="dxa"/>
            <w:vAlign w:val="bottom"/>
          </w:tcPr>
          <w:p>
            <w:pPr>
              <w:spacing w:after="0"/>
              <w:rPr>
                <w:sz w:val="9"/>
                <w:szCs w:val="9"/>
                <w:color w:val="auto"/>
              </w:rPr>
            </w:pPr>
          </w:p>
        </w:tc>
      </w:tr>
      <w:tr>
        <w:trPr>
          <w:trHeight w:val="108"/>
        </w:trPr>
        <w:tc>
          <w:tcPr>
            <w:tcW w:w="2000" w:type="dxa"/>
            <w:vAlign w:val="bottom"/>
            <w:shd w:val="clear" w:color="auto" w:fill="CCEEFF"/>
          </w:tcPr>
          <w:p>
            <w:pPr>
              <w:ind w:left="160"/>
              <w:spacing w:after="0" w:line="108" w:lineRule="exact"/>
              <w:rPr>
                <w:sz w:val="20"/>
                <w:szCs w:val="20"/>
                <w:color w:val="auto"/>
              </w:rPr>
            </w:pPr>
            <w:r>
              <w:rPr>
                <w:rFonts w:ascii="Arial" w:cs="Arial" w:eastAsia="Arial" w:hAnsi="Arial"/>
                <w:sz w:val="10"/>
                <w:szCs w:val="10"/>
                <w:color w:val="050505"/>
              </w:rPr>
              <w:t>General and administrative</w:t>
            </w:r>
          </w:p>
        </w:tc>
        <w:tc>
          <w:tcPr>
            <w:tcW w:w="200" w:type="dxa"/>
            <w:vAlign w:val="bottom"/>
            <w:shd w:val="clear" w:color="auto" w:fill="CCEEFF"/>
          </w:tcPr>
          <w:p>
            <w:pPr>
              <w:spacing w:after="0"/>
              <w:rPr>
                <w:sz w:val="9"/>
                <w:szCs w:val="9"/>
                <w:color w:val="auto"/>
              </w:rPr>
            </w:pPr>
          </w:p>
        </w:tc>
        <w:tc>
          <w:tcPr>
            <w:tcW w:w="80" w:type="dxa"/>
            <w:vAlign w:val="bottom"/>
            <w:tcBorders>
              <w:bottom w:val="single" w:sz="8" w:color="auto"/>
            </w:tcBorders>
            <w:shd w:val="clear" w:color="auto" w:fill="CCEEFF"/>
          </w:tcPr>
          <w:p>
            <w:pPr>
              <w:spacing w:after="0"/>
              <w:rPr>
                <w:sz w:val="9"/>
                <w:szCs w:val="9"/>
                <w:color w:val="auto"/>
              </w:rPr>
            </w:pPr>
          </w:p>
        </w:tc>
        <w:tc>
          <w:tcPr>
            <w:tcW w:w="400" w:type="dxa"/>
            <w:vAlign w:val="bottom"/>
            <w:tcBorders>
              <w:bottom w:val="single" w:sz="8" w:color="auto"/>
            </w:tcBorders>
            <w:shd w:val="clear" w:color="auto" w:fill="CCEEFF"/>
          </w:tcPr>
          <w:p>
            <w:pPr>
              <w:jc w:val="right"/>
              <w:spacing w:after="0" w:line="108" w:lineRule="exact"/>
              <w:rPr>
                <w:sz w:val="20"/>
                <w:szCs w:val="20"/>
                <w:color w:val="auto"/>
              </w:rPr>
            </w:pPr>
            <w:r>
              <w:rPr>
                <w:rFonts w:ascii="Arial" w:cs="Arial" w:eastAsia="Arial" w:hAnsi="Arial"/>
                <w:sz w:val="10"/>
                <w:szCs w:val="10"/>
                <w:color w:val="050505"/>
              </w:rPr>
              <w:t>12.2</w:t>
            </w: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tcBorders>
              <w:bottom w:val="single" w:sz="8" w:color="auto"/>
            </w:tcBorders>
            <w:shd w:val="clear" w:color="auto" w:fill="CCEEFF"/>
          </w:tcPr>
          <w:p>
            <w:pPr>
              <w:spacing w:after="0"/>
              <w:rPr>
                <w:sz w:val="9"/>
                <w:szCs w:val="9"/>
                <w:color w:val="auto"/>
              </w:rPr>
            </w:pPr>
          </w:p>
        </w:tc>
        <w:tc>
          <w:tcPr>
            <w:tcW w:w="400" w:type="dxa"/>
            <w:vAlign w:val="bottom"/>
            <w:tcBorders>
              <w:bottom w:val="single" w:sz="8" w:color="auto"/>
            </w:tcBorders>
            <w:shd w:val="clear" w:color="auto" w:fill="CCEEFF"/>
          </w:tcPr>
          <w:p>
            <w:pPr>
              <w:jc w:val="right"/>
              <w:spacing w:after="0" w:line="108" w:lineRule="exact"/>
              <w:rPr>
                <w:sz w:val="20"/>
                <w:szCs w:val="20"/>
                <w:color w:val="auto"/>
              </w:rPr>
            </w:pPr>
            <w:r>
              <w:rPr>
                <w:rFonts w:ascii="Arial" w:cs="Arial" w:eastAsia="Arial" w:hAnsi="Arial"/>
                <w:sz w:val="10"/>
                <w:szCs w:val="10"/>
                <w:color w:val="050505"/>
              </w:rPr>
              <w:t>13.2</w:t>
            </w: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tcBorders>
              <w:bottom w:val="single" w:sz="8" w:color="auto"/>
            </w:tcBorders>
            <w:shd w:val="clear" w:color="auto" w:fill="CCEEFF"/>
          </w:tcPr>
          <w:p>
            <w:pPr>
              <w:spacing w:after="0"/>
              <w:rPr>
                <w:sz w:val="9"/>
                <w:szCs w:val="9"/>
                <w:color w:val="auto"/>
              </w:rPr>
            </w:pPr>
          </w:p>
        </w:tc>
        <w:tc>
          <w:tcPr>
            <w:tcW w:w="400" w:type="dxa"/>
            <w:vAlign w:val="bottom"/>
            <w:tcBorders>
              <w:bottom w:val="single" w:sz="8" w:color="auto"/>
            </w:tcBorders>
            <w:shd w:val="clear" w:color="auto" w:fill="CCEEFF"/>
          </w:tcPr>
          <w:p>
            <w:pPr>
              <w:jc w:val="right"/>
              <w:spacing w:after="0" w:line="108" w:lineRule="exact"/>
              <w:rPr>
                <w:sz w:val="20"/>
                <w:szCs w:val="20"/>
                <w:color w:val="auto"/>
              </w:rPr>
            </w:pPr>
            <w:r>
              <w:rPr>
                <w:rFonts w:ascii="Arial" w:cs="Arial" w:eastAsia="Arial" w:hAnsi="Arial"/>
                <w:sz w:val="10"/>
                <w:szCs w:val="10"/>
                <w:color w:val="050505"/>
              </w:rPr>
              <w:t>16.5</w:t>
            </w: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tcBorders>
              <w:bottom w:val="single" w:sz="8" w:color="auto"/>
            </w:tcBorders>
            <w:shd w:val="clear" w:color="auto" w:fill="CCEEFF"/>
          </w:tcPr>
          <w:p>
            <w:pPr>
              <w:spacing w:after="0"/>
              <w:rPr>
                <w:sz w:val="9"/>
                <w:szCs w:val="9"/>
                <w:color w:val="auto"/>
              </w:rPr>
            </w:pPr>
          </w:p>
        </w:tc>
        <w:tc>
          <w:tcPr>
            <w:tcW w:w="400" w:type="dxa"/>
            <w:vAlign w:val="bottom"/>
            <w:tcBorders>
              <w:bottom w:val="single" w:sz="8" w:color="auto"/>
            </w:tcBorders>
            <w:shd w:val="clear" w:color="auto" w:fill="CCEEFF"/>
          </w:tcPr>
          <w:p>
            <w:pPr>
              <w:jc w:val="right"/>
              <w:spacing w:after="0" w:line="108" w:lineRule="exact"/>
              <w:rPr>
                <w:sz w:val="20"/>
                <w:szCs w:val="20"/>
                <w:color w:val="auto"/>
              </w:rPr>
            </w:pPr>
            <w:r>
              <w:rPr>
                <w:rFonts w:ascii="Arial" w:cs="Arial" w:eastAsia="Arial" w:hAnsi="Arial"/>
                <w:sz w:val="10"/>
                <w:szCs w:val="10"/>
                <w:color w:val="050505"/>
              </w:rPr>
              <w:t>20.6</w:t>
            </w: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00" w:type="dxa"/>
            <w:vAlign w:val="bottom"/>
            <w:tcBorders>
              <w:bottom w:val="single" w:sz="8" w:color="auto"/>
            </w:tcBorders>
            <w:shd w:val="clear" w:color="auto" w:fill="CCEEFF"/>
          </w:tcPr>
          <w:p>
            <w:pPr>
              <w:spacing w:after="0"/>
              <w:rPr>
                <w:sz w:val="9"/>
                <w:szCs w:val="9"/>
                <w:color w:val="auto"/>
              </w:rPr>
            </w:pPr>
          </w:p>
        </w:tc>
        <w:tc>
          <w:tcPr>
            <w:tcW w:w="280" w:type="dxa"/>
            <w:vAlign w:val="bottom"/>
            <w:tcBorders>
              <w:bottom w:val="single" w:sz="8" w:color="auto"/>
            </w:tcBorders>
            <w:shd w:val="clear" w:color="auto" w:fill="CCEEFF"/>
          </w:tcPr>
          <w:p>
            <w:pPr>
              <w:jc w:val="right"/>
              <w:spacing w:after="0" w:line="108" w:lineRule="exact"/>
              <w:rPr>
                <w:sz w:val="20"/>
                <w:szCs w:val="20"/>
                <w:color w:val="auto"/>
              </w:rPr>
            </w:pPr>
            <w:r>
              <w:rPr>
                <w:rFonts w:ascii="Arial" w:cs="Arial" w:eastAsia="Arial" w:hAnsi="Arial"/>
                <w:sz w:val="10"/>
                <w:szCs w:val="10"/>
                <w:color w:val="050505"/>
              </w:rPr>
              <w:t>50.0</w:t>
            </w:r>
          </w:p>
        </w:tc>
        <w:tc>
          <w:tcPr>
            <w:tcW w:w="1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00" w:type="dxa"/>
            <w:vAlign w:val="bottom"/>
            <w:tcBorders>
              <w:bottom w:val="single" w:sz="8" w:color="auto"/>
            </w:tcBorders>
            <w:shd w:val="clear" w:color="auto" w:fill="CCEEFF"/>
          </w:tcPr>
          <w:p>
            <w:pPr>
              <w:spacing w:after="0"/>
              <w:rPr>
                <w:sz w:val="9"/>
                <w:szCs w:val="9"/>
                <w:color w:val="auto"/>
              </w:rPr>
            </w:pPr>
          </w:p>
        </w:tc>
        <w:tc>
          <w:tcPr>
            <w:tcW w:w="400" w:type="dxa"/>
            <w:vAlign w:val="bottom"/>
            <w:tcBorders>
              <w:bottom w:val="single" w:sz="8" w:color="auto"/>
            </w:tcBorders>
            <w:shd w:val="clear" w:color="auto" w:fill="CCEEFF"/>
          </w:tcPr>
          <w:p>
            <w:pPr>
              <w:jc w:val="right"/>
              <w:spacing w:after="0" w:line="108" w:lineRule="exact"/>
              <w:rPr>
                <w:sz w:val="20"/>
                <w:szCs w:val="20"/>
                <w:color w:val="auto"/>
              </w:rPr>
            </w:pPr>
            <w:r>
              <w:rPr>
                <w:rFonts w:ascii="Arial" w:cs="Arial" w:eastAsia="Arial" w:hAnsi="Arial"/>
                <w:sz w:val="10"/>
                <w:szCs w:val="10"/>
                <w:color w:val="050505"/>
              </w:rPr>
              <w:t>55.4</w:t>
            </w:r>
          </w:p>
        </w:tc>
        <w:tc>
          <w:tcPr>
            <w:tcW w:w="1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00" w:type="dxa"/>
            <w:vAlign w:val="bottom"/>
            <w:tcBorders>
              <w:bottom w:val="single" w:sz="8" w:color="auto"/>
            </w:tcBorders>
            <w:shd w:val="clear" w:color="auto" w:fill="CCEEFF"/>
          </w:tcPr>
          <w:p>
            <w:pPr>
              <w:spacing w:after="0"/>
              <w:rPr>
                <w:sz w:val="9"/>
                <w:szCs w:val="9"/>
                <w:color w:val="auto"/>
              </w:rPr>
            </w:pPr>
          </w:p>
        </w:tc>
        <w:tc>
          <w:tcPr>
            <w:tcW w:w="400" w:type="dxa"/>
            <w:vAlign w:val="bottom"/>
            <w:tcBorders>
              <w:bottom w:val="single" w:sz="8" w:color="auto"/>
            </w:tcBorders>
            <w:shd w:val="clear" w:color="auto" w:fill="CCEEFF"/>
          </w:tcPr>
          <w:p>
            <w:pPr>
              <w:jc w:val="right"/>
              <w:spacing w:after="0" w:line="108" w:lineRule="exact"/>
              <w:rPr>
                <w:sz w:val="20"/>
                <w:szCs w:val="20"/>
                <w:color w:val="auto"/>
              </w:rPr>
            </w:pPr>
            <w:r>
              <w:rPr>
                <w:rFonts w:ascii="Arial" w:cs="Arial" w:eastAsia="Arial" w:hAnsi="Arial"/>
                <w:sz w:val="10"/>
                <w:szCs w:val="10"/>
                <w:color w:val="050505"/>
              </w:rPr>
              <w:t>47.0</w:t>
            </w:r>
          </w:p>
        </w:tc>
        <w:tc>
          <w:tcPr>
            <w:tcW w:w="1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80" w:type="dxa"/>
            <w:vAlign w:val="bottom"/>
            <w:tcBorders>
              <w:bottom w:val="single" w:sz="8" w:color="auto"/>
            </w:tcBorders>
            <w:shd w:val="clear" w:color="auto" w:fill="CCEEFF"/>
          </w:tcPr>
          <w:p>
            <w:pPr>
              <w:spacing w:after="0"/>
              <w:rPr>
                <w:sz w:val="9"/>
                <w:szCs w:val="9"/>
                <w:color w:val="auto"/>
              </w:rPr>
            </w:pPr>
          </w:p>
        </w:tc>
        <w:tc>
          <w:tcPr>
            <w:tcW w:w="420" w:type="dxa"/>
            <w:vAlign w:val="bottom"/>
            <w:tcBorders>
              <w:bottom w:val="single" w:sz="8" w:color="auto"/>
            </w:tcBorders>
            <w:shd w:val="clear" w:color="auto" w:fill="CCEEFF"/>
          </w:tcPr>
          <w:p>
            <w:pPr>
              <w:jc w:val="right"/>
              <w:spacing w:after="0" w:line="108" w:lineRule="exact"/>
              <w:rPr>
                <w:sz w:val="20"/>
                <w:szCs w:val="20"/>
                <w:color w:val="auto"/>
              </w:rPr>
            </w:pPr>
            <w:r>
              <w:rPr>
                <w:rFonts w:ascii="Arial" w:cs="Arial" w:eastAsia="Arial" w:hAnsi="Arial"/>
                <w:sz w:val="10"/>
                <w:szCs w:val="10"/>
                <w:color w:val="050505"/>
              </w:rPr>
              <w:t>54.6</w:t>
            </w:r>
          </w:p>
        </w:tc>
        <w:tc>
          <w:tcPr>
            <w:tcW w:w="60" w:type="dxa"/>
            <w:vAlign w:val="bottom"/>
            <w:shd w:val="clear" w:color="auto" w:fill="CCEEFF"/>
          </w:tcPr>
          <w:p>
            <w:pPr>
              <w:spacing w:after="0"/>
              <w:rPr>
                <w:sz w:val="9"/>
                <w:szCs w:val="9"/>
                <w:color w:val="auto"/>
              </w:rPr>
            </w:pPr>
          </w:p>
        </w:tc>
      </w:tr>
      <w:tr>
        <w:trPr>
          <w:trHeight w:val="106"/>
        </w:trPr>
        <w:tc>
          <w:tcPr>
            <w:tcW w:w="2000" w:type="dxa"/>
            <w:vAlign w:val="bottom"/>
          </w:tcPr>
          <w:p>
            <w:pPr>
              <w:ind w:left="260"/>
              <w:spacing w:after="0" w:line="106" w:lineRule="exact"/>
              <w:rPr>
                <w:sz w:val="20"/>
                <w:szCs w:val="20"/>
                <w:color w:val="auto"/>
              </w:rPr>
            </w:pPr>
            <w:r>
              <w:rPr>
                <w:rFonts w:ascii="Arial" w:cs="Arial" w:eastAsia="Arial" w:hAnsi="Arial"/>
                <w:sz w:val="10"/>
                <w:szCs w:val="10"/>
                <w:color w:val="050505"/>
              </w:rPr>
              <w:t>Total operating expenses</w:t>
            </w:r>
          </w:p>
        </w:tc>
        <w:tc>
          <w:tcPr>
            <w:tcW w:w="2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jc w:val="right"/>
              <w:spacing w:after="0" w:line="106" w:lineRule="exact"/>
              <w:rPr>
                <w:sz w:val="20"/>
                <w:szCs w:val="20"/>
                <w:color w:val="auto"/>
              </w:rPr>
            </w:pPr>
            <w:r>
              <w:rPr>
                <w:rFonts w:ascii="Arial" w:cs="Arial" w:eastAsia="Arial" w:hAnsi="Arial"/>
                <w:sz w:val="10"/>
                <w:szCs w:val="10"/>
                <w:color w:val="050505"/>
              </w:rPr>
              <w:t>38.6</w:t>
            </w: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jc w:val="right"/>
              <w:spacing w:after="0" w:line="106" w:lineRule="exact"/>
              <w:rPr>
                <w:sz w:val="20"/>
                <w:szCs w:val="20"/>
                <w:color w:val="auto"/>
              </w:rPr>
            </w:pPr>
            <w:r>
              <w:rPr>
                <w:rFonts w:ascii="Arial" w:cs="Arial" w:eastAsia="Arial" w:hAnsi="Arial"/>
                <w:sz w:val="10"/>
                <w:szCs w:val="10"/>
                <w:color w:val="050505"/>
              </w:rPr>
              <w:t>63.0</w:t>
            </w: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jc w:val="right"/>
              <w:spacing w:after="0" w:line="106" w:lineRule="exact"/>
              <w:rPr>
                <w:sz w:val="20"/>
                <w:szCs w:val="20"/>
                <w:color w:val="auto"/>
              </w:rPr>
            </w:pPr>
            <w:r>
              <w:rPr>
                <w:rFonts w:ascii="Arial" w:cs="Arial" w:eastAsia="Arial" w:hAnsi="Arial"/>
                <w:sz w:val="10"/>
                <w:szCs w:val="10"/>
                <w:color w:val="050505"/>
              </w:rPr>
              <w:t>75.7</w:t>
            </w: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jc w:val="right"/>
              <w:spacing w:after="0" w:line="106" w:lineRule="exact"/>
              <w:rPr>
                <w:sz w:val="20"/>
                <w:szCs w:val="20"/>
                <w:color w:val="auto"/>
              </w:rPr>
            </w:pPr>
            <w:r>
              <w:rPr>
                <w:rFonts w:ascii="Arial" w:cs="Arial" w:eastAsia="Arial" w:hAnsi="Arial"/>
                <w:sz w:val="10"/>
                <w:szCs w:val="10"/>
                <w:color w:val="050505"/>
              </w:rPr>
              <w:t>59.8</w:t>
            </w: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jc w:val="right"/>
              <w:spacing w:after="0" w:line="106" w:lineRule="exact"/>
              <w:rPr>
                <w:sz w:val="20"/>
                <w:szCs w:val="20"/>
                <w:color w:val="auto"/>
              </w:rPr>
            </w:pPr>
            <w:r>
              <w:rPr>
                <w:rFonts w:ascii="Arial" w:cs="Arial" w:eastAsia="Arial" w:hAnsi="Arial"/>
                <w:sz w:val="10"/>
                <w:szCs w:val="10"/>
                <w:color w:val="050505"/>
              </w:rPr>
              <w:t>107.1</w:t>
            </w: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jc w:val="right"/>
              <w:spacing w:after="0" w:line="106" w:lineRule="exact"/>
              <w:rPr>
                <w:sz w:val="20"/>
                <w:szCs w:val="20"/>
                <w:color w:val="auto"/>
              </w:rPr>
            </w:pPr>
            <w:r>
              <w:rPr>
                <w:rFonts w:ascii="Arial" w:cs="Arial" w:eastAsia="Arial" w:hAnsi="Arial"/>
                <w:sz w:val="10"/>
                <w:szCs w:val="10"/>
                <w:color w:val="050505"/>
              </w:rPr>
              <w:t>167.3</w:t>
            </w: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jc w:val="right"/>
              <w:spacing w:after="0" w:line="106" w:lineRule="exact"/>
              <w:rPr>
                <w:sz w:val="20"/>
                <w:szCs w:val="20"/>
                <w:color w:val="auto"/>
              </w:rPr>
            </w:pPr>
            <w:r>
              <w:rPr>
                <w:rFonts w:ascii="Arial" w:cs="Arial" w:eastAsia="Arial" w:hAnsi="Arial"/>
                <w:sz w:val="10"/>
                <w:szCs w:val="10"/>
                <w:color w:val="050505"/>
              </w:rPr>
              <w:t>162.0</w:t>
            </w: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jc w:val="right"/>
              <w:spacing w:after="0" w:line="106" w:lineRule="exact"/>
              <w:rPr>
                <w:sz w:val="20"/>
                <w:szCs w:val="20"/>
                <w:color w:val="auto"/>
              </w:rPr>
            </w:pPr>
            <w:r>
              <w:rPr>
                <w:rFonts w:ascii="Arial" w:cs="Arial" w:eastAsia="Arial" w:hAnsi="Arial"/>
                <w:sz w:val="10"/>
                <w:szCs w:val="10"/>
                <w:color w:val="050505"/>
              </w:rPr>
              <w:t>149.5</w:t>
            </w:r>
          </w:p>
        </w:tc>
        <w:tc>
          <w:tcPr>
            <w:tcW w:w="60" w:type="dxa"/>
            <w:vAlign w:val="bottom"/>
          </w:tcPr>
          <w:p>
            <w:pPr>
              <w:spacing w:after="0"/>
              <w:rPr>
                <w:sz w:val="9"/>
                <w:szCs w:val="9"/>
                <w:color w:val="auto"/>
              </w:rPr>
            </w:pPr>
          </w:p>
        </w:tc>
      </w:tr>
      <w:tr>
        <w:trPr>
          <w:trHeight w:val="106"/>
        </w:trPr>
        <w:tc>
          <w:tcPr>
            <w:tcW w:w="2000" w:type="dxa"/>
            <w:vAlign w:val="bottom"/>
            <w:shd w:val="clear" w:color="auto" w:fill="CCEEFF"/>
          </w:tcPr>
          <w:p>
            <w:pPr>
              <w:ind w:left="60"/>
              <w:spacing w:after="0" w:line="106" w:lineRule="exact"/>
              <w:rPr>
                <w:sz w:val="20"/>
                <w:szCs w:val="20"/>
                <w:color w:val="auto"/>
              </w:rPr>
            </w:pPr>
            <w:r>
              <w:rPr>
                <w:rFonts w:ascii="Arial" w:cs="Arial" w:eastAsia="Arial" w:hAnsi="Arial"/>
                <w:sz w:val="10"/>
                <w:szCs w:val="10"/>
                <w:color w:val="050505"/>
              </w:rPr>
              <w:t>Loss from operations</w:t>
            </w:r>
          </w:p>
        </w:tc>
        <w:tc>
          <w:tcPr>
            <w:tcW w:w="2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00" w:type="dxa"/>
            <w:vAlign w:val="bottom"/>
            <w:gridSpan w:val="2"/>
            <w:shd w:val="clear" w:color="auto" w:fill="CCEEFF"/>
          </w:tcPr>
          <w:p>
            <w:pPr>
              <w:jc w:val="right"/>
              <w:ind w:right="60"/>
              <w:spacing w:after="0" w:line="106" w:lineRule="exact"/>
              <w:rPr>
                <w:sz w:val="20"/>
                <w:szCs w:val="20"/>
                <w:color w:val="auto"/>
              </w:rPr>
            </w:pPr>
            <w:r>
              <w:rPr>
                <w:rFonts w:ascii="Arial" w:cs="Arial" w:eastAsia="Arial" w:hAnsi="Arial"/>
                <w:sz w:val="10"/>
                <w:szCs w:val="10"/>
                <w:color w:val="050505"/>
              </w:rPr>
              <w:t>(17.0)</w:t>
            </w: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00" w:type="dxa"/>
            <w:vAlign w:val="bottom"/>
            <w:gridSpan w:val="2"/>
            <w:shd w:val="clear" w:color="auto" w:fill="CCEEFF"/>
          </w:tcPr>
          <w:p>
            <w:pPr>
              <w:jc w:val="right"/>
              <w:ind w:right="60"/>
              <w:spacing w:after="0" w:line="106" w:lineRule="exact"/>
              <w:rPr>
                <w:sz w:val="20"/>
                <w:szCs w:val="20"/>
                <w:color w:val="auto"/>
              </w:rPr>
            </w:pPr>
            <w:r>
              <w:rPr>
                <w:rFonts w:ascii="Arial" w:cs="Arial" w:eastAsia="Arial" w:hAnsi="Arial"/>
                <w:sz w:val="10"/>
                <w:szCs w:val="10"/>
                <w:color w:val="050505"/>
              </w:rPr>
              <w:t>(4.1)</w:t>
            </w: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00" w:type="dxa"/>
            <w:vAlign w:val="bottom"/>
            <w:gridSpan w:val="2"/>
            <w:shd w:val="clear" w:color="auto" w:fill="CCEEFF"/>
          </w:tcPr>
          <w:p>
            <w:pPr>
              <w:jc w:val="right"/>
              <w:ind w:right="60"/>
              <w:spacing w:after="0" w:line="106" w:lineRule="exact"/>
              <w:rPr>
                <w:sz w:val="20"/>
                <w:szCs w:val="20"/>
                <w:color w:val="auto"/>
              </w:rPr>
            </w:pPr>
            <w:r>
              <w:rPr>
                <w:rFonts w:ascii="Arial" w:cs="Arial" w:eastAsia="Arial" w:hAnsi="Arial"/>
                <w:sz w:val="10"/>
                <w:szCs w:val="10"/>
                <w:color w:val="050505"/>
              </w:rPr>
              <w:t>(15.4)</w:t>
            </w: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00" w:type="dxa"/>
            <w:vAlign w:val="bottom"/>
            <w:gridSpan w:val="2"/>
            <w:shd w:val="clear" w:color="auto" w:fill="CCEEFF"/>
          </w:tcPr>
          <w:p>
            <w:pPr>
              <w:jc w:val="right"/>
              <w:ind w:right="80"/>
              <w:spacing w:after="0" w:line="106" w:lineRule="exact"/>
              <w:rPr>
                <w:sz w:val="20"/>
                <w:szCs w:val="20"/>
                <w:color w:val="auto"/>
              </w:rPr>
            </w:pPr>
            <w:r>
              <w:rPr>
                <w:rFonts w:ascii="Arial" w:cs="Arial" w:eastAsia="Arial" w:hAnsi="Arial"/>
                <w:sz w:val="10"/>
                <w:szCs w:val="10"/>
                <w:color w:val="050505"/>
              </w:rPr>
              <w:t>(11.1)</w:t>
            </w:r>
          </w:p>
        </w:tc>
        <w:tc>
          <w:tcPr>
            <w:tcW w:w="8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380" w:type="dxa"/>
            <w:vAlign w:val="bottom"/>
            <w:gridSpan w:val="2"/>
            <w:shd w:val="clear" w:color="auto" w:fill="CCEEFF"/>
          </w:tcPr>
          <w:p>
            <w:pPr>
              <w:jc w:val="right"/>
              <w:ind w:right="80"/>
              <w:spacing w:after="0" w:line="106" w:lineRule="exact"/>
              <w:rPr>
                <w:sz w:val="20"/>
                <w:szCs w:val="20"/>
                <w:color w:val="auto"/>
              </w:rPr>
            </w:pPr>
            <w:r>
              <w:rPr>
                <w:rFonts w:ascii="Arial" w:cs="Arial" w:eastAsia="Arial" w:hAnsi="Arial"/>
                <w:sz w:val="10"/>
                <w:szCs w:val="10"/>
                <w:color w:val="050505"/>
              </w:rPr>
              <w:t>(55.6)</w:t>
            </w:r>
          </w:p>
        </w:tc>
        <w:tc>
          <w:tcPr>
            <w:tcW w:w="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00" w:type="dxa"/>
            <w:vAlign w:val="bottom"/>
            <w:gridSpan w:val="2"/>
            <w:shd w:val="clear" w:color="auto" w:fill="CCEEFF"/>
          </w:tcPr>
          <w:p>
            <w:pPr>
              <w:jc w:val="right"/>
              <w:ind w:right="80"/>
              <w:spacing w:after="0" w:line="106" w:lineRule="exact"/>
              <w:rPr>
                <w:sz w:val="20"/>
                <w:szCs w:val="20"/>
                <w:color w:val="auto"/>
              </w:rPr>
            </w:pPr>
            <w:r>
              <w:rPr>
                <w:rFonts w:ascii="Arial" w:cs="Arial" w:eastAsia="Arial" w:hAnsi="Arial"/>
                <w:sz w:val="10"/>
                <w:szCs w:val="10"/>
                <w:color w:val="050505"/>
              </w:rPr>
              <w:t>(56.0)</w:t>
            </w:r>
          </w:p>
        </w:tc>
        <w:tc>
          <w:tcPr>
            <w:tcW w:w="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00" w:type="dxa"/>
            <w:vAlign w:val="bottom"/>
            <w:gridSpan w:val="2"/>
            <w:shd w:val="clear" w:color="auto" w:fill="CCEEFF"/>
          </w:tcPr>
          <w:p>
            <w:pPr>
              <w:jc w:val="right"/>
              <w:ind w:right="80"/>
              <w:spacing w:after="0" w:line="106" w:lineRule="exact"/>
              <w:rPr>
                <w:sz w:val="20"/>
                <w:szCs w:val="20"/>
                <w:color w:val="auto"/>
              </w:rPr>
            </w:pPr>
            <w:r>
              <w:rPr>
                <w:rFonts w:ascii="Arial" w:cs="Arial" w:eastAsia="Arial" w:hAnsi="Arial"/>
                <w:sz w:val="10"/>
                <w:szCs w:val="10"/>
                <w:color w:val="050505"/>
              </w:rPr>
              <w:t>(41.4)</w:t>
            </w:r>
          </w:p>
        </w:tc>
        <w:tc>
          <w:tcPr>
            <w:tcW w:w="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80" w:type="dxa"/>
            <w:vAlign w:val="bottom"/>
            <w:gridSpan w:val="2"/>
            <w:shd w:val="clear" w:color="auto" w:fill="CCEEFF"/>
          </w:tcPr>
          <w:p>
            <w:pPr>
              <w:jc w:val="right"/>
              <w:ind w:right="40"/>
              <w:spacing w:after="0" w:line="106" w:lineRule="exact"/>
              <w:rPr>
                <w:sz w:val="20"/>
                <w:szCs w:val="20"/>
                <w:color w:val="auto"/>
              </w:rPr>
            </w:pPr>
            <w:r>
              <w:rPr>
                <w:rFonts w:ascii="Arial" w:cs="Arial" w:eastAsia="Arial" w:hAnsi="Arial"/>
                <w:sz w:val="10"/>
                <w:szCs w:val="10"/>
                <w:color w:val="050505"/>
              </w:rPr>
              <w:t>(49.4)</w:t>
            </w:r>
          </w:p>
        </w:tc>
      </w:tr>
      <w:tr>
        <w:trPr>
          <w:trHeight w:val="108"/>
        </w:trPr>
        <w:tc>
          <w:tcPr>
            <w:tcW w:w="2000" w:type="dxa"/>
            <w:vAlign w:val="bottom"/>
          </w:tcPr>
          <w:p>
            <w:pPr>
              <w:ind w:left="60"/>
              <w:spacing w:after="0" w:line="108" w:lineRule="exact"/>
              <w:rPr>
                <w:sz w:val="20"/>
                <w:szCs w:val="20"/>
                <w:color w:val="auto"/>
              </w:rPr>
            </w:pPr>
            <w:r>
              <w:rPr>
                <w:rFonts w:ascii="Arial" w:cs="Arial" w:eastAsia="Arial" w:hAnsi="Arial"/>
                <w:sz w:val="10"/>
                <w:szCs w:val="10"/>
                <w:color w:val="050505"/>
              </w:rPr>
              <w:t>Other (expense) income , net</w:t>
            </w: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gridSpan w:val="2"/>
          </w:tcPr>
          <w:p>
            <w:pPr>
              <w:jc w:val="right"/>
              <w:ind w:right="100"/>
              <w:spacing w:after="0" w:line="108" w:lineRule="exact"/>
              <w:rPr>
                <w:sz w:val="20"/>
                <w:szCs w:val="20"/>
                <w:color w:val="auto"/>
              </w:rPr>
            </w:pPr>
            <w:r>
              <w:rPr>
                <w:rFonts w:ascii="Arial" w:cs="Arial" w:eastAsia="Arial" w:hAnsi="Arial"/>
                <w:sz w:val="10"/>
                <w:szCs w:val="10"/>
                <w:color w:val="050505"/>
              </w:rPr>
              <w:t>—</w:t>
            </w: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gridSpan w:val="2"/>
          </w:tcPr>
          <w:p>
            <w:pPr>
              <w:jc w:val="right"/>
              <w:ind w:right="60"/>
              <w:spacing w:after="0" w:line="108" w:lineRule="exact"/>
              <w:rPr>
                <w:sz w:val="20"/>
                <w:szCs w:val="20"/>
                <w:color w:val="auto"/>
              </w:rPr>
            </w:pPr>
            <w:r>
              <w:rPr>
                <w:rFonts w:ascii="Arial" w:cs="Arial" w:eastAsia="Arial" w:hAnsi="Arial"/>
                <w:sz w:val="10"/>
                <w:szCs w:val="10"/>
                <w:color w:val="050505"/>
              </w:rPr>
              <w:t>(0.3)</w:t>
            </w: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gridSpan w:val="2"/>
          </w:tcPr>
          <w:p>
            <w:pPr>
              <w:jc w:val="right"/>
              <w:ind w:right="60"/>
              <w:spacing w:after="0" w:line="108" w:lineRule="exact"/>
              <w:rPr>
                <w:sz w:val="20"/>
                <w:szCs w:val="20"/>
                <w:color w:val="auto"/>
              </w:rPr>
            </w:pPr>
            <w:r>
              <w:rPr>
                <w:rFonts w:ascii="Arial" w:cs="Arial" w:eastAsia="Arial" w:hAnsi="Arial"/>
                <w:sz w:val="10"/>
                <w:szCs w:val="10"/>
                <w:color w:val="050505"/>
              </w:rPr>
              <w:t>(0.2)</w:t>
            </w: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jc w:val="right"/>
              <w:spacing w:after="0" w:line="108" w:lineRule="exact"/>
              <w:rPr>
                <w:sz w:val="20"/>
                <w:szCs w:val="20"/>
                <w:color w:val="auto"/>
              </w:rPr>
            </w:pPr>
            <w:r>
              <w:rPr>
                <w:rFonts w:ascii="Arial" w:cs="Arial" w:eastAsia="Arial" w:hAnsi="Arial"/>
                <w:sz w:val="10"/>
                <w:szCs w:val="10"/>
                <w:color w:val="050505"/>
              </w:rPr>
              <w:t>0.2</w:t>
            </w: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80" w:type="dxa"/>
            <w:vAlign w:val="bottom"/>
          </w:tcPr>
          <w:p>
            <w:pPr>
              <w:jc w:val="right"/>
              <w:spacing w:after="0" w:line="108" w:lineRule="exact"/>
              <w:rPr>
                <w:sz w:val="20"/>
                <w:szCs w:val="20"/>
                <w:color w:val="auto"/>
              </w:rPr>
            </w:pPr>
            <w:r>
              <w:rPr>
                <w:rFonts w:ascii="Arial" w:cs="Arial" w:eastAsia="Arial" w:hAnsi="Arial"/>
                <w:sz w:val="10"/>
                <w:szCs w:val="10"/>
                <w:color w:val="050505"/>
              </w:rPr>
              <w:t>1.0</w:t>
            </w: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jc w:val="right"/>
              <w:spacing w:after="0" w:line="108" w:lineRule="exact"/>
              <w:rPr>
                <w:sz w:val="20"/>
                <w:szCs w:val="20"/>
                <w:color w:val="auto"/>
              </w:rPr>
            </w:pPr>
            <w:r>
              <w:rPr>
                <w:rFonts w:ascii="Arial" w:cs="Arial" w:eastAsia="Arial" w:hAnsi="Arial"/>
                <w:sz w:val="10"/>
                <w:szCs w:val="10"/>
                <w:color w:val="050505"/>
              </w:rPr>
              <w:t>0.9</w:t>
            </w: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jc w:val="right"/>
              <w:spacing w:after="0" w:line="108" w:lineRule="exact"/>
              <w:rPr>
                <w:sz w:val="20"/>
                <w:szCs w:val="20"/>
                <w:color w:val="auto"/>
              </w:rPr>
            </w:pPr>
            <w:r>
              <w:rPr>
                <w:rFonts w:ascii="Arial" w:cs="Arial" w:eastAsia="Arial" w:hAnsi="Arial"/>
                <w:sz w:val="10"/>
                <w:szCs w:val="10"/>
                <w:color w:val="050505"/>
              </w:rPr>
              <w:t>3.0</w:t>
            </w: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jc w:val="right"/>
              <w:spacing w:after="0" w:line="108" w:lineRule="exact"/>
              <w:rPr>
                <w:sz w:val="20"/>
                <w:szCs w:val="20"/>
                <w:color w:val="auto"/>
              </w:rPr>
            </w:pPr>
            <w:r>
              <w:rPr>
                <w:rFonts w:ascii="Arial" w:cs="Arial" w:eastAsia="Arial" w:hAnsi="Arial"/>
                <w:sz w:val="10"/>
                <w:szCs w:val="10"/>
                <w:color w:val="050505"/>
              </w:rPr>
              <w:t>1.8</w:t>
            </w:r>
          </w:p>
        </w:tc>
        <w:tc>
          <w:tcPr>
            <w:tcW w:w="60" w:type="dxa"/>
            <w:vAlign w:val="bottom"/>
          </w:tcPr>
          <w:p>
            <w:pPr>
              <w:spacing w:after="0"/>
              <w:rPr>
                <w:sz w:val="9"/>
                <w:szCs w:val="9"/>
                <w:color w:val="auto"/>
              </w:rPr>
            </w:pPr>
          </w:p>
        </w:tc>
      </w:tr>
      <w:tr>
        <w:trPr>
          <w:trHeight w:val="20"/>
        </w:trPr>
        <w:tc>
          <w:tcPr>
            <w:tcW w:w="20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06"/>
        </w:trPr>
        <w:tc>
          <w:tcPr>
            <w:tcW w:w="2000" w:type="dxa"/>
            <w:vAlign w:val="bottom"/>
            <w:shd w:val="clear" w:color="auto" w:fill="CCEEFF"/>
          </w:tcPr>
          <w:p>
            <w:pPr>
              <w:ind w:left="60"/>
              <w:spacing w:after="0" w:line="106" w:lineRule="exact"/>
              <w:rPr>
                <w:sz w:val="20"/>
                <w:szCs w:val="20"/>
                <w:color w:val="auto"/>
              </w:rPr>
            </w:pPr>
            <w:r>
              <w:rPr>
                <w:rFonts w:ascii="Arial" w:cs="Arial" w:eastAsia="Arial" w:hAnsi="Arial"/>
                <w:sz w:val="10"/>
                <w:szCs w:val="10"/>
                <w:color w:val="050505"/>
              </w:rPr>
              <w:t>Loss before provision for income taxes</w:t>
            </w:r>
          </w:p>
        </w:tc>
        <w:tc>
          <w:tcPr>
            <w:tcW w:w="2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00" w:type="dxa"/>
            <w:vAlign w:val="bottom"/>
            <w:gridSpan w:val="2"/>
            <w:shd w:val="clear" w:color="auto" w:fill="CCEEFF"/>
          </w:tcPr>
          <w:p>
            <w:pPr>
              <w:jc w:val="right"/>
              <w:ind w:right="60"/>
              <w:spacing w:after="0" w:line="106" w:lineRule="exact"/>
              <w:rPr>
                <w:sz w:val="20"/>
                <w:szCs w:val="20"/>
                <w:color w:val="auto"/>
              </w:rPr>
            </w:pPr>
            <w:r>
              <w:rPr>
                <w:rFonts w:ascii="Arial" w:cs="Arial" w:eastAsia="Arial" w:hAnsi="Arial"/>
                <w:sz w:val="10"/>
                <w:szCs w:val="10"/>
                <w:color w:val="050505"/>
              </w:rPr>
              <w:t>(17.0)</w:t>
            </w: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00" w:type="dxa"/>
            <w:vAlign w:val="bottom"/>
            <w:gridSpan w:val="2"/>
            <w:shd w:val="clear" w:color="auto" w:fill="CCEEFF"/>
          </w:tcPr>
          <w:p>
            <w:pPr>
              <w:jc w:val="right"/>
              <w:ind w:right="60"/>
              <w:spacing w:after="0" w:line="106" w:lineRule="exact"/>
              <w:rPr>
                <w:sz w:val="20"/>
                <w:szCs w:val="20"/>
                <w:color w:val="auto"/>
              </w:rPr>
            </w:pPr>
            <w:r>
              <w:rPr>
                <w:rFonts w:ascii="Arial" w:cs="Arial" w:eastAsia="Arial" w:hAnsi="Arial"/>
                <w:sz w:val="10"/>
                <w:szCs w:val="10"/>
                <w:color w:val="050505"/>
              </w:rPr>
              <w:t>(4.4)</w:t>
            </w: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00" w:type="dxa"/>
            <w:vAlign w:val="bottom"/>
            <w:gridSpan w:val="2"/>
            <w:shd w:val="clear" w:color="auto" w:fill="CCEEFF"/>
          </w:tcPr>
          <w:p>
            <w:pPr>
              <w:jc w:val="right"/>
              <w:ind w:right="60"/>
              <w:spacing w:after="0" w:line="106" w:lineRule="exact"/>
              <w:rPr>
                <w:sz w:val="20"/>
                <w:szCs w:val="20"/>
                <w:color w:val="auto"/>
              </w:rPr>
            </w:pPr>
            <w:r>
              <w:rPr>
                <w:rFonts w:ascii="Arial" w:cs="Arial" w:eastAsia="Arial" w:hAnsi="Arial"/>
                <w:sz w:val="10"/>
                <w:szCs w:val="10"/>
                <w:color w:val="050505"/>
              </w:rPr>
              <w:t>(15.6)</w:t>
            </w: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00" w:type="dxa"/>
            <w:vAlign w:val="bottom"/>
            <w:gridSpan w:val="2"/>
            <w:shd w:val="clear" w:color="auto" w:fill="CCEEFF"/>
          </w:tcPr>
          <w:p>
            <w:pPr>
              <w:jc w:val="right"/>
              <w:ind w:right="80"/>
              <w:spacing w:after="0" w:line="106" w:lineRule="exact"/>
              <w:rPr>
                <w:sz w:val="20"/>
                <w:szCs w:val="20"/>
                <w:color w:val="auto"/>
              </w:rPr>
            </w:pPr>
            <w:r>
              <w:rPr>
                <w:rFonts w:ascii="Arial" w:cs="Arial" w:eastAsia="Arial" w:hAnsi="Arial"/>
                <w:sz w:val="10"/>
                <w:szCs w:val="10"/>
                <w:color w:val="050505"/>
              </w:rPr>
              <w:t>(10.9)</w:t>
            </w:r>
          </w:p>
        </w:tc>
        <w:tc>
          <w:tcPr>
            <w:tcW w:w="8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380" w:type="dxa"/>
            <w:vAlign w:val="bottom"/>
            <w:gridSpan w:val="2"/>
            <w:shd w:val="clear" w:color="auto" w:fill="CCEEFF"/>
          </w:tcPr>
          <w:p>
            <w:pPr>
              <w:jc w:val="right"/>
              <w:ind w:right="80"/>
              <w:spacing w:after="0" w:line="106" w:lineRule="exact"/>
              <w:rPr>
                <w:sz w:val="20"/>
                <w:szCs w:val="20"/>
                <w:color w:val="auto"/>
              </w:rPr>
            </w:pPr>
            <w:r>
              <w:rPr>
                <w:rFonts w:ascii="Arial" w:cs="Arial" w:eastAsia="Arial" w:hAnsi="Arial"/>
                <w:sz w:val="10"/>
                <w:szCs w:val="10"/>
                <w:color w:val="050505"/>
              </w:rPr>
              <w:t>(54.5)</w:t>
            </w:r>
          </w:p>
        </w:tc>
        <w:tc>
          <w:tcPr>
            <w:tcW w:w="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00" w:type="dxa"/>
            <w:vAlign w:val="bottom"/>
            <w:gridSpan w:val="2"/>
            <w:shd w:val="clear" w:color="auto" w:fill="CCEEFF"/>
          </w:tcPr>
          <w:p>
            <w:pPr>
              <w:jc w:val="right"/>
              <w:ind w:right="80"/>
              <w:spacing w:after="0" w:line="106" w:lineRule="exact"/>
              <w:rPr>
                <w:sz w:val="20"/>
                <w:szCs w:val="20"/>
                <w:color w:val="auto"/>
              </w:rPr>
            </w:pPr>
            <w:r>
              <w:rPr>
                <w:rFonts w:ascii="Arial" w:cs="Arial" w:eastAsia="Arial" w:hAnsi="Arial"/>
                <w:sz w:val="10"/>
                <w:szCs w:val="10"/>
                <w:color w:val="050505"/>
              </w:rPr>
              <w:t>(55.1)</w:t>
            </w:r>
          </w:p>
        </w:tc>
        <w:tc>
          <w:tcPr>
            <w:tcW w:w="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00" w:type="dxa"/>
            <w:vAlign w:val="bottom"/>
            <w:gridSpan w:val="2"/>
            <w:shd w:val="clear" w:color="auto" w:fill="CCEEFF"/>
          </w:tcPr>
          <w:p>
            <w:pPr>
              <w:jc w:val="right"/>
              <w:ind w:right="80"/>
              <w:spacing w:after="0" w:line="106" w:lineRule="exact"/>
              <w:rPr>
                <w:sz w:val="20"/>
                <w:szCs w:val="20"/>
                <w:color w:val="auto"/>
              </w:rPr>
            </w:pPr>
            <w:r>
              <w:rPr>
                <w:rFonts w:ascii="Arial" w:cs="Arial" w:eastAsia="Arial" w:hAnsi="Arial"/>
                <w:sz w:val="10"/>
                <w:szCs w:val="10"/>
                <w:color w:val="050505"/>
              </w:rPr>
              <w:t>(38.4)</w:t>
            </w:r>
          </w:p>
        </w:tc>
        <w:tc>
          <w:tcPr>
            <w:tcW w:w="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80" w:type="dxa"/>
            <w:vAlign w:val="bottom"/>
            <w:gridSpan w:val="2"/>
            <w:shd w:val="clear" w:color="auto" w:fill="CCEEFF"/>
          </w:tcPr>
          <w:p>
            <w:pPr>
              <w:jc w:val="right"/>
              <w:ind w:right="40"/>
              <w:spacing w:after="0" w:line="106" w:lineRule="exact"/>
              <w:rPr>
                <w:sz w:val="20"/>
                <w:szCs w:val="20"/>
                <w:color w:val="auto"/>
              </w:rPr>
            </w:pPr>
            <w:r>
              <w:rPr>
                <w:rFonts w:ascii="Arial" w:cs="Arial" w:eastAsia="Arial" w:hAnsi="Arial"/>
                <w:sz w:val="10"/>
                <w:szCs w:val="10"/>
                <w:color w:val="050505"/>
              </w:rPr>
              <w:t>(47.6)</w:t>
            </w:r>
          </w:p>
        </w:tc>
      </w:tr>
      <w:tr>
        <w:trPr>
          <w:trHeight w:val="108"/>
        </w:trPr>
        <w:tc>
          <w:tcPr>
            <w:tcW w:w="2000" w:type="dxa"/>
            <w:vAlign w:val="bottom"/>
          </w:tcPr>
          <w:p>
            <w:pPr>
              <w:ind w:left="60"/>
              <w:spacing w:after="0" w:line="108" w:lineRule="exact"/>
              <w:rPr>
                <w:sz w:val="20"/>
                <w:szCs w:val="20"/>
                <w:color w:val="auto"/>
              </w:rPr>
            </w:pPr>
            <w:r>
              <w:rPr>
                <w:rFonts w:ascii="Arial" w:cs="Arial" w:eastAsia="Arial" w:hAnsi="Arial"/>
                <w:sz w:val="10"/>
                <w:szCs w:val="10"/>
                <w:color w:val="050505"/>
              </w:rPr>
              <w:t>Provision for income taxes</w:t>
            </w: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gridSpan w:val="2"/>
          </w:tcPr>
          <w:p>
            <w:pPr>
              <w:jc w:val="right"/>
              <w:ind w:right="100"/>
              <w:spacing w:after="0" w:line="108" w:lineRule="exact"/>
              <w:rPr>
                <w:sz w:val="20"/>
                <w:szCs w:val="20"/>
                <w:color w:val="auto"/>
              </w:rPr>
            </w:pPr>
            <w:r>
              <w:rPr>
                <w:rFonts w:ascii="Arial" w:cs="Arial" w:eastAsia="Arial" w:hAnsi="Arial"/>
                <w:sz w:val="10"/>
                <w:szCs w:val="10"/>
                <w:color w:val="050505"/>
              </w:rPr>
              <w:t>—</w:t>
            </w: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gridSpan w:val="2"/>
          </w:tcPr>
          <w:p>
            <w:pPr>
              <w:jc w:val="right"/>
              <w:ind w:right="100"/>
              <w:spacing w:after="0" w:line="108" w:lineRule="exact"/>
              <w:rPr>
                <w:sz w:val="20"/>
                <w:szCs w:val="20"/>
                <w:color w:val="auto"/>
              </w:rPr>
            </w:pPr>
            <w:r>
              <w:rPr>
                <w:rFonts w:ascii="Arial" w:cs="Arial" w:eastAsia="Arial" w:hAnsi="Arial"/>
                <w:sz w:val="10"/>
                <w:szCs w:val="10"/>
                <w:color w:val="050505"/>
              </w:rPr>
              <w:t>—</w:t>
            </w: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gridSpan w:val="2"/>
          </w:tcPr>
          <w:p>
            <w:pPr>
              <w:jc w:val="right"/>
              <w:ind w:right="100"/>
              <w:spacing w:after="0" w:line="108" w:lineRule="exact"/>
              <w:rPr>
                <w:sz w:val="20"/>
                <w:szCs w:val="20"/>
                <w:color w:val="auto"/>
              </w:rPr>
            </w:pPr>
            <w:r>
              <w:rPr>
                <w:rFonts w:ascii="Arial" w:cs="Arial" w:eastAsia="Arial" w:hAnsi="Arial"/>
                <w:sz w:val="10"/>
                <w:szCs w:val="10"/>
                <w:color w:val="050505"/>
              </w:rPr>
              <w:t>—</w:t>
            </w: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jc w:val="right"/>
              <w:spacing w:after="0" w:line="108" w:lineRule="exact"/>
              <w:rPr>
                <w:sz w:val="20"/>
                <w:szCs w:val="20"/>
                <w:color w:val="auto"/>
              </w:rPr>
            </w:pPr>
            <w:r>
              <w:rPr>
                <w:rFonts w:ascii="Arial" w:cs="Arial" w:eastAsia="Arial" w:hAnsi="Arial"/>
                <w:sz w:val="10"/>
                <w:szCs w:val="10"/>
                <w:color w:val="050505"/>
              </w:rPr>
              <w:t>0.1</w:t>
            </w: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380" w:type="dxa"/>
            <w:vAlign w:val="bottom"/>
            <w:gridSpan w:val="2"/>
          </w:tcPr>
          <w:p>
            <w:pPr>
              <w:jc w:val="right"/>
              <w:ind w:right="100"/>
              <w:spacing w:after="0" w:line="108" w:lineRule="exact"/>
              <w:rPr>
                <w:sz w:val="20"/>
                <w:szCs w:val="20"/>
                <w:color w:val="auto"/>
              </w:rPr>
            </w:pPr>
            <w:r>
              <w:rPr>
                <w:rFonts w:ascii="Arial" w:cs="Arial" w:eastAsia="Arial" w:hAnsi="Arial"/>
                <w:sz w:val="10"/>
                <w:szCs w:val="10"/>
                <w:color w:val="050505"/>
              </w:rPr>
              <w:t>—</w:t>
            </w: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gridSpan w:val="2"/>
          </w:tcPr>
          <w:p>
            <w:pPr>
              <w:jc w:val="right"/>
              <w:ind w:right="100"/>
              <w:spacing w:after="0" w:line="108" w:lineRule="exact"/>
              <w:rPr>
                <w:sz w:val="20"/>
                <w:szCs w:val="20"/>
                <w:color w:val="auto"/>
              </w:rPr>
            </w:pPr>
            <w:r>
              <w:rPr>
                <w:rFonts w:ascii="Arial" w:cs="Arial" w:eastAsia="Arial" w:hAnsi="Arial"/>
                <w:sz w:val="10"/>
                <w:szCs w:val="10"/>
                <w:color w:val="050505"/>
              </w:rPr>
              <w:t>—</w:t>
            </w: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jc w:val="right"/>
              <w:spacing w:after="0" w:line="108" w:lineRule="exact"/>
              <w:rPr>
                <w:sz w:val="20"/>
                <w:szCs w:val="20"/>
                <w:color w:val="auto"/>
              </w:rPr>
            </w:pPr>
            <w:r>
              <w:rPr>
                <w:rFonts w:ascii="Arial" w:cs="Arial" w:eastAsia="Arial" w:hAnsi="Arial"/>
                <w:sz w:val="10"/>
                <w:szCs w:val="10"/>
                <w:color w:val="050505"/>
              </w:rPr>
              <w:t>0.2</w:t>
            </w: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gridSpan w:val="2"/>
          </w:tcPr>
          <w:p>
            <w:pPr>
              <w:jc w:val="right"/>
              <w:ind w:right="40"/>
              <w:spacing w:after="0" w:line="108" w:lineRule="exact"/>
              <w:rPr>
                <w:sz w:val="20"/>
                <w:szCs w:val="20"/>
                <w:color w:val="auto"/>
              </w:rPr>
            </w:pPr>
            <w:r>
              <w:rPr>
                <w:rFonts w:ascii="Arial" w:cs="Arial" w:eastAsia="Arial" w:hAnsi="Arial"/>
                <w:sz w:val="10"/>
                <w:szCs w:val="10"/>
                <w:color w:val="050505"/>
              </w:rPr>
              <w:t>(0.1)</w:t>
            </w:r>
          </w:p>
        </w:tc>
      </w:tr>
      <w:tr>
        <w:trPr>
          <w:trHeight w:val="20"/>
        </w:trPr>
        <w:tc>
          <w:tcPr>
            <w:tcW w:w="20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06"/>
        </w:trPr>
        <w:tc>
          <w:tcPr>
            <w:tcW w:w="2000" w:type="dxa"/>
            <w:vAlign w:val="bottom"/>
            <w:shd w:val="clear" w:color="auto" w:fill="CCEEFF"/>
          </w:tcPr>
          <w:p>
            <w:pPr>
              <w:ind w:left="60"/>
              <w:spacing w:after="0" w:line="106" w:lineRule="exact"/>
              <w:rPr>
                <w:sz w:val="20"/>
                <w:szCs w:val="20"/>
                <w:color w:val="auto"/>
              </w:rPr>
            </w:pPr>
            <w:r>
              <w:rPr>
                <w:rFonts w:ascii="Arial" w:cs="Arial" w:eastAsia="Arial" w:hAnsi="Arial"/>
                <w:sz w:val="10"/>
                <w:szCs w:val="10"/>
                <w:color w:val="050505"/>
              </w:rPr>
              <w:t>Net loss</w:t>
            </w:r>
          </w:p>
        </w:tc>
        <w:tc>
          <w:tcPr>
            <w:tcW w:w="280" w:type="dxa"/>
            <w:vAlign w:val="bottom"/>
            <w:gridSpan w:val="2"/>
            <w:shd w:val="clear" w:color="auto" w:fill="CCEEFF"/>
          </w:tcPr>
          <w:p>
            <w:pPr>
              <w:jc w:val="right"/>
              <w:spacing w:after="0" w:line="106" w:lineRule="exact"/>
              <w:rPr>
                <w:sz w:val="20"/>
                <w:szCs w:val="20"/>
                <w:color w:val="auto"/>
              </w:rPr>
            </w:pPr>
            <w:r>
              <w:rPr>
                <w:rFonts w:ascii="Arial" w:cs="Arial" w:eastAsia="Arial" w:hAnsi="Arial"/>
                <w:sz w:val="10"/>
                <w:szCs w:val="10"/>
                <w:color w:val="050505"/>
              </w:rPr>
              <w:t>$</w:t>
            </w:r>
          </w:p>
        </w:tc>
        <w:tc>
          <w:tcPr>
            <w:tcW w:w="500" w:type="dxa"/>
            <w:vAlign w:val="bottom"/>
            <w:gridSpan w:val="2"/>
            <w:shd w:val="clear" w:color="auto" w:fill="CCEEFF"/>
          </w:tcPr>
          <w:p>
            <w:pPr>
              <w:jc w:val="right"/>
              <w:ind w:right="60"/>
              <w:spacing w:after="0" w:line="106" w:lineRule="exact"/>
              <w:rPr>
                <w:sz w:val="20"/>
                <w:szCs w:val="20"/>
                <w:color w:val="auto"/>
              </w:rPr>
            </w:pPr>
            <w:r>
              <w:rPr>
                <w:rFonts w:ascii="Arial" w:cs="Arial" w:eastAsia="Arial" w:hAnsi="Arial"/>
                <w:sz w:val="10"/>
                <w:szCs w:val="10"/>
                <w:color w:val="050505"/>
              </w:rPr>
              <w:t>(17.0)</w:t>
            </w:r>
          </w:p>
        </w:tc>
        <w:tc>
          <w:tcPr>
            <w:tcW w:w="160" w:type="dxa"/>
            <w:vAlign w:val="bottom"/>
            <w:gridSpan w:val="2"/>
            <w:shd w:val="clear" w:color="auto" w:fill="CCEEFF"/>
          </w:tcPr>
          <w:p>
            <w:pPr>
              <w:jc w:val="right"/>
              <w:spacing w:after="0" w:line="106" w:lineRule="exact"/>
              <w:rPr>
                <w:sz w:val="20"/>
                <w:szCs w:val="20"/>
                <w:color w:val="auto"/>
              </w:rPr>
            </w:pPr>
            <w:r>
              <w:rPr>
                <w:rFonts w:ascii="Arial" w:cs="Arial" w:eastAsia="Arial" w:hAnsi="Arial"/>
                <w:sz w:val="10"/>
                <w:szCs w:val="10"/>
                <w:color w:val="050505"/>
              </w:rPr>
              <w:t>$</w:t>
            </w:r>
          </w:p>
        </w:tc>
        <w:tc>
          <w:tcPr>
            <w:tcW w:w="500" w:type="dxa"/>
            <w:vAlign w:val="bottom"/>
            <w:gridSpan w:val="2"/>
            <w:shd w:val="clear" w:color="auto" w:fill="CCEEFF"/>
          </w:tcPr>
          <w:p>
            <w:pPr>
              <w:jc w:val="right"/>
              <w:ind w:right="60"/>
              <w:spacing w:after="0" w:line="106" w:lineRule="exact"/>
              <w:rPr>
                <w:sz w:val="20"/>
                <w:szCs w:val="20"/>
                <w:color w:val="auto"/>
              </w:rPr>
            </w:pPr>
            <w:r>
              <w:rPr>
                <w:rFonts w:ascii="Arial" w:cs="Arial" w:eastAsia="Arial" w:hAnsi="Arial"/>
                <w:sz w:val="10"/>
                <w:szCs w:val="10"/>
                <w:color w:val="050505"/>
              </w:rPr>
              <w:t>(4.4)</w:t>
            </w:r>
          </w:p>
        </w:tc>
        <w:tc>
          <w:tcPr>
            <w:tcW w:w="160" w:type="dxa"/>
            <w:vAlign w:val="bottom"/>
            <w:gridSpan w:val="2"/>
            <w:shd w:val="clear" w:color="auto" w:fill="CCEEFF"/>
          </w:tcPr>
          <w:p>
            <w:pPr>
              <w:jc w:val="right"/>
              <w:spacing w:after="0" w:line="106" w:lineRule="exact"/>
              <w:rPr>
                <w:sz w:val="20"/>
                <w:szCs w:val="20"/>
                <w:color w:val="auto"/>
              </w:rPr>
            </w:pPr>
            <w:r>
              <w:rPr>
                <w:rFonts w:ascii="Arial" w:cs="Arial" w:eastAsia="Arial" w:hAnsi="Arial"/>
                <w:sz w:val="10"/>
                <w:szCs w:val="10"/>
                <w:color w:val="050505"/>
              </w:rPr>
              <w:t>$</w:t>
            </w:r>
          </w:p>
        </w:tc>
        <w:tc>
          <w:tcPr>
            <w:tcW w:w="500" w:type="dxa"/>
            <w:vAlign w:val="bottom"/>
            <w:gridSpan w:val="2"/>
            <w:shd w:val="clear" w:color="auto" w:fill="CCEEFF"/>
          </w:tcPr>
          <w:p>
            <w:pPr>
              <w:jc w:val="right"/>
              <w:ind w:right="60"/>
              <w:spacing w:after="0" w:line="106" w:lineRule="exact"/>
              <w:rPr>
                <w:sz w:val="20"/>
                <w:szCs w:val="20"/>
                <w:color w:val="auto"/>
              </w:rPr>
            </w:pPr>
            <w:r>
              <w:rPr>
                <w:rFonts w:ascii="Arial" w:cs="Arial" w:eastAsia="Arial" w:hAnsi="Arial"/>
                <w:sz w:val="10"/>
                <w:szCs w:val="10"/>
                <w:color w:val="050505"/>
              </w:rPr>
              <w:t>(15.6)</w:t>
            </w:r>
          </w:p>
        </w:tc>
        <w:tc>
          <w:tcPr>
            <w:tcW w:w="160" w:type="dxa"/>
            <w:vAlign w:val="bottom"/>
            <w:gridSpan w:val="2"/>
            <w:shd w:val="clear" w:color="auto" w:fill="CCEEFF"/>
          </w:tcPr>
          <w:p>
            <w:pPr>
              <w:jc w:val="right"/>
              <w:spacing w:after="0" w:line="106" w:lineRule="exact"/>
              <w:rPr>
                <w:sz w:val="20"/>
                <w:szCs w:val="20"/>
                <w:color w:val="auto"/>
              </w:rPr>
            </w:pPr>
            <w:r>
              <w:rPr>
                <w:rFonts w:ascii="Arial" w:cs="Arial" w:eastAsia="Arial" w:hAnsi="Arial"/>
                <w:sz w:val="10"/>
                <w:szCs w:val="10"/>
                <w:color w:val="050505"/>
              </w:rPr>
              <w:t>$</w:t>
            </w:r>
          </w:p>
        </w:tc>
        <w:tc>
          <w:tcPr>
            <w:tcW w:w="500" w:type="dxa"/>
            <w:vAlign w:val="bottom"/>
            <w:gridSpan w:val="2"/>
            <w:shd w:val="clear" w:color="auto" w:fill="CCEEFF"/>
          </w:tcPr>
          <w:p>
            <w:pPr>
              <w:jc w:val="right"/>
              <w:ind w:right="80"/>
              <w:spacing w:after="0" w:line="106" w:lineRule="exact"/>
              <w:rPr>
                <w:sz w:val="20"/>
                <w:szCs w:val="20"/>
                <w:color w:val="auto"/>
              </w:rPr>
            </w:pPr>
            <w:r>
              <w:rPr>
                <w:rFonts w:ascii="Arial" w:cs="Arial" w:eastAsia="Arial" w:hAnsi="Arial"/>
                <w:sz w:val="10"/>
                <w:szCs w:val="10"/>
                <w:color w:val="050505"/>
              </w:rPr>
              <w:t>(10.9)</w:t>
            </w:r>
          </w:p>
        </w:tc>
        <w:tc>
          <w:tcPr>
            <w:tcW w:w="280" w:type="dxa"/>
            <w:vAlign w:val="bottom"/>
            <w:gridSpan w:val="2"/>
            <w:shd w:val="clear" w:color="auto" w:fill="CCEEFF"/>
          </w:tcPr>
          <w:p>
            <w:pPr>
              <w:jc w:val="right"/>
              <w:ind w:right="106"/>
              <w:spacing w:after="0" w:line="106" w:lineRule="exact"/>
              <w:rPr>
                <w:sz w:val="20"/>
                <w:szCs w:val="20"/>
                <w:color w:val="auto"/>
              </w:rPr>
            </w:pPr>
            <w:r>
              <w:rPr>
                <w:rFonts w:ascii="Arial" w:cs="Arial" w:eastAsia="Arial" w:hAnsi="Arial"/>
                <w:sz w:val="10"/>
                <w:szCs w:val="10"/>
                <w:color w:val="050505"/>
              </w:rPr>
              <w:t>$</w:t>
            </w:r>
          </w:p>
        </w:tc>
        <w:tc>
          <w:tcPr>
            <w:tcW w:w="380" w:type="dxa"/>
            <w:vAlign w:val="bottom"/>
            <w:gridSpan w:val="2"/>
            <w:shd w:val="clear" w:color="auto" w:fill="CCEEFF"/>
          </w:tcPr>
          <w:p>
            <w:pPr>
              <w:jc w:val="right"/>
              <w:ind w:right="80"/>
              <w:spacing w:after="0" w:line="106" w:lineRule="exact"/>
              <w:rPr>
                <w:sz w:val="20"/>
                <w:szCs w:val="20"/>
                <w:color w:val="auto"/>
              </w:rPr>
            </w:pPr>
            <w:r>
              <w:rPr>
                <w:rFonts w:ascii="Arial" w:cs="Arial" w:eastAsia="Arial" w:hAnsi="Arial"/>
                <w:sz w:val="10"/>
                <w:szCs w:val="10"/>
                <w:color w:val="050505"/>
              </w:rPr>
              <w:t>(54.5)</w:t>
            </w:r>
          </w:p>
        </w:tc>
        <w:tc>
          <w:tcPr>
            <w:tcW w:w="160" w:type="dxa"/>
            <w:vAlign w:val="bottom"/>
            <w:gridSpan w:val="2"/>
            <w:shd w:val="clear" w:color="auto" w:fill="CCEEFF"/>
          </w:tcPr>
          <w:p>
            <w:pPr>
              <w:jc w:val="right"/>
              <w:spacing w:after="0" w:line="106" w:lineRule="exact"/>
              <w:rPr>
                <w:sz w:val="20"/>
                <w:szCs w:val="20"/>
                <w:color w:val="auto"/>
              </w:rPr>
            </w:pPr>
            <w:r>
              <w:rPr>
                <w:rFonts w:ascii="Arial" w:cs="Arial" w:eastAsia="Arial" w:hAnsi="Arial"/>
                <w:sz w:val="10"/>
                <w:szCs w:val="10"/>
                <w:color w:val="050505"/>
              </w:rPr>
              <w:t>$</w:t>
            </w:r>
          </w:p>
        </w:tc>
        <w:tc>
          <w:tcPr>
            <w:tcW w:w="500" w:type="dxa"/>
            <w:vAlign w:val="bottom"/>
            <w:gridSpan w:val="2"/>
            <w:shd w:val="clear" w:color="auto" w:fill="CCEEFF"/>
          </w:tcPr>
          <w:p>
            <w:pPr>
              <w:jc w:val="right"/>
              <w:ind w:right="80"/>
              <w:spacing w:after="0" w:line="106" w:lineRule="exact"/>
              <w:rPr>
                <w:sz w:val="20"/>
                <w:szCs w:val="20"/>
                <w:color w:val="auto"/>
              </w:rPr>
            </w:pPr>
            <w:r>
              <w:rPr>
                <w:rFonts w:ascii="Arial" w:cs="Arial" w:eastAsia="Arial" w:hAnsi="Arial"/>
                <w:sz w:val="10"/>
                <w:szCs w:val="10"/>
                <w:color w:val="050505"/>
              </w:rPr>
              <w:t>(55.1)</w:t>
            </w:r>
          </w:p>
        </w:tc>
        <w:tc>
          <w:tcPr>
            <w:tcW w:w="160" w:type="dxa"/>
            <w:vAlign w:val="bottom"/>
            <w:gridSpan w:val="2"/>
            <w:shd w:val="clear" w:color="auto" w:fill="CCEEFF"/>
          </w:tcPr>
          <w:p>
            <w:pPr>
              <w:jc w:val="right"/>
              <w:spacing w:after="0" w:line="106" w:lineRule="exact"/>
              <w:rPr>
                <w:sz w:val="20"/>
                <w:szCs w:val="20"/>
                <w:color w:val="auto"/>
              </w:rPr>
            </w:pPr>
            <w:r>
              <w:rPr>
                <w:rFonts w:ascii="Arial" w:cs="Arial" w:eastAsia="Arial" w:hAnsi="Arial"/>
                <w:sz w:val="10"/>
                <w:szCs w:val="10"/>
                <w:color w:val="050505"/>
              </w:rPr>
              <w:t>$</w:t>
            </w:r>
          </w:p>
        </w:tc>
        <w:tc>
          <w:tcPr>
            <w:tcW w:w="500" w:type="dxa"/>
            <w:vAlign w:val="bottom"/>
            <w:gridSpan w:val="2"/>
            <w:shd w:val="clear" w:color="auto" w:fill="CCEEFF"/>
          </w:tcPr>
          <w:p>
            <w:pPr>
              <w:jc w:val="right"/>
              <w:ind w:right="80"/>
              <w:spacing w:after="0" w:line="106" w:lineRule="exact"/>
              <w:rPr>
                <w:sz w:val="20"/>
                <w:szCs w:val="20"/>
                <w:color w:val="auto"/>
              </w:rPr>
            </w:pPr>
            <w:r>
              <w:rPr>
                <w:rFonts w:ascii="Arial" w:cs="Arial" w:eastAsia="Arial" w:hAnsi="Arial"/>
                <w:sz w:val="10"/>
                <w:szCs w:val="10"/>
                <w:color w:val="050505"/>
              </w:rPr>
              <w:t>(38.6)</w:t>
            </w:r>
          </w:p>
        </w:tc>
        <w:tc>
          <w:tcPr>
            <w:tcW w:w="140" w:type="dxa"/>
            <w:vAlign w:val="bottom"/>
            <w:gridSpan w:val="2"/>
            <w:shd w:val="clear" w:color="auto" w:fill="CCEEFF"/>
          </w:tcPr>
          <w:p>
            <w:pPr>
              <w:jc w:val="right"/>
              <w:spacing w:after="0" w:line="106" w:lineRule="exact"/>
              <w:rPr>
                <w:sz w:val="20"/>
                <w:szCs w:val="20"/>
                <w:color w:val="auto"/>
              </w:rPr>
            </w:pPr>
            <w:r>
              <w:rPr>
                <w:rFonts w:ascii="Arial" w:cs="Arial" w:eastAsia="Arial" w:hAnsi="Arial"/>
                <w:sz w:val="10"/>
                <w:szCs w:val="10"/>
                <w:color w:val="050505"/>
              </w:rPr>
              <w:t>$</w:t>
            </w:r>
          </w:p>
        </w:tc>
        <w:tc>
          <w:tcPr>
            <w:tcW w:w="480" w:type="dxa"/>
            <w:vAlign w:val="bottom"/>
            <w:gridSpan w:val="2"/>
            <w:shd w:val="clear" w:color="auto" w:fill="CCEEFF"/>
          </w:tcPr>
          <w:p>
            <w:pPr>
              <w:jc w:val="right"/>
              <w:ind w:right="40"/>
              <w:spacing w:after="0" w:line="106" w:lineRule="exact"/>
              <w:rPr>
                <w:sz w:val="20"/>
                <w:szCs w:val="20"/>
                <w:color w:val="auto"/>
              </w:rPr>
            </w:pPr>
            <w:r>
              <w:rPr>
                <w:rFonts w:ascii="Arial" w:cs="Arial" w:eastAsia="Arial" w:hAnsi="Arial"/>
                <w:sz w:val="10"/>
                <w:szCs w:val="10"/>
                <w:color w:val="050505"/>
              </w:rPr>
              <w:t>(47.4)</w:t>
            </w:r>
          </w:p>
        </w:tc>
      </w:tr>
      <w:tr>
        <w:trPr>
          <w:trHeight w:val="27"/>
        </w:trPr>
        <w:tc>
          <w:tcPr>
            <w:tcW w:w="20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bl>
    <w:p>
      <w:pPr>
        <w:spacing w:after="0" w:line="109" w:lineRule="exact"/>
        <w:rPr>
          <w:sz w:val="20"/>
          <w:szCs w:val="20"/>
          <w:color w:val="auto"/>
        </w:rPr>
      </w:pPr>
    </w:p>
    <w:p>
      <w:pPr>
        <w:ind w:left="5680"/>
        <w:spacing w:after="0"/>
        <w:rPr>
          <w:sz w:val="20"/>
          <w:szCs w:val="20"/>
          <w:color w:val="auto"/>
        </w:rPr>
      </w:pPr>
      <w:r>
        <w:rPr>
          <w:rFonts w:ascii="Arial" w:cs="Arial" w:eastAsia="Arial" w:hAnsi="Arial"/>
          <w:sz w:val="11"/>
          <w:szCs w:val="11"/>
          <w:color w:val="050505"/>
        </w:rPr>
        <w:t>78</w:t>
      </w:r>
    </w:p>
    <w:p>
      <w:pPr>
        <w:sectPr>
          <w:pgSz w:w="11900" w:h="16838" w:orient="portrait"/>
          <w:cols w:equalWidth="0" w:num="1">
            <w:col w:w="10239"/>
          </w:cols>
          <w:pgMar w:left="220" w:top="354" w:right="1440" w:bottom="1440" w:gutter="0" w:footer="0" w:header="0"/>
        </w:sectPr>
      </w:pPr>
    </w:p>
    <w:bookmarkStart w:id="83" w:name="page84"/>
    <w:bookmarkEnd w:id="83"/>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hyperlink w:anchor="page5">
        <w:r>
          <w:rPr>
            <w:rFonts w:ascii="Arial" w:cs="Arial" w:eastAsia="Arial" w:hAnsi="Arial"/>
            <w:sz w:val="12"/>
            <w:szCs w:val="12"/>
            <w:b w:val="1"/>
            <w:bCs w:val="1"/>
            <w:u w:val="single" w:color="auto"/>
            <w:color w:val="0000EE"/>
          </w:rPr>
          <w:t>Table of Contents</w:t>
        </w:r>
      </w:hyperlink>
    </w:p>
    <w:p>
      <w:pPr>
        <w:spacing w:after="0" w:line="204" w:lineRule="exact"/>
        <w:rPr>
          <w:sz w:val="20"/>
          <w:szCs w:val="20"/>
          <w:color w:val="auto"/>
        </w:rPr>
      </w:pPr>
    </w:p>
    <w:tbl>
      <w:tblPr>
        <w:tblLayout w:type="fixed"/>
        <w:tblInd w:w="2060" w:type="dxa"/>
        <w:tblCellMar>
          <w:top w:w="0" w:type="dxa"/>
          <w:left w:w="0" w:type="dxa"/>
          <w:bottom w:w="0" w:type="dxa"/>
          <w:right w:w="0" w:type="dxa"/>
        </w:tblCellMar>
      </w:tblPr>
      <w:tr>
        <w:trPr>
          <w:trHeight w:val="137"/>
        </w:trPr>
        <w:tc>
          <w:tcPr>
            <w:tcW w:w="1540" w:type="dxa"/>
            <w:vAlign w:val="bottom"/>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1480" w:type="dxa"/>
            <w:vAlign w:val="bottom"/>
            <w:tcBorders>
              <w:bottom w:val="single" w:sz="8" w:color="auto"/>
            </w:tcBorders>
            <w:gridSpan w:val="4"/>
          </w:tcPr>
          <w:p>
            <w:pPr>
              <w:jc w:val="center"/>
              <w:ind w:right="280"/>
              <w:spacing w:after="0"/>
              <w:rPr>
                <w:sz w:val="20"/>
                <w:szCs w:val="20"/>
                <w:color w:val="auto"/>
              </w:rPr>
            </w:pPr>
            <w:r>
              <w:rPr>
                <w:rFonts w:ascii="Arial" w:cs="Arial" w:eastAsia="Arial" w:hAnsi="Arial"/>
                <w:sz w:val="11"/>
                <w:szCs w:val="11"/>
                <w:b w:val="1"/>
                <w:bCs w:val="1"/>
                <w:color w:val="050505"/>
                <w:w w:val="99"/>
              </w:rPr>
              <w:t>Three Months Ended</w:t>
            </w:r>
          </w:p>
        </w:tc>
        <w:tc>
          <w:tcPr>
            <w:tcW w:w="50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160" w:type="dxa"/>
            <w:vAlign w:val="bottom"/>
          </w:tcPr>
          <w:p>
            <w:pPr>
              <w:spacing w:after="0"/>
              <w:rPr>
                <w:sz w:val="11"/>
                <w:szCs w:val="11"/>
                <w:color w:val="auto"/>
              </w:rPr>
            </w:pPr>
          </w:p>
        </w:tc>
      </w:tr>
      <w:tr>
        <w:trPr>
          <w:trHeight w:val="104"/>
        </w:trPr>
        <w:tc>
          <w:tcPr>
            <w:tcW w:w="1540" w:type="dxa"/>
            <w:vAlign w:val="bottom"/>
          </w:tcPr>
          <w:p>
            <w:pPr>
              <w:spacing w:after="0"/>
              <w:rPr>
                <w:sz w:val="9"/>
                <w:szCs w:val="9"/>
                <w:color w:val="auto"/>
              </w:rPr>
            </w:pPr>
          </w:p>
        </w:tc>
        <w:tc>
          <w:tcPr>
            <w:tcW w:w="740" w:type="dxa"/>
            <w:vAlign w:val="bottom"/>
            <w:gridSpan w:val="2"/>
          </w:tcPr>
          <w:p>
            <w:pPr>
              <w:jc w:val="right"/>
              <w:ind w:right="300"/>
              <w:spacing w:after="0" w:line="105" w:lineRule="exact"/>
              <w:rPr>
                <w:sz w:val="20"/>
                <w:szCs w:val="20"/>
                <w:color w:val="auto"/>
              </w:rPr>
            </w:pPr>
            <w:r>
              <w:rPr>
                <w:rFonts w:ascii="Arial" w:cs="Arial" w:eastAsia="Arial" w:hAnsi="Arial"/>
                <w:sz w:val="11"/>
                <w:szCs w:val="11"/>
                <w:b w:val="1"/>
                <w:bCs w:val="1"/>
                <w:color w:val="050505"/>
              </w:rPr>
              <w:t>Sep. 30,</w:t>
            </w:r>
          </w:p>
        </w:tc>
        <w:tc>
          <w:tcPr>
            <w:tcW w:w="740" w:type="dxa"/>
            <w:vAlign w:val="bottom"/>
            <w:gridSpan w:val="2"/>
          </w:tcPr>
          <w:p>
            <w:pPr>
              <w:jc w:val="right"/>
              <w:ind w:right="300"/>
              <w:spacing w:after="0" w:line="105" w:lineRule="exact"/>
              <w:rPr>
                <w:sz w:val="20"/>
                <w:szCs w:val="20"/>
                <w:color w:val="auto"/>
              </w:rPr>
            </w:pPr>
            <w:r>
              <w:rPr>
                <w:rFonts w:ascii="Arial" w:cs="Arial" w:eastAsia="Arial" w:hAnsi="Arial"/>
                <w:sz w:val="11"/>
                <w:szCs w:val="11"/>
                <w:b w:val="1"/>
                <w:bCs w:val="1"/>
                <w:color w:val="050505"/>
              </w:rPr>
              <w:t>Dec. 31,</w:t>
            </w:r>
          </w:p>
        </w:tc>
        <w:tc>
          <w:tcPr>
            <w:tcW w:w="740" w:type="dxa"/>
            <w:vAlign w:val="bottom"/>
            <w:gridSpan w:val="2"/>
          </w:tcPr>
          <w:p>
            <w:pPr>
              <w:jc w:val="right"/>
              <w:ind w:right="272"/>
              <w:spacing w:after="0" w:line="105" w:lineRule="exact"/>
              <w:rPr>
                <w:sz w:val="20"/>
                <w:szCs w:val="20"/>
                <w:color w:val="auto"/>
              </w:rPr>
            </w:pPr>
            <w:r>
              <w:rPr>
                <w:rFonts w:ascii="Arial" w:cs="Arial" w:eastAsia="Arial" w:hAnsi="Arial"/>
                <w:sz w:val="11"/>
                <w:szCs w:val="11"/>
                <w:b w:val="1"/>
                <w:bCs w:val="1"/>
                <w:color w:val="050505"/>
                <w:w w:val="97"/>
              </w:rPr>
              <w:t>Mar. 31,</w:t>
            </w:r>
          </w:p>
        </w:tc>
        <w:tc>
          <w:tcPr>
            <w:tcW w:w="740" w:type="dxa"/>
            <w:vAlign w:val="bottom"/>
            <w:gridSpan w:val="2"/>
          </w:tcPr>
          <w:p>
            <w:pPr>
              <w:jc w:val="right"/>
              <w:ind w:right="300"/>
              <w:spacing w:after="0" w:line="105" w:lineRule="exact"/>
              <w:rPr>
                <w:sz w:val="20"/>
                <w:szCs w:val="20"/>
                <w:color w:val="auto"/>
              </w:rPr>
            </w:pPr>
            <w:r>
              <w:rPr>
                <w:rFonts w:ascii="Arial" w:cs="Arial" w:eastAsia="Arial" w:hAnsi="Arial"/>
                <w:sz w:val="11"/>
                <w:szCs w:val="11"/>
                <w:b w:val="1"/>
                <w:bCs w:val="1"/>
                <w:color w:val="050505"/>
              </w:rPr>
              <w:t>Jun. 30,</w:t>
            </w:r>
          </w:p>
        </w:tc>
        <w:tc>
          <w:tcPr>
            <w:tcW w:w="740" w:type="dxa"/>
            <w:vAlign w:val="bottom"/>
            <w:gridSpan w:val="2"/>
          </w:tcPr>
          <w:p>
            <w:pPr>
              <w:jc w:val="right"/>
              <w:ind w:right="300"/>
              <w:spacing w:after="0" w:line="105" w:lineRule="exact"/>
              <w:rPr>
                <w:sz w:val="20"/>
                <w:szCs w:val="20"/>
                <w:color w:val="auto"/>
              </w:rPr>
            </w:pPr>
            <w:r>
              <w:rPr>
                <w:rFonts w:ascii="Arial" w:cs="Arial" w:eastAsia="Arial" w:hAnsi="Arial"/>
                <w:sz w:val="11"/>
                <w:szCs w:val="11"/>
                <w:b w:val="1"/>
                <w:bCs w:val="1"/>
                <w:color w:val="050505"/>
              </w:rPr>
              <w:t>Sep. 30,</w:t>
            </w:r>
          </w:p>
        </w:tc>
        <w:tc>
          <w:tcPr>
            <w:tcW w:w="760" w:type="dxa"/>
            <w:vAlign w:val="bottom"/>
            <w:gridSpan w:val="2"/>
          </w:tcPr>
          <w:p>
            <w:pPr>
              <w:jc w:val="right"/>
              <w:ind w:right="320"/>
              <w:spacing w:after="0" w:line="105" w:lineRule="exact"/>
              <w:rPr>
                <w:sz w:val="20"/>
                <w:szCs w:val="20"/>
                <w:color w:val="auto"/>
              </w:rPr>
            </w:pPr>
            <w:r>
              <w:rPr>
                <w:rFonts w:ascii="Arial" w:cs="Arial" w:eastAsia="Arial" w:hAnsi="Arial"/>
                <w:sz w:val="11"/>
                <w:szCs w:val="11"/>
                <w:b w:val="1"/>
                <w:bCs w:val="1"/>
                <w:color w:val="050505"/>
              </w:rPr>
              <w:t>Dec. 31,</w:t>
            </w:r>
          </w:p>
        </w:tc>
        <w:tc>
          <w:tcPr>
            <w:tcW w:w="700" w:type="dxa"/>
            <w:vAlign w:val="bottom"/>
            <w:gridSpan w:val="2"/>
          </w:tcPr>
          <w:p>
            <w:pPr>
              <w:jc w:val="right"/>
              <w:ind w:right="260"/>
              <w:spacing w:after="0" w:line="105" w:lineRule="exact"/>
              <w:rPr>
                <w:sz w:val="20"/>
                <w:szCs w:val="20"/>
                <w:color w:val="auto"/>
              </w:rPr>
            </w:pPr>
            <w:r>
              <w:rPr>
                <w:rFonts w:ascii="Arial" w:cs="Arial" w:eastAsia="Arial" w:hAnsi="Arial"/>
                <w:sz w:val="11"/>
                <w:szCs w:val="11"/>
                <w:b w:val="1"/>
                <w:bCs w:val="1"/>
                <w:color w:val="050505"/>
              </w:rPr>
              <w:t>Mar. 31,</w:t>
            </w:r>
          </w:p>
        </w:tc>
        <w:tc>
          <w:tcPr>
            <w:tcW w:w="500" w:type="dxa"/>
            <w:vAlign w:val="bottom"/>
          </w:tcPr>
          <w:p>
            <w:pPr>
              <w:jc w:val="right"/>
              <w:ind w:right="7"/>
              <w:spacing w:after="0" w:line="105" w:lineRule="exact"/>
              <w:rPr>
                <w:sz w:val="20"/>
                <w:szCs w:val="20"/>
                <w:color w:val="auto"/>
              </w:rPr>
            </w:pPr>
            <w:r>
              <w:rPr>
                <w:rFonts w:ascii="Arial" w:cs="Arial" w:eastAsia="Arial" w:hAnsi="Arial"/>
                <w:sz w:val="11"/>
                <w:szCs w:val="11"/>
                <w:b w:val="1"/>
                <w:bCs w:val="1"/>
                <w:color w:val="050505"/>
              </w:rPr>
              <w:t>Jun. 30,</w:t>
            </w:r>
          </w:p>
        </w:tc>
        <w:tc>
          <w:tcPr>
            <w:tcW w:w="160" w:type="dxa"/>
            <w:vAlign w:val="bottom"/>
          </w:tcPr>
          <w:p>
            <w:pPr>
              <w:spacing w:after="0"/>
              <w:rPr>
                <w:sz w:val="9"/>
                <w:szCs w:val="9"/>
                <w:color w:val="auto"/>
              </w:rPr>
            </w:pPr>
          </w:p>
        </w:tc>
      </w:tr>
      <w:tr>
        <w:trPr>
          <w:trHeight w:val="137"/>
        </w:trPr>
        <w:tc>
          <w:tcPr>
            <w:tcW w:w="1540" w:type="dxa"/>
            <w:vAlign w:val="bottom"/>
          </w:tcPr>
          <w:p>
            <w:pPr>
              <w:spacing w:after="0"/>
              <w:rPr>
                <w:sz w:val="11"/>
                <w:szCs w:val="11"/>
                <w:color w:val="auto"/>
              </w:rPr>
            </w:pPr>
          </w:p>
        </w:tc>
        <w:tc>
          <w:tcPr>
            <w:tcW w:w="480" w:type="dxa"/>
            <w:vAlign w:val="bottom"/>
            <w:tcBorders>
              <w:bottom w:val="single" w:sz="8" w:color="auto"/>
            </w:tcBorders>
          </w:tcPr>
          <w:p>
            <w:pPr>
              <w:jc w:val="right"/>
              <w:ind w:right="67"/>
              <w:spacing w:after="0"/>
              <w:rPr>
                <w:sz w:val="20"/>
                <w:szCs w:val="20"/>
                <w:color w:val="auto"/>
              </w:rPr>
            </w:pPr>
            <w:r>
              <w:rPr>
                <w:rFonts w:ascii="Arial" w:cs="Arial" w:eastAsia="Arial" w:hAnsi="Arial"/>
                <w:sz w:val="11"/>
                <w:szCs w:val="11"/>
                <w:b w:val="1"/>
                <w:bCs w:val="1"/>
                <w:color w:val="050505"/>
              </w:rPr>
              <w:t>2017</w:t>
            </w:r>
          </w:p>
        </w:tc>
        <w:tc>
          <w:tcPr>
            <w:tcW w:w="26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jc w:val="right"/>
              <w:ind w:right="67"/>
              <w:spacing w:after="0"/>
              <w:rPr>
                <w:sz w:val="20"/>
                <w:szCs w:val="20"/>
                <w:color w:val="auto"/>
              </w:rPr>
            </w:pPr>
            <w:r>
              <w:rPr>
                <w:rFonts w:ascii="Arial" w:cs="Arial" w:eastAsia="Arial" w:hAnsi="Arial"/>
                <w:sz w:val="11"/>
                <w:szCs w:val="11"/>
                <w:b w:val="1"/>
                <w:bCs w:val="1"/>
                <w:color w:val="050505"/>
              </w:rPr>
              <w:t>2017</w:t>
            </w:r>
          </w:p>
        </w:tc>
        <w:tc>
          <w:tcPr>
            <w:tcW w:w="26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jc w:val="right"/>
              <w:ind w:right="67"/>
              <w:spacing w:after="0"/>
              <w:rPr>
                <w:sz w:val="20"/>
                <w:szCs w:val="20"/>
                <w:color w:val="auto"/>
              </w:rPr>
            </w:pPr>
            <w:r>
              <w:rPr>
                <w:rFonts w:ascii="Arial" w:cs="Arial" w:eastAsia="Arial" w:hAnsi="Arial"/>
                <w:sz w:val="11"/>
                <w:szCs w:val="11"/>
                <w:b w:val="1"/>
                <w:bCs w:val="1"/>
                <w:color w:val="050505"/>
              </w:rPr>
              <w:t>2018</w:t>
            </w:r>
          </w:p>
        </w:tc>
        <w:tc>
          <w:tcPr>
            <w:tcW w:w="26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jc w:val="right"/>
              <w:ind w:right="87"/>
              <w:spacing w:after="0"/>
              <w:rPr>
                <w:sz w:val="20"/>
                <w:szCs w:val="20"/>
                <w:color w:val="auto"/>
              </w:rPr>
            </w:pPr>
            <w:r>
              <w:rPr>
                <w:rFonts w:ascii="Arial" w:cs="Arial" w:eastAsia="Arial" w:hAnsi="Arial"/>
                <w:sz w:val="11"/>
                <w:szCs w:val="11"/>
                <w:b w:val="1"/>
                <w:bCs w:val="1"/>
                <w:color w:val="050505"/>
              </w:rPr>
              <w:t>2018</w:t>
            </w:r>
          </w:p>
        </w:tc>
        <w:tc>
          <w:tcPr>
            <w:tcW w:w="26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jc w:val="right"/>
              <w:ind w:right="67"/>
              <w:spacing w:after="0"/>
              <w:rPr>
                <w:sz w:val="20"/>
                <w:szCs w:val="20"/>
                <w:color w:val="auto"/>
              </w:rPr>
            </w:pPr>
            <w:r>
              <w:rPr>
                <w:rFonts w:ascii="Arial" w:cs="Arial" w:eastAsia="Arial" w:hAnsi="Arial"/>
                <w:sz w:val="11"/>
                <w:szCs w:val="11"/>
                <w:b w:val="1"/>
                <w:bCs w:val="1"/>
                <w:color w:val="050505"/>
              </w:rPr>
              <w:t>2018</w:t>
            </w:r>
          </w:p>
        </w:tc>
        <w:tc>
          <w:tcPr>
            <w:tcW w:w="26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jc w:val="right"/>
              <w:ind w:right="87"/>
              <w:spacing w:after="0"/>
              <w:rPr>
                <w:sz w:val="20"/>
                <w:szCs w:val="20"/>
                <w:color w:val="auto"/>
              </w:rPr>
            </w:pPr>
            <w:r>
              <w:rPr>
                <w:rFonts w:ascii="Arial" w:cs="Arial" w:eastAsia="Arial" w:hAnsi="Arial"/>
                <w:sz w:val="11"/>
                <w:szCs w:val="11"/>
                <w:b w:val="1"/>
                <w:bCs w:val="1"/>
                <w:color w:val="050505"/>
              </w:rPr>
              <w:t>2018</w:t>
            </w:r>
          </w:p>
        </w:tc>
        <w:tc>
          <w:tcPr>
            <w:tcW w:w="26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jc w:val="right"/>
              <w:ind w:right="67"/>
              <w:spacing w:after="0"/>
              <w:rPr>
                <w:sz w:val="20"/>
                <w:szCs w:val="20"/>
                <w:color w:val="auto"/>
              </w:rPr>
            </w:pPr>
            <w:r>
              <w:rPr>
                <w:rFonts w:ascii="Arial" w:cs="Arial" w:eastAsia="Arial" w:hAnsi="Arial"/>
                <w:sz w:val="11"/>
                <w:szCs w:val="11"/>
                <w:b w:val="1"/>
                <w:bCs w:val="1"/>
                <w:color w:val="050505"/>
              </w:rPr>
              <w:t>2019</w:t>
            </w:r>
          </w:p>
        </w:tc>
        <w:tc>
          <w:tcPr>
            <w:tcW w:w="22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jc w:val="right"/>
              <w:ind w:right="87"/>
              <w:spacing w:after="0"/>
              <w:rPr>
                <w:sz w:val="20"/>
                <w:szCs w:val="20"/>
                <w:color w:val="auto"/>
              </w:rPr>
            </w:pPr>
            <w:r>
              <w:rPr>
                <w:rFonts w:ascii="Arial" w:cs="Arial" w:eastAsia="Arial" w:hAnsi="Arial"/>
                <w:sz w:val="11"/>
                <w:szCs w:val="11"/>
                <w:b w:val="1"/>
                <w:bCs w:val="1"/>
                <w:color w:val="050505"/>
              </w:rPr>
              <w:t>2019</w:t>
            </w:r>
          </w:p>
        </w:tc>
        <w:tc>
          <w:tcPr>
            <w:tcW w:w="160" w:type="dxa"/>
            <w:vAlign w:val="bottom"/>
          </w:tcPr>
          <w:p>
            <w:pPr>
              <w:spacing w:after="0"/>
              <w:rPr>
                <w:sz w:val="11"/>
                <w:szCs w:val="11"/>
                <w:color w:val="auto"/>
              </w:rPr>
            </w:pPr>
          </w:p>
        </w:tc>
      </w:tr>
      <w:tr>
        <w:trPr>
          <w:trHeight w:val="88"/>
        </w:trPr>
        <w:tc>
          <w:tcPr>
            <w:tcW w:w="1540" w:type="dxa"/>
            <w:vAlign w:val="bottom"/>
          </w:tcPr>
          <w:p>
            <w:pPr>
              <w:spacing w:after="0"/>
              <w:rPr>
                <w:sz w:val="7"/>
                <w:szCs w:val="7"/>
                <w:color w:val="auto"/>
              </w:rPr>
            </w:pPr>
          </w:p>
        </w:tc>
        <w:tc>
          <w:tcPr>
            <w:tcW w:w="480" w:type="dxa"/>
            <w:vAlign w:val="bottom"/>
          </w:tcPr>
          <w:p>
            <w:pPr>
              <w:spacing w:after="0"/>
              <w:rPr>
                <w:sz w:val="7"/>
                <w:szCs w:val="7"/>
                <w:color w:val="auto"/>
              </w:rPr>
            </w:pPr>
          </w:p>
        </w:tc>
        <w:tc>
          <w:tcPr>
            <w:tcW w:w="260" w:type="dxa"/>
            <w:vAlign w:val="bottom"/>
          </w:tcPr>
          <w:p>
            <w:pPr>
              <w:spacing w:after="0"/>
              <w:rPr>
                <w:sz w:val="7"/>
                <w:szCs w:val="7"/>
                <w:color w:val="auto"/>
              </w:rPr>
            </w:pPr>
          </w:p>
        </w:tc>
        <w:tc>
          <w:tcPr>
            <w:tcW w:w="480" w:type="dxa"/>
            <w:vAlign w:val="bottom"/>
          </w:tcPr>
          <w:p>
            <w:pPr>
              <w:spacing w:after="0"/>
              <w:rPr>
                <w:sz w:val="7"/>
                <w:szCs w:val="7"/>
                <w:color w:val="auto"/>
              </w:rPr>
            </w:pPr>
          </w:p>
        </w:tc>
        <w:tc>
          <w:tcPr>
            <w:tcW w:w="260" w:type="dxa"/>
            <w:vAlign w:val="bottom"/>
          </w:tcPr>
          <w:p>
            <w:pPr>
              <w:spacing w:after="0"/>
              <w:rPr>
                <w:sz w:val="7"/>
                <w:szCs w:val="7"/>
                <w:color w:val="auto"/>
              </w:rPr>
            </w:pPr>
          </w:p>
        </w:tc>
        <w:tc>
          <w:tcPr>
            <w:tcW w:w="480" w:type="dxa"/>
            <w:vAlign w:val="bottom"/>
          </w:tcPr>
          <w:p>
            <w:pPr>
              <w:spacing w:after="0"/>
              <w:rPr>
                <w:sz w:val="7"/>
                <w:szCs w:val="7"/>
                <w:color w:val="auto"/>
              </w:rPr>
            </w:pPr>
          </w:p>
        </w:tc>
        <w:tc>
          <w:tcPr>
            <w:tcW w:w="260" w:type="dxa"/>
            <w:vAlign w:val="bottom"/>
          </w:tcPr>
          <w:p>
            <w:pPr>
              <w:spacing w:after="0"/>
              <w:rPr>
                <w:sz w:val="7"/>
                <w:szCs w:val="7"/>
                <w:color w:val="auto"/>
              </w:rPr>
            </w:pPr>
          </w:p>
        </w:tc>
        <w:tc>
          <w:tcPr>
            <w:tcW w:w="1480" w:type="dxa"/>
            <w:vAlign w:val="bottom"/>
            <w:gridSpan w:val="4"/>
          </w:tcPr>
          <w:p>
            <w:pPr>
              <w:jc w:val="center"/>
              <w:ind w:right="280"/>
              <w:spacing w:after="0" w:line="89" w:lineRule="exact"/>
              <w:rPr>
                <w:sz w:val="20"/>
                <w:szCs w:val="20"/>
                <w:color w:val="auto"/>
              </w:rPr>
            </w:pPr>
            <w:r>
              <w:rPr>
                <w:rFonts w:ascii="Arial" w:cs="Arial" w:eastAsia="Arial" w:hAnsi="Arial"/>
                <w:sz w:val="10"/>
                <w:szCs w:val="10"/>
                <w:b w:val="1"/>
                <w:bCs w:val="1"/>
                <w:color w:val="050505"/>
                <w:w w:val="95"/>
              </w:rPr>
              <w:t>(unaudited)</w:t>
            </w:r>
          </w:p>
        </w:tc>
        <w:tc>
          <w:tcPr>
            <w:tcW w:w="500" w:type="dxa"/>
            <w:vAlign w:val="bottom"/>
          </w:tcPr>
          <w:p>
            <w:pPr>
              <w:spacing w:after="0"/>
              <w:rPr>
                <w:sz w:val="7"/>
                <w:szCs w:val="7"/>
                <w:color w:val="auto"/>
              </w:rPr>
            </w:pPr>
          </w:p>
        </w:tc>
        <w:tc>
          <w:tcPr>
            <w:tcW w:w="260" w:type="dxa"/>
            <w:vAlign w:val="bottom"/>
          </w:tcPr>
          <w:p>
            <w:pPr>
              <w:spacing w:after="0"/>
              <w:rPr>
                <w:sz w:val="7"/>
                <w:szCs w:val="7"/>
                <w:color w:val="auto"/>
              </w:rPr>
            </w:pPr>
          </w:p>
        </w:tc>
        <w:tc>
          <w:tcPr>
            <w:tcW w:w="480" w:type="dxa"/>
            <w:vAlign w:val="bottom"/>
          </w:tcPr>
          <w:p>
            <w:pPr>
              <w:spacing w:after="0"/>
              <w:rPr>
                <w:sz w:val="7"/>
                <w:szCs w:val="7"/>
                <w:color w:val="auto"/>
              </w:rPr>
            </w:pPr>
          </w:p>
        </w:tc>
        <w:tc>
          <w:tcPr>
            <w:tcW w:w="220" w:type="dxa"/>
            <w:vAlign w:val="bottom"/>
          </w:tcPr>
          <w:p>
            <w:pPr>
              <w:spacing w:after="0"/>
              <w:rPr>
                <w:sz w:val="7"/>
                <w:szCs w:val="7"/>
                <w:color w:val="auto"/>
              </w:rPr>
            </w:pPr>
          </w:p>
        </w:tc>
        <w:tc>
          <w:tcPr>
            <w:tcW w:w="500" w:type="dxa"/>
            <w:vAlign w:val="bottom"/>
          </w:tcPr>
          <w:p>
            <w:pPr>
              <w:spacing w:after="0"/>
              <w:rPr>
                <w:sz w:val="7"/>
                <w:szCs w:val="7"/>
                <w:color w:val="auto"/>
              </w:rPr>
            </w:pPr>
          </w:p>
        </w:tc>
        <w:tc>
          <w:tcPr>
            <w:tcW w:w="160" w:type="dxa"/>
            <w:vAlign w:val="bottom"/>
          </w:tcPr>
          <w:p>
            <w:pPr>
              <w:spacing w:after="0"/>
              <w:rPr>
                <w:sz w:val="7"/>
                <w:szCs w:val="7"/>
                <w:color w:val="auto"/>
              </w:rPr>
            </w:pPr>
          </w:p>
        </w:tc>
      </w:tr>
      <w:tr>
        <w:trPr>
          <w:trHeight w:val="117"/>
        </w:trPr>
        <w:tc>
          <w:tcPr>
            <w:tcW w:w="15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740" w:type="dxa"/>
            <w:vAlign w:val="bottom"/>
            <w:gridSpan w:val="5"/>
          </w:tcPr>
          <w:p>
            <w:pPr>
              <w:jc w:val="center"/>
              <w:ind w:right="20"/>
              <w:spacing w:after="0"/>
              <w:rPr>
                <w:sz w:val="20"/>
                <w:szCs w:val="20"/>
                <w:color w:val="auto"/>
              </w:rPr>
            </w:pPr>
            <w:r>
              <w:rPr>
                <w:rFonts w:ascii="Arial" w:cs="Arial" w:eastAsia="Arial" w:hAnsi="Arial"/>
                <w:sz w:val="10"/>
                <w:szCs w:val="10"/>
                <w:b w:val="1"/>
                <w:bCs w:val="1"/>
                <w:color w:val="050505"/>
                <w:w w:val="95"/>
              </w:rPr>
              <w:t>(as a percentage of total revenue)</w:t>
            </w:r>
          </w:p>
        </w:tc>
        <w:tc>
          <w:tcPr>
            <w:tcW w:w="5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60" w:type="dxa"/>
            <w:vAlign w:val="bottom"/>
          </w:tcPr>
          <w:p>
            <w:pPr>
              <w:spacing w:after="0"/>
              <w:rPr>
                <w:sz w:val="10"/>
                <w:szCs w:val="10"/>
                <w:color w:val="auto"/>
              </w:rPr>
            </w:pPr>
          </w:p>
        </w:tc>
      </w:tr>
      <w:tr>
        <w:trPr>
          <w:trHeight w:val="108"/>
        </w:trPr>
        <w:tc>
          <w:tcPr>
            <w:tcW w:w="1540" w:type="dxa"/>
            <w:vAlign w:val="bottom"/>
            <w:shd w:val="clear" w:color="auto" w:fill="CCEEFF"/>
          </w:tcPr>
          <w:p>
            <w:pPr>
              <w:ind w:left="60"/>
              <w:spacing w:after="0" w:line="108" w:lineRule="exact"/>
              <w:rPr>
                <w:sz w:val="20"/>
                <w:szCs w:val="20"/>
                <w:color w:val="auto"/>
              </w:rPr>
            </w:pPr>
            <w:r>
              <w:rPr>
                <w:rFonts w:ascii="Arial" w:cs="Arial" w:eastAsia="Arial" w:hAnsi="Arial"/>
                <w:sz w:val="10"/>
                <w:szCs w:val="10"/>
                <w:color w:val="050505"/>
              </w:rPr>
              <w:t>Revenue:</w:t>
            </w:r>
          </w:p>
        </w:tc>
        <w:tc>
          <w:tcPr>
            <w:tcW w:w="48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r>
      <w:tr>
        <w:trPr>
          <w:trHeight w:val="106"/>
        </w:trPr>
        <w:tc>
          <w:tcPr>
            <w:tcW w:w="1540" w:type="dxa"/>
            <w:vAlign w:val="bottom"/>
          </w:tcPr>
          <w:p>
            <w:pPr>
              <w:ind w:left="160"/>
              <w:spacing w:after="0" w:line="106" w:lineRule="exact"/>
              <w:rPr>
                <w:sz w:val="20"/>
                <w:szCs w:val="20"/>
                <w:color w:val="auto"/>
              </w:rPr>
            </w:pPr>
            <w:r>
              <w:rPr>
                <w:rFonts w:ascii="Arial" w:cs="Arial" w:eastAsia="Arial" w:hAnsi="Arial"/>
                <w:sz w:val="10"/>
                <w:szCs w:val="10"/>
                <w:color w:val="050505"/>
              </w:rPr>
              <w:t>Connected Fitness</w:t>
            </w:r>
          </w:p>
        </w:tc>
        <w:tc>
          <w:tcPr>
            <w:tcW w:w="480" w:type="dxa"/>
            <w:vAlign w:val="bottom"/>
          </w:tcPr>
          <w:p>
            <w:pPr>
              <w:spacing w:after="0"/>
              <w:rPr>
                <w:sz w:val="9"/>
                <w:szCs w:val="9"/>
                <w:color w:val="auto"/>
              </w:rPr>
            </w:pPr>
          </w:p>
        </w:tc>
        <w:tc>
          <w:tcPr>
            <w:tcW w:w="260" w:type="dxa"/>
            <w:vAlign w:val="bottom"/>
          </w:tcPr>
          <w:p>
            <w:pPr>
              <w:spacing w:after="0"/>
              <w:rPr>
                <w:sz w:val="9"/>
                <w:szCs w:val="9"/>
                <w:color w:val="auto"/>
              </w:rPr>
            </w:pPr>
          </w:p>
        </w:tc>
        <w:tc>
          <w:tcPr>
            <w:tcW w:w="480" w:type="dxa"/>
            <w:vAlign w:val="bottom"/>
          </w:tcPr>
          <w:p>
            <w:pPr>
              <w:spacing w:after="0"/>
              <w:rPr>
                <w:sz w:val="9"/>
                <w:szCs w:val="9"/>
                <w:color w:val="auto"/>
              </w:rPr>
            </w:pPr>
          </w:p>
        </w:tc>
        <w:tc>
          <w:tcPr>
            <w:tcW w:w="260" w:type="dxa"/>
            <w:vAlign w:val="bottom"/>
          </w:tcPr>
          <w:p>
            <w:pPr>
              <w:spacing w:after="0"/>
              <w:rPr>
                <w:sz w:val="9"/>
                <w:szCs w:val="9"/>
                <w:color w:val="auto"/>
              </w:rPr>
            </w:pPr>
          </w:p>
        </w:tc>
        <w:tc>
          <w:tcPr>
            <w:tcW w:w="480" w:type="dxa"/>
            <w:vAlign w:val="bottom"/>
          </w:tcPr>
          <w:p>
            <w:pPr>
              <w:spacing w:after="0"/>
              <w:rPr>
                <w:sz w:val="9"/>
                <w:szCs w:val="9"/>
                <w:color w:val="auto"/>
              </w:rPr>
            </w:pPr>
          </w:p>
        </w:tc>
        <w:tc>
          <w:tcPr>
            <w:tcW w:w="260" w:type="dxa"/>
            <w:vAlign w:val="bottom"/>
          </w:tcPr>
          <w:p>
            <w:pPr>
              <w:spacing w:after="0"/>
              <w:rPr>
                <w:sz w:val="9"/>
                <w:szCs w:val="9"/>
                <w:color w:val="auto"/>
              </w:rPr>
            </w:pPr>
          </w:p>
        </w:tc>
        <w:tc>
          <w:tcPr>
            <w:tcW w:w="480" w:type="dxa"/>
            <w:vAlign w:val="bottom"/>
          </w:tcPr>
          <w:p>
            <w:pPr>
              <w:spacing w:after="0"/>
              <w:rPr>
                <w:sz w:val="9"/>
                <w:szCs w:val="9"/>
                <w:color w:val="auto"/>
              </w:rPr>
            </w:pPr>
          </w:p>
        </w:tc>
        <w:tc>
          <w:tcPr>
            <w:tcW w:w="260" w:type="dxa"/>
            <w:vAlign w:val="bottom"/>
          </w:tcPr>
          <w:p>
            <w:pPr>
              <w:spacing w:after="0"/>
              <w:rPr>
                <w:sz w:val="9"/>
                <w:szCs w:val="9"/>
                <w:color w:val="auto"/>
              </w:rPr>
            </w:pPr>
          </w:p>
        </w:tc>
        <w:tc>
          <w:tcPr>
            <w:tcW w:w="480" w:type="dxa"/>
            <w:vAlign w:val="bottom"/>
          </w:tcPr>
          <w:p>
            <w:pPr>
              <w:spacing w:after="0"/>
              <w:rPr>
                <w:sz w:val="9"/>
                <w:szCs w:val="9"/>
                <w:color w:val="auto"/>
              </w:rPr>
            </w:pPr>
          </w:p>
        </w:tc>
        <w:tc>
          <w:tcPr>
            <w:tcW w:w="260" w:type="dxa"/>
            <w:vAlign w:val="bottom"/>
          </w:tcPr>
          <w:p>
            <w:pPr>
              <w:spacing w:after="0"/>
              <w:rPr>
                <w:sz w:val="9"/>
                <w:szCs w:val="9"/>
                <w:color w:val="auto"/>
              </w:rPr>
            </w:pPr>
          </w:p>
        </w:tc>
        <w:tc>
          <w:tcPr>
            <w:tcW w:w="500" w:type="dxa"/>
            <w:vAlign w:val="bottom"/>
          </w:tcPr>
          <w:p>
            <w:pPr>
              <w:spacing w:after="0"/>
              <w:rPr>
                <w:sz w:val="9"/>
                <w:szCs w:val="9"/>
                <w:color w:val="auto"/>
              </w:rPr>
            </w:pPr>
          </w:p>
        </w:tc>
        <w:tc>
          <w:tcPr>
            <w:tcW w:w="260" w:type="dxa"/>
            <w:vAlign w:val="bottom"/>
          </w:tcPr>
          <w:p>
            <w:pPr>
              <w:spacing w:after="0"/>
              <w:rPr>
                <w:sz w:val="9"/>
                <w:szCs w:val="9"/>
                <w:color w:val="auto"/>
              </w:rPr>
            </w:pPr>
          </w:p>
        </w:tc>
        <w:tc>
          <w:tcPr>
            <w:tcW w:w="480" w:type="dxa"/>
            <w:vAlign w:val="bottom"/>
          </w:tcPr>
          <w:p>
            <w:pPr>
              <w:spacing w:after="0"/>
              <w:rPr>
                <w:sz w:val="9"/>
                <w:szCs w:val="9"/>
                <w:color w:val="auto"/>
              </w:rPr>
            </w:pPr>
          </w:p>
        </w:tc>
        <w:tc>
          <w:tcPr>
            <w:tcW w:w="2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60" w:type="dxa"/>
            <w:vAlign w:val="bottom"/>
          </w:tcPr>
          <w:p>
            <w:pPr>
              <w:spacing w:after="0"/>
              <w:rPr>
                <w:sz w:val="9"/>
                <w:szCs w:val="9"/>
                <w:color w:val="auto"/>
              </w:rPr>
            </w:pPr>
          </w:p>
        </w:tc>
      </w:tr>
      <w:tr>
        <w:trPr>
          <w:trHeight w:val="110"/>
        </w:trPr>
        <w:tc>
          <w:tcPr>
            <w:tcW w:w="1540" w:type="dxa"/>
            <w:vAlign w:val="bottom"/>
          </w:tcPr>
          <w:p>
            <w:pPr>
              <w:ind w:left="260"/>
              <w:spacing w:after="0" w:line="111" w:lineRule="exact"/>
              <w:rPr>
                <w:sz w:val="20"/>
                <w:szCs w:val="20"/>
                <w:color w:val="auto"/>
              </w:rPr>
            </w:pPr>
            <w:r>
              <w:rPr>
                <w:rFonts w:ascii="Arial" w:cs="Arial" w:eastAsia="Arial" w:hAnsi="Arial"/>
                <w:sz w:val="10"/>
                <w:szCs w:val="10"/>
                <w:color w:val="050505"/>
              </w:rPr>
              <w:t>Products</w:t>
            </w:r>
          </w:p>
        </w:tc>
        <w:tc>
          <w:tcPr>
            <w:tcW w:w="740" w:type="dxa"/>
            <w:vAlign w:val="bottom"/>
            <w:gridSpan w:val="2"/>
          </w:tcPr>
          <w:p>
            <w:pPr>
              <w:jc w:val="right"/>
              <w:ind w:right="180"/>
              <w:spacing w:after="0" w:line="111" w:lineRule="exact"/>
              <w:rPr>
                <w:sz w:val="20"/>
                <w:szCs w:val="20"/>
                <w:color w:val="auto"/>
              </w:rPr>
            </w:pPr>
            <w:r>
              <w:rPr>
                <w:rFonts w:ascii="Arial" w:cs="Arial" w:eastAsia="Arial" w:hAnsi="Arial"/>
                <w:sz w:val="10"/>
                <w:szCs w:val="10"/>
                <w:color w:val="050505"/>
              </w:rPr>
              <w:t>73.2%</w:t>
            </w:r>
          </w:p>
        </w:tc>
        <w:tc>
          <w:tcPr>
            <w:tcW w:w="740" w:type="dxa"/>
            <w:vAlign w:val="bottom"/>
            <w:gridSpan w:val="2"/>
          </w:tcPr>
          <w:p>
            <w:pPr>
              <w:jc w:val="right"/>
              <w:ind w:right="180"/>
              <w:spacing w:after="0" w:line="111" w:lineRule="exact"/>
              <w:rPr>
                <w:sz w:val="20"/>
                <w:szCs w:val="20"/>
                <w:color w:val="auto"/>
              </w:rPr>
            </w:pPr>
            <w:r>
              <w:rPr>
                <w:rFonts w:ascii="Arial" w:cs="Arial" w:eastAsia="Arial" w:hAnsi="Arial"/>
                <w:sz w:val="10"/>
                <w:szCs w:val="10"/>
                <w:color w:val="050505"/>
              </w:rPr>
              <w:t>86.1%</w:t>
            </w:r>
          </w:p>
        </w:tc>
        <w:tc>
          <w:tcPr>
            <w:tcW w:w="740" w:type="dxa"/>
            <w:vAlign w:val="bottom"/>
            <w:gridSpan w:val="2"/>
          </w:tcPr>
          <w:p>
            <w:pPr>
              <w:jc w:val="right"/>
              <w:ind w:right="132"/>
              <w:spacing w:after="0" w:line="111" w:lineRule="exact"/>
              <w:rPr>
                <w:sz w:val="20"/>
                <w:szCs w:val="20"/>
                <w:color w:val="auto"/>
              </w:rPr>
            </w:pPr>
            <w:r>
              <w:rPr>
                <w:rFonts w:ascii="Arial" w:cs="Arial" w:eastAsia="Arial" w:hAnsi="Arial"/>
                <w:sz w:val="10"/>
                <w:szCs w:val="10"/>
                <w:color w:val="050505"/>
              </w:rPr>
              <w:t>82.9%</w:t>
            </w:r>
          </w:p>
        </w:tc>
        <w:tc>
          <w:tcPr>
            <w:tcW w:w="740" w:type="dxa"/>
            <w:vAlign w:val="bottom"/>
            <w:gridSpan w:val="2"/>
          </w:tcPr>
          <w:p>
            <w:pPr>
              <w:jc w:val="right"/>
              <w:ind w:right="180"/>
              <w:spacing w:after="0" w:line="111" w:lineRule="exact"/>
              <w:rPr>
                <w:sz w:val="20"/>
                <w:szCs w:val="20"/>
                <w:color w:val="auto"/>
              </w:rPr>
            </w:pPr>
            <w:r>
              <w:rPr>
                <w:rFonts w:ascii="Arial" w:cs="Arial" w:eastAsia="Arial" w:hAnsi="Arial"/>
                <w:sz w:val="10"/>
                <w:szCs w:val="10"/>
                <w:color w:val="050505"/>
              </w:rPr>
              <w:t>72.9%</w:t>
            </w:r>
          </w:p>
        </w:tc>
        <w:tc>
          <w:tcPr>
            <w:tcW w:w="740" w:type="dxa"/>
            <w:vAlign w:val="bottom"/>
            <w:gridSpan w:val="2"/>
          </w:tcPr>
          <w:p>
            <w:pPr>
              <w:jc w:val="right"/>
              <w:ind w:right="160"/>
              <w:spacing w:after="0" w:line="111" w:lineRule="exact"/>
              <w:rPr>
                <w:sz w:val="20"/>
                <w:szCs w:val="20"/>
                <w:color w:val="auto"/>
              </w:rPr>
            </w:pPr>
            <w:r>
              <w:rPr>
                <w:rFonts w:ascii="Arial" w:cs="Arial" w:eastAsia="Arial" w:hAnsi="Arial"/>
                <w:sz w:val="10"/>
                <w:szCs w:val="10"/>
                <w:color w:val="050505"/>
              </w:rPr>
              <w:t>69.5%</w:t>
            </w:r>
          </w:p>
        </w:tc>
        <w:tc>
          <w:tcPr>
            <w:tcW w:w="760" w:type="dxa"/>
            <w:vAlign w:val="bottom"/>
            <w:gridSpan w:val="2"/>
          </w:tcPr>
          <w:p>
            <w:pPr>
              <w:jc w:val="right"/>
              <w:ind w:right="180"/>
              <w:spacing w:after="0" w:line="111" w:lineRule="exact"/>
              <w:rPr>
                <w:sz w:val="20"/>
                <w:szCs w:val="20"/>
                <w:color w:val="auto"/>
              </w:rPr>
            </w:pPr>
            <w:r>
              <w:rPr>
                <w:rFonts w:ascii="Arial" w:cs="Arial" w:eastAsia="Arial" w:hAnsi="Arial"/>
                <w:sz w:val="10"/>
                <w:szCs w:val="10"/>
                <w:color w:val="050505"/>
              </w:rPr>
              <w:t>84.2%</w:t>
            </w:r>
          </w:p>
        </w:tc>
        <w:tc>
          <w:tcPr>
            <w:tcW w:w="700" w:type="dxa"/>
            <w:vAlign w:val="bottom"/>
            <w:gridSpan w:val="2"/>
          </w:tcPr>
          <w:p>
            <w:pPr>
              <w:jc w:val="right"/>
              <w:ind w:right="140"/>
              <w:spacing w:after="0" w:line="111" w:lineRule="exact"/>
              <w:rPr>
                <w:sz w:val="20"/>
                <w:szCs w:val="20"/>
                <w:color w:val="auto"/>
              </w:rPr>
            </w:pPr>
            <w:r>
              <w:rPr>
                <w:rFonts w:ascii="Arial" w:cs="Arial" w:eastAsia="Arial" w:hAnsi="Arial"/>
                <w:sz w:val="10"/>
                <w:szCs w:val="10"/>
                <w:color w:val="050505"/>
              </w:rPr>
              <w:t>82.6%</w:t>
            </w:r>
          </w:p>
        </w:tc>
        <w:tc>
          <w:tcPr>
            <w:tcW w:w="660" w:type="dxa"/>
            <w:vAlign w:val="bottom"/>
            <w:gridSpan w:val="2"/>
          </w:tcPr>
          <w:p>
            <w:pPr>
              <w:jc w:val="right"/>
              <w:ind w:right="80"/>
              <w:spacing w:after="0" w:line="111" w:lineRule="exact"/>
              <w:rPr>
                <w:sz w:val="20"/>
                <w:szCs w:val="20"/>
                <w:color w:val="auto"/>
              </w:rPr>
            </w:pPr>
            <w:r>
              <w:rPr>
                <w:rFonts w:ascii="Arial" w:cs="Arial" w:eastAsia="Arial" w:hAnsi="Arial"/>
                <w:sz w:val="10"/>
                <w:szCs w:val="10"/>
                <w:color w:val="050505"/>
              </w:rPr>
              <w:t>70.9%</w:t>
            </w:r>
          </w:p>
        </w:tc>
      </w:tr>
      <w:tr>
        <w:trPr>
          <w:trHeight w:val="108"/>
        </w:trPr>
        <w:tc>
          <w:tcPr>
            <w:tcW w:w="1540" w:type="dxa"/>
            <w:vAlign w:val="bottom"/>
            <w:shd w:val="clear" w:color="auto" w:fill="CCEEFF"/>
          </w:tcPr>
          <w:p>
            <w:pPr>
              <w:ind w:left="160"/>
              <w:spacing w:after="0" w:line="108" w:lineRule="exact"/>
              <w:rPr>
                <w:sz w:val="20"/>
                <w:szCs w:val="20"/>
                <w:color w:val="auto"/>
              </w:rPr>
            </w:pPr>
            <w:r>
              <w:rPr>
                <w:rFonts w:ascii="Arial" w:cs="Arial" w:eastAsia="Arial" w:hAnsi="Arial"/>
                <w:sz w:val="10"/>
                <w:szCs w:val="10"/>
                <w:color w:val="050505"/>
              </w:rPr>
              <w:t>Subscription</w:t>
            </w:r>
          </w:p>
        </w:tc>
        <w:tc>
          <w:tcPr>
            <w:tcW w:w="48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050505"/>
              </w:rPr>
              <w:t>25.5</w:t>
            </w:r>
          </w:p>
        </w:tc>
        <w:tc>
          <w:tcPr>
            <w:tcW w:w="260" w:type="dxa"/>
            <w:vAlign w:val="bottom"/>
            <w:shd w:val="clear" w:color="auto" w:fill="CCEEFF"/>
          </w:tcPr>
          <w:p>
            <w:pPr>
              <w:spacing w:after="0"/>
              <w:rPr>
                <w:sz w:val="9"/>
                <w:szCs w:val="9"/>
                <w:color w:val="auto"/>
              </w:rPr>
            </w:pPr>
          </w:p>
        </w:tc>
        <w:tc>
          <w:tcPr>
            <w:tcW w:w="48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050505"/>
              </w:rPr>
              <w:t>12.7</w:t>
            </w:r>
          </w:p>
        </w:tc>
        <w:tc>
          <w:tcPr>
            <w:tcW w:w="260" w:type="dxa"/>
            <w:vAlign w:val="bottom"/>
            <w:shd w:val="clear" w:color="auto" w:fill="CCEEFF"/>
          </w:tcPr>
          <w:p>
            <w:pPr>
              <w:spacing w:after="0"/>
              <w:rPr>
                <w:sz w:val="9"/>
                <w:szCs w:val="9"/>
                <w:color w:val="auto"/>
              </w:rPr>
            </w:pPr>
          </w:p>
        </w:tc>
        <w:tc>
          <w:tcPr>
            <w:tcW w:w="48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050505"/>
              </w:rPr>
              <w:t>15.8</w:t>
            </w:r>
          </w:p>
        </w:tc>
        <w:tc>
          <w:tcPr>
            <w:tcW w:w="260" w:type="dxa"/>
            <w:vAlign w:val="bottom"/>
            <w:shd w:val="clear" w:color="auto" w:fill="CCEEFF"/>
          </w:tcPr>
          <w:p>
            <w:pPr>
              <w:spacing w:after="0"/>
              <w:rPr>
                <w:sz w:val="9"/>
                <w:szCs w:val="9"/>
                <w:color w:val="auto"/>
              </w:rPr>
            </w:pPr>
          </w:p>
        </w:tc>
        <w:tc>
          <w:tcPr>
            <w:tcW w:w="48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050505"/>
              </w:rPr>
              <w:t>25.3</w:t>
            </w:r>
          </w:p>
        </w:tc>
        <w:tc>
          <w:tcPr>
            <w:tcW w:w="260" w:type="dxa"/>
            <w:vAlign w:val="bottom"/>
            <w:shd w:val="clear" w:color="auto" w:fill="CCEEFF"/>
          </w:tcPr>
          <w:p>
            <w:pPr>
              <w:spacing w:after="0"/>
              <w:rPr>
                <w:sz w:val="9"/>
                <w:szCs w:val="9"/>
                <w:color w:val="auto"/>
              </w:rPr>
            </w:pPr>
          </w:p>
        </w:tc>
        <w:tc>
          <w:tcPr>
            <w:tcW w:w="48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050505"/>
              </w:rPr>
              <w:t>28.3</w:t>
            </w:r>
          </w:p>
        </w:tc>
        <w:tc>
          <w:tcPr>
            <w:tcW w:w="260" w:type="dxa"/>
            <w:vAlign w:val="bottom"/>
            <w:shd w:val="clear" w:color="auto" w:fill="CCEEFF"/>
          </w:tcPr>
          <w:p>
            <w:pPr>
              <w:spacing w:after="0"/>
              <w:rPr>
                <w:sz w:val="9"/>
                <w:szCs w:val="9"/>
                <w:color w:val="auto"/>
              </w:rPr>
            </w:pPr>
          </w:p>
        </w:tc>
        <w:tc>
          <w:tcPr>
            <w:tcW w:w="50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050505"/>
              </w:rPr>
              <w:t>14.2</w:t>
            </w:r>
          </w:p>
        </w:tc>
        <w:tc>
          <w:tcPr>
            <w:tcW w:w="260" w:type="dxa"/>
            <w:vAlign w:val="bottom"/>
            <w:shd w:val="clear" w:color="auto" w:fill="CCEEFF"/>
          </w:tcPr>
          <w:p>
            <w:pPr>
              <w:spacing w:after="0"/>
              <w:rPr>
                <w:sz w:val="9"/>
                <w:szCs w:val="9"/>
                <w:color w:val="auto"/>
              </w:rPr>
            </w:pPr>
          </w:p>
        </w:tc>
        <w:tc>
          <w:tcPr>
            <w:tcW w:w="48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050505"/>
              </w:rPr>
              <w:t>16.1</w:t>
            </w:r>
          </w:p>
        </w:tc>
        <w:tc>
          <w:tcPr>
            <w:tcW w:w="220" w:type="dxa"/>
            <w:vAlign w:val="bottom"/>
            <w:shd w:val="clear" w:color="auto" w:fill="CCEEFF"/>
          </w:tcPr>
          <w:p>
            <w:pPr>
              <w:spacing w:after="0"/>
              <w:rPr>
                <w:sz w:val="9"/>
                <w:szCs w:val="9"/>
                <w:color w:val="auto"/>
              </w:rPr>
            </w:pPr>
          </w:p>
        </w:tc>
        <w:tc>
          <w:tcPr>
            <w:tcW w:w="50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050505"/>
              </w:rPr>
              <w:t>27.3</w:t>
            </w:r>
          </w:p>
        </w:tc>
        <w:tc>
          <w:tcPr>
            <w:tcW w:w="160" w:type="dxa"/>
            <w:vAlign w:val="bottom"/>
            <w:shd w:val="clear" w:color="auto" w:fill="CCEEFF"/>
          </w:tcPr>
          <w:p>
            <w:pPr>
              <w:spacing w:after="0"/>
              <w:rPr>
                <w:sz w:val="9"/>
                <w:szCs w:val="9"/>
                <w:color w:val="auto"/>
              </w:rPr>
            </w:pPr>
          </w:p>
        </w:tc>
      </w:tr>
      <w:tr>
        <w:trPr>
          <w:trHeight w:val="108"/>
        </w:trPr>
        <w:tc>
          <w:tcPr>
            <w:tcW w:w="1540" w:type="dxa"/>
            <w:vAlign w:val="bottom"/>
          </w:tcPr>
          <w:p>
            <w:pPr>
              <w:ind w:left="160"/>
              <w:spacing w:after="0" w:line="108" w:lineRule="exact"/>
              <w:rPr>
                <w:sz w:val="20"/>
                <w:szCs w:val="20"/>
                <w:color w:val="auto"/>
              </w:rPr>
            </w:pPr>
            <w:r>
              <w:rPr>
                <w:rFonts w:ascii="Arial" w:cs="Arial" w:eastAsia="Arial" w:hAnsi="Arial"/>
                <w:sz w:val="10"/>
                <w:szCs w:val="10"/>
                <w:color w:val="050505"/>
              </w:rPr>
              <w:t>Other</w:t>
            </w:r>
          </w:p>
        </w:tc>
        <w:tc>
          <w:tcPr>
            <w:tcW w:w="480" w:type="dxa"/>
            <w:vAlign w:val="bottom"/>
            <w:tcBorders>
              <w:bottom w:val="single" w:sz="8" w:color="auto"/>
            </w:tcBorders>
          </w:tcPr>
          <w:p>
            <w:pPr>
              <w:jc w:val="right"/>
              <w:spacing w:after="0" w:line="108" w:lineRule="exact"/>
              <w:rPr>
                <w:sz w:val="20"/>
                <w:szCs w:val="20"/>
                <w:color w:val="auto"/>
              </w:rPr>
            </w:pPr>
            <w:r>
              <w:rPr>
                <w:rFonts w:ascii="Arial" w:cs="Arial" w:eastAsia="Arial" w:hAnsi="Arial"/>
                <w:sz w:val="10"/>
                <w:szCs w:val="10"/>
                <w:color w:val="050505"/>
              </w:rPr>
              <w:t>1.4</w:t>
            </w:r>
          </w:p>
        </w:tc>
        <w:tc>
          <w:tcPr>
            <w:tcW w:w="260" w:type="dxa"/>
            <w:vAlign w:val="bottom"/>
          </w:tcPr>
          <w:p>
            <w:pPr>
              <w:spacing w:after="0"/>
              <w:rPr>
                <w:sz w:val="9"/>
                <w:szCs w:val="9"/>
                <w:color w:val="auto"/>
              </w:rPr>
            </w:pPr>
          </w:p>
        </w:tc>
        <w:tc>
          <w:tcPr>
            <w:tcW w:w="480" w:type="dxa"/>
            <w:vAlign w:val="bottom"/>
            <w:tcBorders>
              <w:bottom w:val="single" w:sz="8" w:color="auto"/>
            </w:tcBorders>
          </w:tcPr>
          <w:p>
            <w:pPr>
              <w:jc w:val="right"/>
              <w:spacing w:after="0" w:line="108" w:lineRule="exact"/>
              <w:rPr>
                <w:sz w:val="20"/>
                <w:szCs w:val="20"/>
                <w:color w:val="auto"/>
              </w:rPr>
            </w:pPr>
            <w:r>
              <w:rPr>
                <w:rFonts w:ascii="Arial" w:cs="Arial" w:eastAsia="Arial" w:hAnsi="Arial"/>
                <w:sz w:val="10"/>
                <w:szCs w:val="10"/>
                <w:color w:val="050505"/>
              </w:rPr>
              <w:t>1.2</w:t>
            </w:r>
          </w:p>
        </w:tc>
        <w:tc>
          <w:tcPr>
            <w:tcW w:w="260" w:type="dxa"/>
            <w:vAlign w:val="bottom"/>
          </w:tcPr>
          <w:p>
            <w:pPr>
              <w:spacing w:after="0"/>
              <w:rPr>
                <w:sz w:val="9"/>
                <w:szCs w:val="9"/>
                <w:color w:val="auto"/>
              </w:rPr>
            </w:pPr>
          </w:p>
        </w:tc>
        <w:tc>
          <w:tcPr>
            <w:tcW w:w="480" w:type="dxa"/>
            <w:vAlign w:val="bottom"/>
            <w:tcBorders>
              <w:bottom w:val="single" w:sz="8" w:color="auto"/>
            </w:tcBorders>
          </w:tcPr>
          <w:p>
            <w:pPr>
              <w:jc w:val="right"/>
              <w:spacing w:after="0" w:line="108" w:lineRule="exact"/>
              <w:rPr>
                <w:sz w:val="20"/>
                <w:szCs w:val="20"/>
                <w:color w:val="auto"/>
              </w:rPr>
            </w:pPr>
            <w:r>
              <w:rPr>
                <w:rFonts w:ascii="Arial" w:cs="Arial" w:eastAsia="Arial" w:hAnsi="Arial"/>
                <w:sz w:val="10"/>
                <w:szCs w:val="10"/>
                <w:color w:val="050505"/>
              </w:rPr>
              <w:t>1.3</w:t>
            </w:r>
          </w:p>
        </w:tc>
        <w:tc>
          <w:tcPr>
            <w:tcW w:w="260" w:type="dxa"/>
            <w:vAlign w:val="bottom"/>
          </w:tcPr>
          <w:p>
            <w:pPr>
              <w:spacing w:after="0"/>
              <w:rPr>
                <w:sz w:val="9"/>
                <w:szCs w:val="9"/>
                <w:color w:val="auto"/>
              </w:rPr>
            </w:pPr>
          </w:p>
        </w:tc>
        <w:tc>
          <w:tcPr>
            <w:tcW w:w="480" w:type="dxa"/>
            <w:vAlign w:val="bottom"/>
            <w:tcBorders>
              <w:bottom w:val="single" w:sz="8" w:color="auto"/>
            </w:tcBorders>
          </w:tcPr>
          <w:p>
            <w:pPr>
              <w:jc w:val="right"/>
              <w:spacing w:after="0" w:line="108" w:lineRule="exact"/>
              <w:rPr>
                <w:sz w:val="20"/>
                <w:szCs w:val="20"/>
                <w:color w:val="auto"/>
              </w:rPr>
            </w:pPr>
            <w:r>
              <w:rPr>
                <w:rFonts w:ascii="Arial" w:cs="Arial" w:eastAsia="Arial" w:hAnsi="Arial"/>
                <w:sz w:val="10"/>
                <w:szCs w:val="10"/>
                <w:color w:val="050505"/>
              </w:rPr>
              <w:t>1.8</w:t>
            </w:r>
          </w:p>
        </w:tc>
        <w:tc>
          <w:tcPr>
            <w:tcW w:w="260" w:type="dxa"/>
            <w:vAlign w:val="bottom"/>
          </w:tcPr>
          <w:p>
            <w:pPr>
              <w:spacing w:after="0"/>
              <w:rPr>
                <w:sz w:val="9"/>
                <w:szCs w:val="9"/>
                <w:color w:val="auto"/>
              </w:rPr>
            </w:pPr>
          </w:p>
        </w:tc>
        <w:tc>
          <w:tcPr>
            <w:tcW w:w="480" w:type="dxa"/>
            <w:vAlign w:val="bottom"/>
            <w:tcBorders>
              <w:bottom w:val="single" w:sz="8" w:color="auto"/>
            </w:tcBorders>
          </w:tcPr>
          <w:p>
            <w:pPr>
              <w:jc w:val="right"/>
              <w:spacing w:after="0" w:line="108" w:lineRule="exact"/>
              <w:rPr>
                <w:sz w:val="20"/>
                <w:szCs w:val="20"/>
                <w:color w:val="auto"/>
              </w:rPr>
            </w:pPr>
            <w:r>
              <w:rPr>
                <w:rFonts w:ascii="Arial" w:cs="Arial" w:eastAsia="Arial" w:hAnsi="Arial"/>
                <w:sz w:val="10"/>
                <w:szCs w:val="10"/>
                <w:color w:val="050505"/>
              </w:rPr>
              <w:t>2.2</w:t>
            </w:r>
          </w:p>
        </w:tc>
        <w:tc>
          <w:tcPr>
            <w:tcW w:w="260" w:type="dxa"/>
            <w:vAlign w:val="bottom"/>
          </w:tcPr>
          <w:p>
            <w:pPr>
              <w:spacing w:after="0"/>
              <w:rPr>
                <w:sz w:val="9"/>
                <w:szCs w:val="9"/>
                <w:color w:val="auto"/>
              </w:rPr>
            </w:pPr>
          </w:p>
        </w:tc>
        <w:tc>
          <w:tcPr>
            <w:tcW w:w="500" w:type="dxa"/>
            <w:vAlign w:val="bottom"/>
            <w:tcBorders>
              <w:bottom w:val="single" w:sz="8" w:color="auto"/>
            </w:tcBorders>
          </w:tcPr>
          <w:p>
            <w:pPr>
              <w:jc w:val="right"/>
              <w:spacing w:after="0" w:line="108" w:lineRule="exact"/>
              <w:rPr>
                <w:sz w:val="20"/>
                <w:szCs w:val="20"/>
                <w:color w:val="auto"/>
              </w:rPr>
            </w:pPr>
            <w:r>
              <w:rPr>
                <w:rFonts w:ascii="Arial" w:cs="Arial" w:eastAsia="Arial" w:hAnsi="Arial"/>
                <w:sz w:val="10"/>
                <w:szCs w:val="10"/>
                <w:color w:val="050505"/>
              </w:rPr>
              <w:t>1.6</w:t>
            </w:r>
          </w:p>
        </w:tc>
        <w:tc>
          <w:tcPr>
            <w:tcW w:w="260" w:type="dxa"/>
            <w:vAlign w:val="bottom"/>
          </w:tcPr>
          <w:p>
            <w:pPr>
              <w:spacing w:after="0"/>
              <w:rPr>
                <w:sz w:val="9"/>
                <w:szCs w:val="9"/>
                <w:color w:val="auto"/>
              </w:rPr>
            </w:pPr>
          </w:p>
        </w:tc>
        <w:tc>
          <w:tcPr>
            <w:tcW w:w="480" w:type="dxa"/>
            <w:vAlign w:val="bottom"/>
            <w:tcBorders>
              <w:bottom w:val="single" w:sz="8" w:color="auto"/>
            </w:tcBorders>
          </w:tcPr>
          <w:p>
            <w:pPr>
              <w:jc w:val="right"/>
              <w:spacing w:after="0" w:line="108" w:lineRule="exact"/>
              <w:rPr>
                <w:sz w:val="20"/>
                <w:szCs w:val="20"/>
                <w:color w:val="auto"/>
              </w:rPr>
            </w:pPr>
            <w:r>
              <w:rPr>
                <w:rFonts w:ascii="Arial" w:cs="Arial" w:eastAsia="Arial" w:hAnsi="Arial"/>
                <w:sz w:val="10"/>
                <w:szCs w:val="10"/>
                <w:color w:val="050505"/>
              </w:rPr>
              <w:t>1.3</w:t>
            </w:r>
          </w:p>
        </w:tc>
        <w:tc>
          <w:tcPr>
            <w:tcW w:w="220" w:type="dxa"/>
            <w:vAlign w:val="bottom"/>
          </w:tcPr>
          <w:p>
            <w:pPr>
              <w:spacing w:after="0"/>
              <w:rPr>
                <w:sz w:val="9"/>
                <w:szCs w:val="9"/>
                <w:color w:val="auto"/>
              </w:rPr>
            </w:pPr>
          </w:p>
        </w:tc>
        <w:tc>
          <w:tcPr>
            <w:tcW w:w="500" w:type="dxa"/>
            <w:vAlign w:val="bottom"/>
            <w:tcBorders>
              <w:bottom w:val="single" w:sz="8" w:color="auto"/>
            </w:tcBorders>
          </w:tcPr>
          <w:p>
            <w:pPr>
              <w:jc w:val="right"/>
              <w:spacing w:after="0" w:line="108" w:lineRule="exact"/>
              <w:rPr>
                <w:sz w:val="20"/>
                <w:szCs w:val="20"/>
                <w:color w:val="auto"/>
              </w:rPr>
            </w:pPr>
            <w:r>
              <w:rPr>
                <w:rFonts w:ascii="Arial" w:cs="Arial" w:eastAsia="Arial" w:hAnsi="Arial"/>
                <w:sz w:val="10"/>
                <w:szCs w:val="10"/>
                <w:color w:val="050505"/>
              </w:rPr>
              <w:t>1.8</w:t>
            </w:r>
          </w:p>
        </w:tc>
        <w:tc>
          <w:tcPr>
            <w:tcW w:w="160" w:type="dxa"/>
            <w:vAlign w:val="bottom"/>
          </w:tcPr>
          <w:p>
            <w:pPr>
              <w:spacing w:after="0"/>
              <w:rPr>
                <w:sz w:val="9"/>
                <w:szCs w:val="9"/>
                <w:color w:val="auto"/>
              </w:rPr>
            </w:pPr>
          </w:p>
        </w:tc>
      </w:tr>
      <w:tr>
        <w:trPr>
          <w:trHeight w:val="106"/>
        </w:trPr>
        <w:tc>
          <w:tcPr>
            <w:tcW w:w="1540" w:type="dxa"/>
            <w:vAlign w:val="bottom"/>
            <w:shd w:val="clear" w:color="auto" w:fill="CCEEFF"/>
          </w:tcPr>
          <w:p>
            <w:pPr>
              <w:ind w:left="260"/>
              <w:spacing w:after="0" w:line="106" w:lineRule="exact"/>
              <w:rPr>
                <w:sz w:val="20"/>
                <w:szCs w:val="20"/>
                <w:color w:val="auto"/>
              </w:rPr>
            </w:pPr>
            <w:r>
              <w:rPr>
                <w:rFonts w:ascii="Arial" w:cs="Arial" w:eastAsia="Arial" w:hAnsi="Arial"/>
                <w:sz w:val="10"/>
                <w:szCs w:val="10"/>
                <w:color w:val="050505"/>
              </w:rPr>
              <w:t>Total revenue</w:t>
            </w:r>
          </w:p>
        </w:tc>
        <w:tc>
          <w:tcPr>
            <w:tcW w:w="480" w:type="dxa"/>
            <w:vAlign w:val="bottom"/>
            <w:tcBorders>
              <w:bottom w:val="single" w:sz="8" w:color="auto"/>
            </w:tcBorders>
            <w:shd w:val="clear" w:color="auto" w:fill="CCEEFF"/>
          </w:tcPr>
          <w:p>
            <w:pPr>
              <w:jc w:val="right"/>
              <w:spacing w:after="0" w:line="106" w:lineRule="exact"/>
              <w:rPr>
                <w:sz w:val="20"/>
                <w:szCs w:val="20"/>
                <w:color w:val="auto"/>
              </w:rPr>
            </w:pPr>
            <w:r>
              <w:rPr>
                <w:rFonts w:ascii="Arial" w:cs="Arial" w:eastAsia="Arial" w:hAnsi="Arial"/>
                <w:sz w:val="10"/>
                <w:szCs w:val="10"/>
                <w:color w:val="050505"/>
              </w:rPr>
              <w:t>100.0</w:t>
            </w:r>
          </w:p>
        </w:tc>
        <w:tc>
          <w:tcPr>
            <w:tcW w:w="260" w:type="dxa"/>
            <w:vAlign w:val="bottom"/>
            <w:shd w:val="clear" w:color="auto" w:fill="CCEEFF"/>
          </w:tcPr>
          <w:p>
            <w:pPr>
              <w:spacing w:after="0"/>
              <w:rPr>
                <w:sz w:val="9"/>
                <w:szCs w:val="9"/>
                <w:color w:val="auto"/>
              </w:rPr>
            </w:pPr>
          </w:p>
        </w:tc>
        <w:tc>
          <w:tcPr>
            <w:tcW w:w="480" w:type="dxa"/>
            <w:vAlign w:val="bottom"/>
            <w:tcBorders>
              <w:bottom w:val="single" w:sz="8" w:color="auto"/>
            </w:tcBorders>
            <w:shd w:val="clear" w:color="auto" w:fill="CCEEFF"/>
          </w:tcPr>
          <w:p>
            <w:pPr>
              <w:jc w:val="right"/>
              <w:spacing w:after="0" w:line="106" w:lineRule="exact"/>
              <w:rPr>
                <w:sz w:val="20"/>
                <w:szCs w:val="20"/>
                <w:color w:val="auto"/>
              </w:rPr>
            </w:pPr>
            <w:r>
              <w:rPr>
                <w:rFonts w:ascii="Arial" w:cs="Arial" w:eastAsia="Arial" w:hAnsi="Arial"/>
                <w:sz w:val="10"/>
                <w:szCs w:val="10"/>
                <w:color w:val="050505"/>
              </w:rPr>
              <w:t>100.0</w:t>
            </w:r>
          </w:p>
        </w:tc>
        <w:tc>
          <w:tcPr>
            <w:tcW w:w="260" w:type="dxa"/>
            <w:vAlign w:val="bottom"/>
            <w:shd w:val="clear" w:color="auto" w:fill="CCEEFF"/>
          </w:tcPr>
          <w:p>
            <w:pPr>
              <w:spacing w:after="0"/>
              <w:rPr>
                <w:sz w:val="9"/>
                <w:szCs w:val="9"/>
                <w:color w:val="auto"/>
              </w:rPr>
            </w:pPr>
          </w:p>
        </w:tc>
        <w:tc>
          <w:tcPr>
            <w:tcW w:w="480" w:type="dxa"/>
            <w:vAlign w:val="bottom"/>
            <w:tcBorders>
              <w:bottom w:val="single" w:sz="8" w:color="auto"/>
            </w:tcBorders>
            <w:shd w:val="clear" w:color="auto" w:fill="CCEEFF"/>
          </w:tcPr>
          <w:p>
            <w:pPr>
              <w:jc w:val="right"/>
              <w:spacing w:after="0" w:line="106" w:lineRule="exact"/>
              <w:rPr>
                <w:sz w:val="20"/>
                <w:szCs w:val="20"/>
                <w:color w:val="auto"/>
              </w:rPr>
            </w:pPr>
            <w:r>
              <w:rPr>
                <w:rFonts w:ascii="Arial" w:cs="Arial" w:eastAsia="Arial" w:hAnsi="Arial"/>
                <w:sz w:val="10"/>
                <w:szCs w:val="10"/>
                <w:color w:val="050505"/>
              </w:rPr>
              <w:t>100.0</w:t>
            </w:r>
          </w:p>
        </w:tc>
        <w:tc>
          <w:tcPr>
            <w:tcW w:w="260" w:type="dxa"/>
            <w:vAlign w:val="bottom"/>
            <w:shd w:val="clear" w:color="auto" w:fill="CCEEFF"/>
          </w:tcPr>
          <w:p>
            <w:pPr>
              <w:spacing w:after="0"/>
              <w:rPr>
                <w:sz w:val="9"/>
                <w:szCs w:val="9"/>
                <w:color w:val="auto"/>
              </w:rPr>
            </w:pPr>
          </w:p>
        </w:tc>
        <w:tc>
          <w:tcPr>
            <w:tcW w:w="480" w:type="dxa"/>
            <w:vAlign w:val="bottom"/>
            <w:tcBorders>
              <w:bottom w:val="single" w:sz="8" w:color="auto"/>
            </w:tcBorders>
            <w:shd w:val="clear" w:color="auto" w:fill="CCEEFF"/>
          </w:tcPr>
          <w:p>
            <w:pPr>
              <w:jc w:val="right"/>
              <w:spacing w:after="0" w:line="106" w:lineRule="exact"/>
              <w:rPr>
                <w:sz w:val="20"/>
                <w:szCs w:val="20"/>
                <w:color w:val="auto"/>
              </w:rPr>
            </w:pPr>
            <w:r>
              <w:rPr>
                <w:rFonts w:ascii="Arial" w:cs="Arial" w:eastAsia="Arial" w:hAnsi="Arial"/>
                <w:sz w:val="10"/>
                <w:szCs w:val="10"/>
                <w:color w:val="050505"/>
              </w:rPr>
              <w:t>100.0</w:t>
            </w:r>
          </w:p>
        </w:tc>
        <w:tc>
          <w:tcPr>
            <w:tcW w:w="260" w:type="dxa"/>
            <w:vAlign w:val="bottom"/>
            <w:shd w:val="clear" w:color="auto" w:fill="CCEEFF"/>
          </w:tcPr>
          <w:p>
            <w:pPr>
              <w:spacing w:after="0"/>
              <w:rPr>
                <w:sz w:val="9"/>
                <w:szCs w:val="9"/>
                <w:color w:val="auto"/>
              </w:rPr>
            </w:pPr>
          </w:p>
        </w:tc>
        <w:tc>
          <w:tcPr>
            <w:tcW w:w="480" w:type="dxa"/>
            <w:vAlign w:val="bottom"/>
            <w:tcBorders>
              <w:bottom w:val="single" w:sz="8" w:color="auto"/>
            </w:tcBorders>
            <w:shd w:val="clear" w:color="auto" w:fill="CCEEFF"/>
          </w:tcPr>
          <w:p>
            <w:pPr>
              <w:jc w:val="right"/>
              <w:spacing w:after="0" w:line="106" w:lineRule="exact"/>
              <w:rPr>
                <w:sz w:val="20"/>
                <w:szCs w:val="20"/>
                <w:color w:val="auto"/>
              </w:rPr>
            </w:pPr>
            <w:r>
              <w:rPr>
                <w:rFonts w:ascii="Arial" w:cs="Arial" w:eastAsia="Arial" w:hAnsi="Arial"/>
                <w:sz w:val="10"/>
                <w:szCs w:val="10"/>
                <w:color w:val="050505"/>
              </w:rPr>
              <w:t>100.0</w:t>
            </w:r>
          </w:p>
        </w:tc>
        <w:tc>
          <w:tcPr>
            <w:tcW w:w="260" w:type="dxa"/>
            <w:vAlign w:val="bottom"/>
            <w:shd w:val="clear" w:color="auto" w:fill="CCEEFF"/>
          </w:tcPr>
          <w:p>
            <w:pPr>
              <w:spacing w:after="0"/>
              <w:rPr>
                <w:sz w:val="9"/>
                <w:szCs w:val="9"/>
                <w:color w:val="auto"/>
              </w:rPr>
            </w:pPr>
          </w:p>
        </w:tc>
        <w:tc>
          <w:tcPr>
            <w:tcW w:w="500" w:type="dxa"/>
            <w:vAlign w:val="bottom"/>
            <w:tcBorders>
              <w:bottom w:val="single" w:sz="8" w:color="auto"/>
            </w:tcBorders>
            <w:shd w:val="clear" w:color="auto" w:fill="CCEEFF"/>
          </w:tcPr>
          <w:p>
            <w:pPr>
              <w:jc w:val="right"/>
              <w:spacing w:after="0" w:line="106" w:lineRule="exact"/>
              <w:rPr>
                <w:sz w:val="20"/>
                <w:szCs w:val="20"/>
                <w:color w:val="auto"/>
              </w:rPr>
            </w:pPr>
            <w:r>
              <w:rPr>
                <w:rFonts w:ascii="Arial" w:cs="Arial" w:eastAsia="Arial" w:hAnsi="Arial"/>
                <w:sz w:val="10"/>
                <w:szCs w:val="10"/>
                <w:color w:val="050505"/>
              </w:rPr>
              <w:t>100.0</w:t>
            </w:r>
          </w:p>
        </w:tc>
        <w:tc>
          <w:tcPr>
            <w:tcW w:w="260" w:type="dxa"/>
            <w:vAlign w:val="bottom"/>
            <w:shd w:val="clear" w:color="auto" w:fill="CCEEFF"/>
          </w:tcPr>
          <w:p>
            <w:pPr>
              <w:spacing w:after="0"/>
              <w:rPr>
                <w:sz w:val="9"/>
                <w:szCs w:val="9"/>
                <w:color w:val="auto"/>
              </w:rPr>
            </w:pPr>
          </w:p>
        </w:tc>
        <w:tc>
          <w:tcPr>
            <w:tcW w:w="480" w:type="dxa"/>
            <w:vAlign w:val="bottom"/>
            <w:tcBorders>
              <w:bottom w:val="single" w:sz="8" w:color="auto"/>
            </w:tcBorders>
            <w:shd w:val="clear" w:color="auto" w:fill="CCEEFF"/>
          </w:tcPr>
          <w:p>
            <w:pPr>
              <w:jc w:val="right"/>
              <w:spacing w:after="0" w:line="106" w:lineRule="exact"/>
              <w:rPr>
                <w:sz w:val="20"/>
                <w:szCs w:val="20"/>
                <w:color w:val="auto"/>
              </w:rPr>
            </w:pPr>
            <w:r>
              <w:rPr>
                <w:rFonts w:ascii="Arial" w:cs="Arial" w:eastAsia="Arial" w:hAnsi="Arial"/>
                <w:sz w:val="10"/>
                <w:szCs w:val="10"/>
                <w:color w:val="050505"/>
              </w:rPr>
              <w:t>100.0</w:t>
            </w:r>
          </w:p>
        </w:tc>
        <w:tc>
          <w:tcPr>
            <w:tcW w:w="220" w:type="dxa"/>
            <w:vAlign w:val="bottom"/>
            <w:shd w:val="clear" w:color="auto" w:fill="CCEEFF"/>
          </w:tcPr>
          <w:p>
            <w:pPr>
              <w:spacing w:after="0"/>
              <w:rPr>
                <w:sz w:val="9"/>
                <w:szCs w:val="9"/>
                <w:color w:val="auto"/>
              </w:rPr>
            </w:pPr>
          </w:p>
        </w:tc>
        <w:tc>
          <w:tcPr>
            <w:tcW w:w="500" w:type="dxa"/>
            <w:vAlign w:val="bottom"/>
            <w:tcBorders>
              <w:bottom w:val="single" w:sz="8" w:color="auto"/>
            </w:tcBorders>
            <w:shd w:val="clear" w:color="auto" w:fill="CCEEFF"/>
          </w:tcPr>
          <w:p>
            <w:pPr>
              <w:jc w:val="right"/>
              <w:spacing w:after="0" w:line="106" w:lineRule="exact"/>
              <w:rPr>
                <w:sz w:val="20"/>
                <w:szCs w:val="20"/>
                <w:color w:val="auto"/>
              </w:rPr>
            </w:pPr>
            <w:r>
              <w:rPr>
                <w:rFonts w:ascii="Arial" w:cs="Arial" w:eastAsia="Arial" w:hAnsi="Arial"/>
                <w:sz w:val="10"/>
                <w:szCs w:val="10"/>
                <w:color w:val="050505"/>
              </w:rPr>
              <w:t>100.0</w:t>
            </w:r>
          </w:p>
        </w:tc>
        <w:tc>
          <w:tcPr>
            <w:tcW w:w="160" w:type="dxa"/>
            <w:vAlign w:val="bottom"/>
            <w:shd w:val="clear" w:color="auto" w:fill="CCEEFF"/>
          </w:tcPr>
          <w:p>
            <w:pPr>
              <w:spacing w:after="0"/>
              <w:rPr>
                <w:sz w:val="9"/>
                <w:szCs w:val="9"/>
                <w:color w:val="auto"/>
              </w:rPr>
            </w:pPr>
          </w:p>
        </w:tc>
      </w:tr>
      <w:tr>
        <w:trPr>
          <w:trHeight w:val="124"/>
        </w:trPr>
        <w:tc>
          <w:tcPr>
            <w:tcW w:w="1540" w:type="dxa"/>
            <w:vAlign w:val="bottom"/>
          </w:tcPr>
          <w:p>
            <w:pPr>
              <w:ind w:left="40"/>
              <w:spacing w:after="0" w:line="124" w:lineRule="exact"/>
              <w:rPr>
                <w:sz w:val="20"/>
                <w:szCs w:val="20"/>
                <w:color w:val="auto"/>
              </w:rPr>
            </w:pPr>
            <w:r>
              <w:rPr>
                <w:rFonts w:ascii="Arial" w:cs="Arial" w:eastAsia="Arial" w:hAnsi="Arial"/>
                <w:sz w:val="11"/>
                <w:szCs w:val="11"/>
                <w:color w:val="050505"/>
              </w:rPr>
              <w:t>Cost of revenue:</w:t>
            </w:r>
          </w:p>
        </w:tc>
        <w:tc>
          <w:tcPr>
            <w:tcW w:w="4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60" w:type="dxa"/>
            <w:vAlign w:val="bottom"/>
          </w:tcPr>
          <w:p>
            <w:pPr>
              <w:spacing w:after="0"/>
              <w:rPr>
                <w:sz w:val="10"/>
                <w:szCs w:val="10"/>
                <w:color w:val="auto"/>
              </w:rPr>
            </w:pPr>
          </w:p>
        </w:tc>
      </w:tr>
      <w:tr>
        <w:trPr>
          <w:trHeight w:val="127"/>
        </w:trPr>
        <w:tc>
          <w:tcPr>
            <w:tcW w:w="1540" w:type="dxa"/>
            <w:vAlign w:val="bottom"/>
            <w:shd w:val="clear" w:color="auto" w:fill="CCEEFF"/>
          </w:tcPr>
          <w:p>
            <w:pPr>
              <w:ind w:left="160"/>
              <w:spacing w:after="0"/>
              <w:rPr>
                <w:sz w:val="20"/>
                <w:szCs w:val="20"/>
                <w:color w:val="auto"/>
              </w:rPr>
            </w:pPr>
            <w:r>
              <w:rPr>
                <w:rFonts w:ascii="Arial" w:cs="Arial" w:eastAsia="Arial" w:hAnsi="Arial"/>
                <w:sz w:val="11"/>
                <w:szCs w:val="11"/>
                <w:color w:val="050505"/>
              </w:rPr>
              <w:t>Connected Fitness</w:t>
            </w:r>
          </w:p>
        </w:tc>
        <w:tc>
          <w:tcPr>
            <w:tcW w:w="4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r>
      <w:tr>
        <w:trPr>
          <w:trHeight w:val="125"/>
        </w:trPr>
        <w:tc>
          <w:tcPr>
            <w:tcW w:w="1540" w:type="dxa"/>
            <w:vAlign w:val="bottom"/>
            <w:shd w:val="clear" w:color="auto" w:fill="CCEEFF"/>
          </w:tcPr>
          <w:p>
            <w:pPr>
              <w:ind w:left="260"/>
              <w:spacing w:after="0" w:line="125" w:lineRule="exact"/>
              <w:rPr>
                <w:sz w:val="20"/>
                <w:szCs w:val="20"/>
                <w:color w:val="auto"/>
              </w:rPr>
            </w:pPr>
            <w:r>
              <w:rPr>
                <w:rFonts w:ascii="Arial" w:cs="Arial" w:eastAsia="Arial" w:hAnsi="Arial"/>
                <w:sz w:val="11"/>
                <w:szCs w:val="11"/>
                <w:color w:val="050505"/>
              </w:rPr>
              <w:t>Products</w:t>
            </w:r>
          </w:p>
        </w:tc>
        <w:tc>
          <w:tcPr>
            <w:tcW w:w="740" w:type="dxa"/>
            <w:vAlign w:val="bottom"/>
            <w:gridSpan w:val="2"/>
            <w:shd w:val="clear" w:color="auto" w:fill="CCEEFF"/>
          </w:tcPr>
          <w:p>
            <w:pPr>
              <w:jc w:val="right"/>
              <w:ind w:right="160"/>
              <w:spacing w:after="0" w:line="125" w:lineRule="exact"/>
              <w:rPr>
                <w:sz w:val="20"/>
                <w:szCs w:val="20"/>
                <w:color w:val="auto"/>
              </w:rPr>
            </w:pPr>
            <w:r>
              <w:rPr>
                <w:rFonts w:ascii="Arial" w:cs="Arial" w:eastAsia="Arial" w:hAnsi="Arial"/>
                <w:sz w:val="11"/>
                <w:szCs w:val="11"/>
                <w:color w:val="050505"/>
              </w:rPr>
              <w:t>43.2%</w:t>
            </w:r>
          </w:p>
        </w:tc>
        <w:tc>
          <w:tcPr>
            <w:tcW w:w="740" w:type="dxa"/>
            <w:vAlign w:val="bottom"/>
            <w:gridSpan w:val="2"/>
            <w:shd w:val="clear" w:color="auto" w:fill="CCEEFF"/>
          </w:tcPr>
          <w:p>
            <w:pPr>
              <w:jc w:val="right"/>
              <w:ind w:right="160"/>
              <w:spacing w:after="0" w:line="125" w:lineRule="exact"/>
              <w:rPr>
                <w:sz w:val="20"/>
                <w:szCs w:val="20"/>
                <w:color w:val="auto"/>
              </w:rPr>
            </w:pPr>
            <w:r>
              <w:rPr>
                <w:rFonts w:ascii="Arial" w:cs="Arial" w:eastAsia="Arial" w:hAnsi="Arial"/>
                <w:sz w:val="11"/>
                <w:szCs w:val="11"/>
                <w:color w:val="050505"/>
              </w:rPr>
              <w:t>47.5%</w:t>
            </w:r>
          </w:p>
        </w:tc>
        <w:tc>
          <w:tcPr>
            <w:tcW w:w="740" w:type="dxa"/>
            <w:vAlign w:val="bottom"/>
            <w:gridSpan w:val="2"/>
            <w:shd w:val="clear" w:color="auto" w:fill="CCEEFF"/>
          </w:tcPr>
          <w:p>
            <w:pPr>
              <w:jc w:val="right"/>
              <w:ind w:right="112"/>
              <w:spacing w:after="0" w:line="125" w:lineRule="exact"/>
              <w:rPr>
                <w:sz w:val="20"/>
                <w:szCs w:val="20"/>
                <w:color w:val="auto"/>
              </w:rPr>
            </w:pPr>
            <w:r>
              <w:rPr>
                <w:rFonts w:ascii="Arial" w:cs="Arial" w:eastAsia="Arial" w:hAnsi="Arial"/>
                <w:sz w:val="11"/>
                <w:szCs w:val="11"/>
                <w:color w:val="050505"/>
              </w:rPr>
              <w:t>46.5%</w:t>
            </w:r>
          </w:p>
        </w:tc>
        <w:tc>
          <w:tcPr>
            <w:tcW w:w="740" w:type="dxa"/>
            <w:vAlign w:val="bottom"/>
            <w:gridSpan w:val="2"/>
            <w:shd w:val="clear" w:color="auto" w:fill="CCEEFF"/>
          </w:tcPr>
          <w:p>
            <w:pPr>
              <w:jc w:val="right"/>
              <w:ind w:right="180"/>
              <w:spacing w:after="0" w:line="125" w:lineRule="exact"/>
              <w:rPr>
                <w:sz w:val="20"/>
                <w:szCs w:val="20"/>
                <w:color w:val="auto"/>
              </w:rPr>
            </w:pPr>
            <w:r>
              <w:rPr>
                <w:rFonts w:ascii="Arial" w:cs="Arial" w:eastAsia="Arial" w:hAnsi="Arial"/>
                <w:sz w:val="11"/>
                <w:szCs w:val="11"/>
                <w:color w:val="050505"/>
              </w:rPr>
              <w:t>40.2%</w:t>
            </w:r>
          </w:p>
        </w:tc>
        <w:tc>
          <w:tcPr>
            <w:tcW w:w="740" w:type="dxa"/>
            <w:vAlign w:val="bottom"/>
            <w:gridSpan w:val="2"/>
            <w:shd w:val="clear" w:color="auto" w:fill="CCEEFF"/>
          </w:tcPr>
          <w:p>
            <w:pPr>
              <w:jc w:val="right"/>
              <w:ind w:right="160"/>
              <w:spacing w:after="0" w:line="125" w:lineRule="exact"/>
              <w:rPr>
                <w:sz w:val="20"/>
                <w:szCs w:val="20"/>
                <w:color w:val="auto"/>
              </w:rPr>
            </w:pPr>
            <w:r>
              <w:rPr>
                <w:rFonts w:ascii="Arial" w:cs="Arial" w:eastAsia="Arial" w:hAnsi="Arial"/>
                <w:sz w:val="11"/>
                <w:szCs w:val="11"/>
                <w:color w:val="050505"/>
              </w:rPr>
              <w:t>37.7%</w:t>
            </w:r>
          </w:p>
        </w:tc>
        <w:tc>
          <w:tcPr>
            <w:tcW w:w="760" w:type="dxa"/>
            <w:vAlign w:val="bottom"/>
            <w:gridSpan w:val="2"/>
            <w:shd w:val="clear" w:color="auto" w:fill="CCEEFF"/>
          </w:tcPr>
          <w:p>
            <w:pPr>
              <w:jc w:val="right"/>
              <w:ind w:right="180"/>
              <w:spacing w:after="0" w:line="125" w:lineRule="exact"/>
              <w:rPr>
                <w:sz w:val="20"/>
                <w:szCs w:val="20"/>
                <w:color w:val="auto"/>
              </w:rPr>
            </w:pPr>
            <w:r>
              <w:rPr>
                <w:rFonts w:ascii="Arial" w:cs="Arial" w:eastAsia="Arial" w:hAnsi="Arial"/>
                <w:sz w:val="11"/>
                <w:szCs w:val="11"/>
                <w:color w:val="050505"/>
              </w:rPr>
              <w:t>48.1%</w:t>
            </w:r>
          </w:p>
        </w:tc>
        <w:tc>
          <w:tcPr>
            <w:tcW w:w="700" w:type="dxa"/>
            <w:vAlign w:val="bottom"/>
            <w:gridSpan w:val="2"/>
            <w:shd w:val="clear" w:color="auto" w:fill="CCEEFF"/>
          </w:tcPr>
          <w:p>
            <w:pPr>
              <w:jc w:val="right"/>
              <w:ind w:right="120"/>
              <w:spacing w:after="0" w:line="125" w:lineRule="exact"/>
              <w:rPr>
                <w:sz w:val="20"/>
                <w:szCs w:val="20"/>
                <w:color w:val="auto"/>
              </w:rPr>
            </w:pPr>
            <w:r>
              <w:rPr>
                <w:rFonts w:ascii="Arial" w:cs="Arial" w:eastAsia="Arial" w:hAnsi="Arial"/>
                <w:sz w:val="11"/>
                <w:szCs w:val="11"/>
                <w:color w:val="050505"/>
              </w:rPr>
              <w:t>48.1%</w:t>
            </w:r>
          </w:p>
        </w:tc>
        <w:tc>
          <w:tcPr>
            <w:tcW w:w="660" w:type="dxa"/>
            <w:vAlign w:val="bottom"/>
            <w:gridSpan w:val="2"/>
            <w:shd w:val="clear" w:color="auto" w:fill="CCEEFF"/>
          </w:tcPr>
          <w:p>
            <w:pPr>
              <w:jc w:val="right"/>
              <w:ind w:right="80"/>
              <w:spacing w:after="0" w:line="125" w:lineRule="exact"/>
              <w:rPr>
                <w:sz w:val="20"/>
                <w:szCs w:val="20"/>
                <w:color w:val="auto"/>
              </w:rPr>
            </w:pPr>
            <w:r>
              <w:rPr>
                <w:rFonts w:ascii="Arial" w:cs="Arial" w:eastAsia="Arial" w:hAnsi="Arial"/>
                <w:sz w:val="11"/>
                <w:szCs w:val="11"/>
                <w:color w:val="050505"/>
              </w:rPr>
              <w:t>40.2%</w:t>
            </w:r>
          </w:p>
        </w:tc>
      </w:tr>
      <w:tr>
        <w:trPr>
          <w:trHeight w:val="126"/>
        </w:trPr>
        <w:tc>
          <w:tcPr>
            <w:tcW w:w="1540" w:type="dxa"/>
            <w:vAlign w:val="bottom"/>
          </w:tcPr>
          <w:p>
            <w:pPr>
              <w:ind w:left="160"/>
              <w:spacing w:after="0"/>
              <w:rPr>
                <w:sz w:val="20"/>
                <w:szCs w:val="20"/>
                <w:color w:val="auto"/>
              </w:rPr>
            </w:pPr>
            <w:r>
              <w:rPr>
                <w:rFonts w:ascii="Arial" w:cs="Arial" w:eastAsia="Arial" w:hAnsi="Arial"/>
                <w:sz w:val="11"/>
                <w:szCs w:val="11"/>
                <w:color w:val="050505"/>
              </w:rPr>
              <w:t>Subscription</w:t>
            </w:r>
          </w:p>
        </w:tc>
        <w:tc>
          <w:tcPr>
            <w:tcW w:w="480" w:type="dxa"/>
            <w:vAlign w:val="bottom"/>
          </w:tcPr>
          <w:p>
            <w:pPr>
              <w:jc w:val="right"/>
              <w:spacing w:after="0"/>
              <w:rPr>
                <w:sz w:val="20"/>
                <w:szCs w:val="20"/>
                <w:color w:val="auto"/>
              </w:rPr>
            </w:pPr>
            <w:r>
              <w:rPr>
                <w:rFonts w:ascii="Arial" w:cs="Arial" w:eastAsia="Arial" w:hAnsi="Arial"/>
                <w:sz w:val="11"/>
                <w:szCs w:val="11"/>
                <w:color w:val="050505"/>
              </w:rPr>
              <w:t>16.9</w:t>
            </w:r>
          </w:p>
        </w:tc>
        <w:tc>
          <w:tcPr>
            <w:tcW w:w="260" w:type="dxa"/>
            <w:vAlign w:val="bottom"/>
          </w:tcPr>
          <w:p>
            <w:pPr>
              <w:spacing w:after="0"/>
              <w:rPr>
                <w:sz w:val="10"/>
                <w:szCs w:val="10"/>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050505"/>
              </w:rPr>
              <w:t>6.3</w:t>
            </w:r>
          </w:p>
        </w:tc>
        <w:tc>
          <w:tcPr>
            <w:tcW w:w="260" w:type="dxa"/>
            <w:vAlign w:val="bottom"/>
          </w:tcPr>
          <w:p>
            <w:pPr>
              <w:spacing w:after="0"/>
              <w:rPr>
                <w:sz w:val="10"/>
                <w:szCs w:val="10"/>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050505"/>
              </w:rPr>
              <w:t>10.3</w:t>
            </w:r>
          </w:p>
        </w:tc>
        <w:tc>
          <w:tcPr>
            <w:tcW w:w="260" w:type="dxa"/>
            <w:vAlign w:val="bottom"/>
          </w:tcPr>
          <w:p>
            <w:pPr>
              <w:spacing w:after="0"/>
              <w:rPr>
                <w:sz w:val="10"/>
                <w:szCs w:val="10"/>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050505"/>
              </w:rPr>
              <w:t>12.4</w:t>
            </w:r>
          </w:p>
        </w:tc>
        <w:tc>
          <w:tcPr>
            <w:tcW w:w="260" w:type="dxa"/>
            <w:vAlign w:val="bottom"/>
          </w:tcPr>
          <w:p>
            <w:pPr>
              <w:spacing w:after="0"/>
              <w:rPr>
                <w:sz w:val="10"/>
                <w:szCs w:val="10"/>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050505"/>
              </w:rPr>
              <w:t>14.5</w:t>
            </w:r>
          </w:p>
        </w:tc>
        <w:tc>
          <w:tcPr>
            <w:tcW w:w="260" w:type="dxa"/>
            <w:vAlign w:val="bottom"/>
          </w:tcPr>
          <w:p>
            <w:pPr>
              <w:spacing w:after="0"/>
              <w:rPr>
                <w:sz w:val="10"/>
                <w:szCs w:val="10"/>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050505"/>
              </w:rPr>
              <w:t>7.7</w:t>
            </w:r>
          </w:p>
        </w:tc>
        <w:tc>
          <w:tcPr>
            <w:tcW w:w="260" w:type="dxa"/>
            <w:vAlign w:val="bottom"/>
          </w:tcPr>
          <w:p>
            <w:pPr>
              <w:spacing w:after="0"/>
              <w:rPr>
                <w:sz w:val="10"/>
                <w:szCs w:val="10"/>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050505"/>
              </w:rPr>
              <w:t>12.0</w:t>
            </w:r>
          </w:p>
        </w:tc>
        <w:tc>
          <w:tcPr>
            <w:tcW w:w="220" w:type="dxa"/>
            <w:vAlign w:val="bottom"/>
          </w:tcPr>
          <w:p>
            <w:pPr>
              <w:spacing w:after="0"/>
              <w:rPr>
                <w:sz w:val="10"/>
                <w:szCs w:val="10"/>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050505"/>
              </w:rPr>
              <w:t>13.0</w:t>
            </w:r>
          </w:p>
        </w:tc>
        <w:tc>
          <w:tcPr>
            <w:tcW w:w="160" w:type="dxa"/>
            <w:vAlign w:val="bottom"/>
          </w:tcPr>
          <w:p>
            <w:pPr>
              <w:spacing w:after="0"/>
              <w:rPr>
                <w:sz w:val="10"/>
                <w:szCs w:val="10"/>
                <w:color w:val="auto"/>
              </w:rPr>
            </w:pPr>
          </w:p>
        </w:tc>
      </w:tr>
      <w:tr>
        <w:trPr>
          <w:trHeight w:val="126"/>
        </w:trPr>
        <w:tc>
          <w:tcPr>
            <w:tcW w:w="1540" w:type="dxa"/>
            <w:vAlign w:val="bottom"/>
            <w:shd w:val="clear" w:color="auto" w:fill="CCEEFF"/>
          </w:tcPr>
          <w:p>
            <w:pPr>
              <w:ind w:left="160"/>
              <w:spacing w:after="0"/>
              <w:rPr>
                <w:sz w:val="20"/>
                <w:szCs w:val="20"/>
                <w:color w:val="auto"/>
              </w:rPr>
            </w:pPr>
            <w:r>
              <w:rPr>
                <w:rFonts w:ascii="Arial" w:cs="Arial" w:eastAsia="Arial" w:hAnsi="Arial"/>
                <w:sz w:val="11"/>
                <w:szCs w:val="11"/>
                <w:color w:val="050505"/>
              </w:rPr>
              <w:t>Other</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050505"/>
              </w:rPr>
              <w:t>1.2</w:t>
            </w:r>
          </w:p>
        </w:tc>
        <w:tc>
          <w:tcPr>
            <w:tcW w:w="260" w:type="dxa"/>
            <w:vAlign w:val="bottom"/>
            <w:shd w:val="clear" w:color="auto" w:fill="CCEEFF"/>
          </w:tcPr>
          <w:p>
            <w:pPr>
              <w:spacing w:after="0"/>
              <w:rPr>
                <w:sz w:val="10"/>
                <w:szCs w:val="10"/>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050505"/>
              </w:rPr>
              <w:t>0.9</w:t>
            </w:r>
          </w:p>
        </w:tc>
        <w:tc>
          <w:tcPr>
            <w:tcW w:w="260" w:type="dxa"/>
            <w:vAlign w:val="bottom"/>
            <w:shd w:val="clear" w:color="auto" w:fill="CCEEFF"/>
          </w:tcPr>
          <w:p>
            <w:pPr>
              <w:spacing w:after="0"/>
              <w:rPr>
                <w:sz w:val="10"/>
                <w:szCs w:val="10"/>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050505"/>
              </w:rPr>
              <w:t>0.8</w:t>
            </w:r>
          </w:p>
        </w:tc>
        <w:tc>
          <w:tcPr>
            <w:tcW w:w="260" w:type="dxa"/>
            <w:vAlign w:val="bottom"/>
            <w:shd w:val="clear" w:color="auto" w:fill="CCEEFF"/>
          </w:tcPr>
          <w:p>
            <w:pPr>
              <w:spacing w:after="0"/>
              <w:rPr>
                <w:sz w:val="10"/>
                <w:szCs w:val="10"/>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050505"/>
              </w:rPr>
              <w:t>1.7</w:t>
            </w:r>
          </w:p>
        </w:tc>
        <w:tc>
          <w:tcPr>
            <w:tcW w:w="260" w:type="dxa"/>
            <w:vAlign w:val="bottom"/>
            <w:shd w:val="clear" w:color="auto" w:fill="CCEEFF"/>
          </w:tcPr>
          <w:p>
            <w:pPr>
              <w:spacing w:after="0"/>
              <w:rPr>
                <w:sz w:val="10"/>
                <w:szCs w:val="10"/>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050505"/>
              </w:rPr>
              <w:t>1.9</w:t>
            </w:r>
          </w:p>
        </w:tc>
        <w:tc>
          <w:tcPr>
            <w:tcW w:w="260" w:type="dxa"/>
            <w:vAlign w:val="bottom"/>
            <w:shd w:val="clear" w:color="auto" w:fill="CCEEFF"/>
          </w:tcPr>
          <w:p>
            <w:pPr>
              <w:spacing w:after="0"/>
              <w:rPr>
                <w:sz w:val="10"/>
                <w:szCs w:val="10"/>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050505"/>
              </w:rPr>
              <w:t>1.8</w:t>
            </w:r>
          </w:p>
        </w:tc>
        <w:tc>
          <w:tcPr>
            <w:tcW w:w="260" w:type="dxa"/>
            <w:vAlign w:val="bottom"/>
            <w:shd w:val="clear" w:color="auto" w:fill="CCEEFF"/>
          </w:tcPr>
          <w:p>
            <w:pPr>
              <w:spacing w:after="0"/>
              <w:rPr>
                <w:sz w:val="10"/>
                <w:szCs w:val="10"/>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050505"/>
              </w:rPr>
              <w:t>1.8</w:t>
            </w:r>
          </w:p>
        </w:tc>
        <w:tc>
          <w:tcPr>
            <w:tcW w:w="220" w:type="dxa"/>
            <w:vAlign w:val="bottom"/>
            <w:shd w:val="clear" w:color="auto" w:fill="CCEEFF"/>
          </w:tcPr>
          <w:p>
            <w:pPr>
              <w:spacing w:after="0"/>
              <w:rPr>
                <w:sz w:val="10"/>
                <w:szCs w:val="10"/>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050505"/>
              </w:rPr>
              <w:t>2.0</w:t>
            </w:r>
          </w:p>
        </w:tc>
        <w:tc>
          <w:tcPr>
            <w:tcW w:w="160" w:type="dxa"/>
            <w:vAlign w:val="bottom"/>
            <w:shd w:val="clear" w:color="auto" w:fill="CCEEFF"/>
          </w:tcPr>
          <w:p>
            <w:pPr>
              <w:spacing w:after="0"/>
              <w:rPr>
                <w:sz w:val="10"/>
                <w:szCs w:val="10"/>
                <w:color w:val="auto"/>
              </w:rPr>
            </w:pPr>
          </w:p>
        </w:tc>
      </w:tr>
      <w:tr>
        <w:trPr>
          <w:trHeight w:val="124"/>
        </w:trPr>
        <w:tc>
          <w:tcPr>
            <w:tcW w:w="1540" w:type="dxa"/>
            <w:vAlign w:val="bottom"/>
          </w:tcPr>
          <w:p>
            <w:pPr>
              <w:ind w:left="260"/>
              <w:spacing w:after="0" w:line="124" w:lineRule="exact"/>
              <w:rPr>
                <w:sz w:val="20"/>
                <w:szCs w:val="20"/>
                <w:color w:val="auto"/>
              </w:rPr>
            </w:pPr>
            <w:r>
              <w:rPr>
                <w:rFonts w:ascii="Arial" w:cs="Arial" w:eastAsia="Arial" w:hAnsi="Arial"/>
                <w:sz w:val="11"/>
                <w:szCs w:val="11"/>
                <w:color w:val="050505"/>
              </w:rPr>
              <w:t>Total cost of revenue</w:t>
            </w:r>
          </w:p>
        </w:tc>
        <w:tc>
          <w:tcPr>
            <w:tcW w:w="480" w:type="dxa"/>
            <w:vAlign w:val="bottom"/>
            <w:tcBorders>
              <w:bottom w:val="single" w:sz="8" w:color="auto"/>
            </w:tcBorders>
          </w:tcPr>
          <w:p>
            <w:pPr>
              <w:jc w:val="right"/>
              <w:spacing w:after="0" w:line="124" w:lineRule="exact"/>
              <w:rPr>
                <w:sz w:val="20"/>
                <w:szCs w:val="20"/>
                <w:color w:val="auto"/>
              </w:rPr>
            </w:pPr>
            <w:r>
              <w:rPr>
                <w:rFonts w:ascii="Arial" w:cs="Arial" w:eastAsia="Arial" w:hAnsi="Arial"/>
                <w:sz w:val="11"/>
                <w:szCs w:val="11"/>
                <w:color w:val="050505"/>
              </w:rPr>
              <w:t>61.4</w:t>
            </w:r>
          </w:p>
        </w:tc>
        <w:tc>
          <w:tcPr>
            <w:tcW w:w="260" w:type="dxa"/>
            <w:vAlign w:val="bottom"/>
          </w:tcPr>
          <w:p>
            <w:pPr>
              <w:spacing w:after="0"/>
              <w:rPr>
                <w:sz w:val="10"/>
                <w:szCs w:val="10"/>
                <w:color w:val="auto"/>
              </w:rPr>
            </w:pPr>
          </w:p>
        </w:tc>
        <w:tc>
          <w:tcPr>
            <w:tcW w:w="480" w:type="dxa"/>
            <w:vAlign w:val="bottom"/>
            <w:tcBorders>
              <w:bottom w:val="single" w:sz="8" w:color="auto"/>
            </w:tcBorders>
          </w:tcPr>
          <w:p>
            <w:pPr>
              <w:jc w:val="right"/>
              <w:spacing w:after="0" w:line="124" w:lineRule="exact"/>
              <w:rPr>
                <w:sz w:val="20"/>
                <w:szCs w:val="20"/>
                <w:color w:val="auto"/>
              </w:rPr>
            </w:pPr>
            <w:r>
              <w:rPr>
                <w:rFonts w:ascii="Arial" w:cs="Arial" w:eastAsia="Arial" w:hAnsi="Arial"/>
                <w:sz w:val="11"/>
                <w:szCs w:val="11"/>
                <w:color w:val="050505"/>
              </w:rPr>
              <w:t>54.7</w:t>
            </w:r>
          </w:p>
        </w:tc>
        <w:tc>
          <w:tcPr>
            <w:tcW w:w="260" w:type="dxa"/>
            <w:vAlign w:val="bottom"/>
          </w:tcPr>
          <w:p>
            <w:pPr>
              <w:spacing w:after="0"/>
              <w:rPr>
                <w:sz w:val="10"/>
                <w:szCs w:val="10"/>
                <w:color w:val="auto"/>
              </w:rPr>
            </w:pPr>
          </w:p>
        </w:tc>
        <w:tc>
          <w:tcPr>
            <w:tcW w:w="480" w:type="dxa"/>
            <w:vAlign w:val="bottom"/>
            <w:tcBorders>
              <w:bottom w:val="single" w:sz="8" w:color="auto"/>
            </w:tcBorders>
          </w:tcPr>
          <w:p>
            <w:pPr>
              <w:jc w:val="right"/>
              <w:spacing w:after="0" w:line="124" w:lineRule="exact"/>
              <w:rPr>
                <w:sz w:val="20"/>
                <w:szCs w:val="20"/>
                <w:color w:val="auto"/>
              </w:rPr>
            </w:pPr>
            <w:r>
              <w:rPr>
                <w:rFonts w:ascii="Arial" w:cs="Arial" w:eastAsia="Arial" w:hAnsi="Arial"/>
                <w:sz w:val="11"/>
                <w:szCs w:val="11"/>
                <w:color w:val="050505"/>
              </w:rPr>
              <w:t>57.6</w:t>
            </w:r>
          </w:p>
        </w:tc>
        <w:tc>
          <w:tcPr>
            <w:tcW w:w="260" w:type="dxa"/>
            <w:vAlign w:val="bottom"/>
          </w:tcPr>
          <w:p>
            <w:pPr>
              <w:spacing w:after="0"/>
              <w:rPr>
                <w:sz w:val="10"/>
                <w:szCs w:val="10"/>
                <w:color w:val="auto"/>
              </w:rPr>
            </w:pPr>
          </w:p>
        </w:tc>
        <w:tc>
          <w:tcPr>
            <w:tcW w:w="480" w:type="dxa"/>
            <w:vAlign w:val="bottom"/>
            <w:tcBorders>
              <w:bottom w:val="single" w:sz="8" w:color="auto"/>
            </w:tcBorders>
          </w:tcPr>
          <w:p>
            <w:pPr>
              <w:jc w:val="right"/>
              <w:spacing w:after="0" w:line="124" w:lineRule="exact"/>
              <w:rPr>
                <w:sz w:val="20"/>
                <w:szCs w:val="20"/>
                <w:color w:val="auto"/>
              </w:rPr>
            </w:pPr>
            <w:r>
              <w:rPr>
                <w:rFonts w:ascii="Arial" w:cs="Arial" w:eastAsia="Arial" w:hAnsi="Arial"/>
                <w:sz w:val="11"/>
                <w:szCs w:val="11"/>
                <w:color w:val="050505"/>
              </w:rPr>
              <w:t>54.3</w:t>
            </w:r>
          </w:p>
        </w:tc>
        <w:tc>
          <w:tcPr>
            <w:tcW w:w="260" w:type="dxa"/>
            <w:vAlign w:val="bottom"/>
          </w:tcPr>
          <w:p>
            <w:pPr>
              <w:spacing w:after="0"/>
              <w:rPr>
                <w:sz w:val="10"/>
                <w:szCs w:val="10"/>
                <w:color w:val="auto"/>
              </w:rPr>
            </w:pPr>
          </w:p>
        </w:tc>
        <w:tc>
          <w:tcPr>
            <w:tcW w:w="480" w:type="dxa"/>
            <w:vAlign w:val="bottom"/>
            <w:tcBorders>
              <w:bottom w:val="single" w:sz="8" w:color="auto"/>
            </w:tcBorders>
          </w:tcPr>
          <w:p>
            <w:pPr>
              <w:jc w:val="right"/>
              <w:spacing w:after="0" w:line="124" w:lineRule="exact"/>
              <w:rPr>
                <w:sz w:val="20"/>
                <w:szCs w:val="20"/>
                <w:color w:val="auto"/>
              </w:rPr>
            </w:pPr>
            <w:r>
              <w:rPr>
                <w:rFonts w:ascii="Arial" w:cs="Arial" w:eastAsia="Arial" w:hAnsi="Arial"/>
                <w:sz w:val="11"/>
                <w:szCs w:val="11"/>
                <w:color w:val="050505"/>
              </w:rPr>
              <w:t>54.1</w:t>
            </w:r>
          </w:p>
        </w:tc>
        <w:tc>
          <w:tcPr>
            <w:tcW w:w="260" w:type="dxa"/>
            <w:vAlign w:val="bottom"/>
          </w:tcPr>
          <w:p>
            <w:pPr>
              <w:spacing w:after="0"/>
              <w:rPr>
                <w:sz w:val="10"/>
                <w:szCs w:val="10"/>
                <w:color w:val="auto"/>
              </w:rPr>
            </w:pPr>
          </w:p>
        </w:tc>
        <w:tc>
          <w:tcPr>
            <w:tcW w:w="500" w:type="dxa"/>
            <w:vAlign w:val="bottom"/>
            <w:tcBorders>
              <w:bottom w:val="single" w:sz="8" w:color="auto"/>
            </w:tcBorders>
          </w:tcPr>
          <w:p>
            <w:pPr>
              <w:jc w:val="right"/>
              <w:spacing w:after="0" w:line="124" w:lineRule="exact"/>
              <w:rPr>
                <w:sz w:val="20"/>
                <w:szCs w:val="20"/>
                <w:color w:val="auto"/>
              </w:rPr>
            </w:pPr>
            <w:r>
              <w:rPr>
                <w:rFonts w:ascii="Arial" w:cs="Arial" w:eastAsia="Arial" w:hAnsi="Arial"/>
                <w:sz w:val="11"/>
                <w:szCs w:val="11"/>
                <w:color w:val="050505"/>
              </w:rPr>
              <w:t>57.6</w:t>
            </w:r>
          </w:p>
        </w:tc>
        <w:tc>
          <w:tcPr>
            <w:tcW w:w="260" w:type="dxa"/>
            <w:vAlign w:val="bottom"/>
          </w:tcPr>
          <w:p>
            <w:pPr>
              <w:spacing w:after="0"/>
              <w:rPr>
                <w:sz w:val="10"/>
                <w:szCs w:val="10"/>
                <w:color w:val="auto"/>
              </w:rPr>
            </w:pPr>
          </w:p>
        </w:tc>
        <w:tc>
          <w:tcPr>
            <w:tcW w:w="480" w:type="dxa"/>
            <w:vAlign w:val="bottom"/>
            <w:tcBorders>
              <w:bottom w:val="single" w:sz="8" w:color="auto"/>
            </w:tcBorders>
          </w:tcPr>
          <w:p>
            <w:pPr>
              <w:jc w:val="right"/>
              <w:spacing w:after="0" w:line="124" w:lineRule="exact"/>
              <w:rPr>
                <w:sz w:val="20"/>
                <w:szCs w:val="20"/>
                <w:color w:val="auto"/>
              </w:rPr>
            </w:pPr>
            <w:r>
              <w:rPr>
                <w:rFonts w:ascii="Arial" w:cs="Arial" w:eastAsia="Arial" w:hAnsi="Arial"/>
                <w:sz w:val="11"/>
                <w:szCs w:val="11"/>
                <w:color w:val="050505"/>
              </w:rPr>
              <w:t>61.9</w:t>
            </w:r>
          </w:p>
        </w:tc>
        <w:tc>
          <w:tcPr>
            <w:tcW w:w="220" w:type="dxa"/>
            <w:vAlign w:val="bottom"/>
          </w:tcPr>
          <w:p>
            <w:pPr>
              <w:spacing w:after="0"/>
              <w:rPr>
                <w:sz w:val="10"/>
                <w:szCs w:val="10"/>
                <w:color w:val="auto"/>
              </w:rPr>
            </w:pPr>
          </w:p>
        </w:tc>
        <w:tc>
          <w:tcPr>
            <w:tcW w:w="500" w:type="dxa"/>
            <w:vAlign w:val="bottom"/>
            <w:tcBorders>
              <w:bottom w:val="single" w:sz="8" w:color="auto"/>
            </w:tcBorders>
          </w:tcPr>
          <w:p>
            <w:pPr>
              <w:jc w:val="right"/>
              <w:spacing w:after="0" w:line="124" w:lineRule="exact"/>
              <w:rPr>
                <w:sz w:val="20"/>
                <w:szCs w:val="20"/>
                <w:color w:val="auto"/>
              </w:rPr>
            </w:pPr>
            <w:r>
              <w:rPr>
                <w:rFonts w:ascii="Arial" w:cs="Arial" w:eastAsia="Arial" w:hAnsi="Arial"/>
                <w:sz w:val="11"/>
                <w:szCs w:val="11"/>
                <w:color w:val="050505"/>
              </w:rPr>
              <w:t>55.2</w:t>
            </w:r>
          </w:p>
        </w:tc>
        <w:tc>
          <w:tcPr>
            <w:tcW w:w="160" w:type="dxa"/>
            <w:vAlign w:val="bottom"/>
          </w:tcPr>
          <w:p>
            <w:pPr>
              <w:spacing w:after="0"/>
              <w:rPr>
                <w:sz w:val="10"/>
                <w:szCs w:val="10"/>
                <w:color w:val="auto"/>
              </w:rPr>
            </w:pPr>
          </w:p>
        </w:tc>
      </w:tr>
      <w:tr>
        <w:trPr>
          <w:trHeight w:val="124"/>
        </w:trPr>
        <w:tc>
          <w:tcPr>
            <w:tcW w:w="1540" w:type="dxa"/>
            <w:vAlign w:val="bottom"/>
            <w:shd w:val="clear" w:color="auto" w:fill="CCEEFF"/>
          </w:tcPr>
          <w:p>
            <w:pPr>
              <w:ind w:left="40"/>
              <w:spacing w:after="0" w:line="124" w:lineRule="exact"/>
              <w:rPr>
                <w:sz w:val="20"/>
                <w:szCs w:val="20"/>
                <w:color w:val="auto"/>
              </w:rPr>
            </w:pPr>
            <w:r>
              <w:rPr>
                <w:rFonts w:ascii="Arial" w:cs="Arial" w:eastAsia="Arial" w:hAnsi="Arial"/>
                <w:sz w:val="11"/>
                <w:szCs w:val="11"/>
                <w:color w:val="050505"/>
              </w:rPr>
              <w:t>Gross profit</w:t>
            </w:r>
          </w:p>
        </w:tc>
        <w:tc>
          <w:tcPr>
            <w:tcW w:w="480" w:type="dxa"/>
            <w:vAlign w:val="bottom"/>
            <w:tcBorders>
              <w:bottom w:val="single" w:sz="8" w:color="auto"/>
            </w:tcBorders>
            <w:shd w:val="clear" w:color="auto" w:fill="CCEEFF"/>
          </w:tcPr>
          <w:p>
            <w:pPr>
              <w:jc w:val="right"/>
              <w:spacing w:after="0" w:line="124" w:lineRule="exact"/>
              <w:rPr>
                <w:sz w:val="20"/>
                <w:szCs w:val="20"/>
                <w:color w:val="auto"/>
              </w:rPr>
            </w:pPr>
            <w:r>
              <w:rPr>
                <w:rFonts w:ascii="Arial" w:cs="Arial" w:eastAsia="Arial" w:hAnsi="Arial"/>
                <w:sz w:val="11"/>
                <w:szCs w:val="11"/>
                <w:color w:val="050505"/>
              </w:rPr>
              <w:t>38.6</w:t>
            </w:r>
          </w:p>
        </w:tc>
        <w:tc>
          <w:tcPr>
            <w:tcW w:w="260" w:type="dxa"/>
            <w:vAlign w:val="bottom"/>
            <w:shd w:val="clear" w:color="auto" w:fill="CCEEFF"/>
          </w:tcPr>
          <w:p>
            <w:pPr>
              <w:spacing w:after="0"/>
              <w:rPr>
                <w:sz w:val="10"/>
                <w:szCs w:val="10"/>
                <w:color w:val="auto"/>
              </w:rPr>
            </w:pPr>
          </w:p>
        </w:tc>
        <w:tc>
          <w:tcPr>
            <w:tcW w:w="480" w:type="dxa"/>
            <w:vAlign w:val="bottom"/>
            <w:tcBorders>
              <w:bottom w:val="single" w:sz="8" w:color="auto"/>
            </w:tcBorders>
            <w:shd w:val="clear" w:color="auto" w:fill="CCEEFF"/>
          </w:tcPr>
          <w:p>
            <w:pPr>
              <w:jc w:val="right"/>
              <w:spacing w:after="0" w:line="124" w:lineRule="exact"/>
              <w:rPr>
                <w:sz w:val="20"/>
                <w:szCs w:val="20"/>
                <w:color w:val="auto"/>
              </w:rPr>
            </w:pPr>
            <w:r>
              <w:rPr>
                <w:rFonts w:ascii="Arial" w:cs="Arial" w:eastAsia="Arial" w:hAnsi="Arial"/>
                <w:sz w:val="11"/>
                <w:szCs w:val="11"/>
                <w:color w:val="050505"/>
              </w:rPr>
              <w:t>45.3</w:t>
            </w:r>
          </w:p>
        </w:tc>
        <w:tc>
          <w:tcPr>
            <w:tcW w:w="260" w:type="dxa"/>
            <w:vAlign w:val="bottom"/>
            <w:shd w:val="clear" w:color="auto" w:fill="CCEEFF"/>
          </w:tcPr>
          <w:p>
            <w:pPr>
              <w:spacing w:after="0"/>
              <w:rPr>
                <w:sz w:val="10"/>
                <w:szCs w:val="10"/>
                <w:color w:val="auto"/>
              </w:rPr>
            </w:pPr>
          </w:p>
        </w:tc>
        <w:tc>
          <w:tcPr>
            <w:tcW w:w="480" w:type="dxa"/>
            <w:vAlign w:val="bottom"/>
            <w:tcBorders>
              <w:bottom w:val="single" w:sz="8" w:color="auto"/>
            </w:tcBorders>
            <w:shd w:val="clear" w:color="auto" w:fill="CCEEFF"/>
          </w:tcPr>
          <w:p>
            <w:pPr>
              <w:jc w:val="right"/>
              <w:spacing w:after="0" w:line="124" w:lineRule="exact"/>
              <w:rPr>
                <w:sz w:val="20"/>
                <w:szCs w:val="20"/>
                <w:color w:val="auto"/>
              </w:rPr>
            </w:pPr>
            <w:r>
              <w:rPr>
                <w:rFonts w:ascii="Arial" w:cs="Arial" w:eastAsia="Arial" w:hAnsi="Arial"/>
                <w:sz w:val="11"/>
                <w:szCs w:val="11"/>
                <w:color w:val="050505"/>
              </w:rPr>
              <w:t>42.4</w:t>
            </w:r>
          </w:p>
        </w:tc>
        <w:tc>
          <w:tcPr>
            <w:tcW w:w="260" w:type="dxa"/>
            <w:vAlign w:val="bottom"/>
            <w:shd w:val="clear" w:color="auto" w:fill="CCEEFF"/>
          </w:tcPr>
          <w:p>
            <w:pPr>
              <w:spacing w:after="0"/>
              <w:rPr>
                <w:sz w:val="10"/>
                <w:szCs w:val="10"/>
                <w:color w:val="auto"/>
              </w:rPr>
            </w:pPr>
          </w:p>
        </w:tc>
        <w:tc>
          <w:tcPr>
            <w:tcW w:w="480" w:type="dxa"/>
            <w:vAlign w:val="bottom"/>
            <w:tcBorders>
              <w:bottom w:val="single" w:sz="8" w:color="auto"/>
            </w:tcBorders>
            <w:shd w:val="clear" w:color="auto" w:fill="CCEEFF"/>
          </w:tcPr>
          <w:p>
            <w:pPr>
              <w:jc w:val="right"/>
              <w:spacing w:after="0" w:line="124" w:lineRule="exact"/>
              <w:rPr>
                <w:sz w:val="20"/>
                <w:szCs w:val="20"/>
                <w:color w:val="auto"/>
              </w:rPr>
            </w:pPr>
            <w:r>
              <w:rPr>
                <w:rFonts w:ascii="Arial" w:cs="Arial" w:eastAsia="Arial" w:hAnsi="Arial"/>
                <w:sz w:val="11"/>
                <w:szCs w:val="11"/>
                <w:color w:val="050505"/>
              </w:rPr>
              <w:t>45.7</w:t>
            </w:r>
          </w:p>
        </w:tc>
        <w:tc>
          <w:tcPr>
            <w:tcW w:w="260" w:type="dxa"/>
            <w:vAlign w:val="bottom"/>
            <w:shd w:val="clear" w:color="auto" w:fill="CCEEFF"/>
          </w:tcPr>
          <w:p>
            <w:pPr>
              <w:spacing w:after="0"/>
              <w:rPr>
                <w:sz w:val="10"/>
                <w:szCs w:val="10"/>
                <w:color w:val="auto"/>
              </w:rPr>
            </w:pPr>
          </w:p>
        </w:tc>
        <w:tc>
          <w:tcPr>
            <w:tcW w:w="480" w:type="dxa"/>
            <w:vAlign w:val="bottom"/>
            <w:tcBorders>
              <w:bottom w:val="single" w:sz="8" w:color="auto"/>
            </w:tcBorders>
            <w:shd w:val="clear" w:color="auto" w:fill="CCEEFF"/>
          </w:tcPr>
          <w:p>
            <w:pPr>
              <w:jc w:val="right"/>
              <w:spacing w:after="0" w:line="124" w:lineRule="exact"/>
              <w:rPr>
                <w:sz w:val="20"/>
                <w:szCs w:val="20"/>
                <w:color w:val="auto"/>
              </w:rPr>
            </w:pPr>
            <w:r>
              <w:rPr>
                <w:rFonts w:ascii="Arial" w:cs="Arial" w:eastAsia="Arial" w:hAnsi="Arial"/>
                <w:sz w:val="11"/>
                <w:szCs w:val="11"/>
                <w:color w:val="050505"/>
              </w:rPr>
              <w:t>45.9</w:t>
            </w:r>
          </w:p>
        </w:tc>
        <w:tc>
          <w:tcPr>
            <w:tcW w:w="260" w:type="dxa"/>
            <w:vAlign w:val="bottom"/>
            <w:shd w:val="clear" w:color="auto" w:fill="CCEEFF"/>
          </w:tcPr>
          <w:p>
            <w:pPr>
              <w:spacing w:after="0"/>
              <w:rPr>
                <w:sz w:val="10"/>
                <w:szCs w:val="10"/>
                <w:color w:val="auto"/>
              </w:rPr>
            </w:pPr>
          </w:p>
        </w:tc>
        <w:tc>
          <w:tcPr>
            <w:tcW w:w="500" w:type="dxa"/>
            <w:vAlign w:val="bottom"/>
            <w:tcBorders>
              <w:bottom w:val="single" w:sz="8" w:color="auto"/>
            </w:tcBorders>
            <w:shd w:val="clear" w:color="auto" w:fill="CCEEFF"/>
          </w:tcPr>
          <w:p>
            <w:pPr>
              <w:jc w:val="right"/>
              <w:spacing w:after="0" w:line="124" w:lineRule="exact"/>
              <w:rPr>
                <w:sz w:val="20"/>
                <w:szCs w:val="20"/>
                <w:color w:val="auto"/>
              </w:rPr>
            </w:pPr>
            <w:r>
              <w:rPr>
                <w:rFonts w:ascii="Arial" w:cs="Arial" w:eastAsia="Arial" w:hAnsi="Arial"/>
                <w:sz w:val="11"/>
                <w:szCs w:val="11"/>
                <w:color w:val="050505"/>
              </w:rPr>
              <w:t>42.4</w:t>
            </w:r>
          </w:p>
        </w:tc>
        <w:tc>
          <w:tcPr>
            <w:tcW w:w="260" w:type="dxa"/>
            <w:vAlign w:val="bottom"/>
            <w:shd w:val="clear" w:color="auto" w:fill="CCEEFF"/>
          </w:tcPr>
          <w:p>
            <w:pPr>
              <w:spacing w:after="0"/>
              <w:rPr>
                <w:sz w:val="10"/>
                <w:szCs w:val="10"/>
                <w:color w:val="auto"/>
              </w:rPr>
            </w:pPr>
          </w:p>
        </w:tc>
        <w:tc>
          <w:tcPr>
            <w:tcW w:w="480" w:type="dxa"/>
            <w:vAlign w:val="bottom"/>
            <w:tcBorders>
              <w:bottom w:val="single" w:sz="8" w:color="auto"/>
            </w:tcBorders>
            <w:shd w:val="clear" w:color="auto" w:fill="CCEEFF"/>
          </w:tcPr>
          <w:p>
            <w:pPr>
              <w:jc w:val="right"/>
              <w:spacing w:after="0" w:line="124" w:lineRule="exact"/>
              <w:rPr>
                <w:sz w:val="20"/>
                <w:szCs w:val="20"/>
                <w:color w:val="auto"/>
              </w:rPr>
            </w:pPr>
            <w:r>
              <w:rPr>
                <w:rFonts w:ascii="Arial" w:cs="Arial" w:eastAsia="Arial" w:hAnsi="Arial"/>
                <w:sz w:val="11"/>
                <w:szCs w:val="11"/>
                <w:color w:val="050505"/>
              </w:rPr>
              <w:t>38.1</w:t>
            </w:r>
          </w:p>
        </w:tc>
        <w:tc>
          <w:tcPr>
            <w:tcW w:w="220" w:type="dxa"/>
            <w:vAlign w:val="bottom"/>
            <w:shd w:val="clear" w:color="auto" w:fill="CCEEFF"/>
          </w:tcPr>
          <w:p>
            <w:pPr>
              <w:spacing w:after="0"/>
              <w:rPr>
                <w:sz w:val="10"/>
                <w:szCs w:val="10"/>
                <w:color w:val="auto"/>
              </w:rPr>
            </w:pPr>
          </w:p>
        </w:tc>
        <w:tc>
          <w:tcPr>
            <w:tcW w:w="500" w:type="dxa"/>
            <w:vAlign w:val="bottom"/>
            <w:tcBorders>
              <w:bottom w:val="single" w:sz="8" w:color="auto"/>
            </w:tcBorders>
            <w:shd w:val="clear" w:color="auto" w:fill="CCEEFF"/>
          </w:tcPr>
          <w:p>
            <w:pPr>
              <w:jc w:val="right"/>
              <w:spacing w:after="0" w:line="124" w:lineRule="exact"/>
              <w:rPr>
                <w:sz w:val="20"/>
                <w:szCs w:val="20"/>
                <w:color w:val="auto"/>
              </w:rPr>
            </w:pPr>
            <w:r>
              <w:rPr>
                <w:rFonts w:ascii="Arial" w:cs="Arial" w:eastAsia="Arial" w:hAnsi="Arial"/>
                <w:sz w:val="11"/>
                <w:szCs w:val="11"/>
                <w:color w:val="050505"/>
              </w:rPr>
              <w:t>44.8</w:t>
            </w:r>
          </w:p>
        </w:tc>
        <w:tc>
          <w:tcPr>
            <w:tcW w:w="160" w:type="dxa"/>
            <w:vAlign w:val="bottom"/>
            <w:shd w:val="clear" w:color="auto" w:fill="CCEEFF"/>
          </w:tcPr>
          <w:p>
            <w:pPr>
              <w:spacing w:after="0"/>
              <w:rPr>
                <w:sz w:val="10"/>
                <w:szCs w:val="10"/>
                <w:color w:val="auto"/>
              </w:rPr>
            </w:pPr>
          </w:p>
        </w:tc>
      </w:tr>
      <w:tr>
        <w:trPr>
          <w:trHeight w:val="124"/>
        </w:trPr>
        <w:tc>
          <w:tcPr>
            <w:tcW w:w="1540" w:type="dxa"/>
            <w:vAlign w:val="bottom"/>
          </w:tcPr>
          <w:p>
            <w:pPr>
              <w:ind w:left="40"/>
              <w:spacing w:after="0" w:line="124" w:lineRule="exact"/>
              <w:rPr>
                <w:sz w:val="20"/>
                <w:szCs w:val="20"/>
                <w:color w:val="auto"/>
              </w:rPr>
            </w:pPr>
            <w:r>
              <w:rPr>
                <w:rFonts w:ascii="Arial" w:cs="Arial" w:eastAsia="Arial" w:hAnsi="Arial"/>
                <w:sz w:val="11"/>
                <w:szCs w:val="11"/>
                <w:color w:val="050505"/>
              </w:rPr>
              <w:t>Operating expenses:</w:t>
            </w:r>
          </w:p>
        </w:tc>
        <w:tc>
          <w:tcPr>
            <w:tcW w:w="4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60" w:type="dxa"/>
            <w:vAlign w:val="bottom"/>
          </w:tcPr>
          <w:p>
            <w:pPr>
              <w:spacing w:after="0"/>
              <w:rPr>
                <w:sz w:val="10"/>
                <w:szCs w:val="10"/>
                <w:color w:val="auto"/>
              </w:rPr>
            </w:pPr>
          </w:p>
        </w:tc>
      </w:tr>
      <w:tr>
        <w:trPr>
          <w:trHeight w:val="127"/>
        </w:trPr>
        <w:tc>
          <w:tcPr>
            <w:tcW w:w="1540" w:type="dxa"/>
            <w:vAlign w:val="bottom"/>
            <w:shd w:val="clear" w:color="auto" w:fill="CCEEFF"/>
          </w:tcPr>
          <w:p>
            <w:pPr>
              <w:ind w:left="160"/>
              <w:spacing w:after="0"/>
              <w:rPr>
                <w:sz w:val="20"/>
                <w:szCs w:val="20"/>
                <w:color w:val="auto"/>
              </w:rPr>
            </w:pPr>
            <w:r>
              <w:rPr>
                <w:rFonts w:ascii="Arial" w:cs="Arial" w:eastAsia="Arial" w:hAnsi="Arial"/>
                <w:sz w:val="11"/>
                <w:szCs w:val="11"/>
                <w:color w:val="050505"/>
              </w:rPr>
              <w:t>Research and</w:t>
            </w:r>
          </w:p>
        </w:tc>
        <w:tc>
          <w:tcPr>
            <w:tcW w:w="4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r>
      <w:tr>
        <w:trPr>
          <w:trHeight w:val="125"/>
        </w:trPr>
        <w:tc>
          <w:tcPr>
            <w:tcW w:w="1540" w:type="dxa"/>
            <w:vAlign w:val="bottom"/>
            <w:shd w:val="clear" w:color="auto" w:fill="CCEEFF"/>
          </w:tcPr>
          <w:p>
            <w:pPr>
              <w:ind w:left="160"/>
              <w:spacing w:after="0" w:line="125" w:lineRule="exact"/>
              <w:rPr>
                <w:sz w:val="20"/>
                <w:szCs w:val="20"/>
                <w:color w:val="auto"/>
              </w:rPr>
            </w:pPr>
            <w:r>
              <w:rPr>
                <w:rFonts w:ascii="Arial" w:cs="Arial" w:eastAsia="Arial" w:hAnsi="Arial"/>
                <w:sz w:val="11"/>
                <w:szCs w:val="11"/>
                <w:color w:val="050505"/>
              </w:rPr>
              <w:t>development</w:t>
            </w:r>
          </w:p>
        </w:tc>
        <w:tc>
          <w:tcPr>
            <w:tcW w:w="480" w:type="dxa"/>
            <w:vAlign w:val="bottom"/>
            <w:shd w:val="clear" w:color="auto" w:fill="CCEEFF"/>
          </w:tcPr>
          <w:p>
            <w:pPr>
              <w:jc w:val="right"/>
              <w:spacing w:after="0" w:line="125" w:lineRule="exact"/>
              <w:rPr>
                <w:sz w:val="20"/>
                <w:szCs w:val="20"/>
                <w:color w:val="auto"/>
              </w:rPr>
            </w:pPr>
            <w:r>
              <w:rPr>
                <w:rFonts w:ascii="Arial" w:cs="Arial" w:eastAsia="Arial" w:hAnsi="Arial"/>
                <w:sz w:val="11"/>
                <w:szCs w:val="11"/>
                <w:color w:val="050505"/>
              </w:rPr>
              <w:t>8.6</w:t>
            </w:r>
          </w:p>
        </w:tc>
        <w:tc>
          <w:tcPr>
            <w:tcW w:w="260" w:type="dxa"/>
            <w:vAlign w:val="bottom"/>
            <w:shd w:val="clear" w:color="auto" w:fill="CCEEFF"/>
          </w:tcPr>
          <w:p>
            <w:pPr>
              <w:spacing w:after="0"/>
              <w:rPr>
                <w:sz w:val="10"/>
                <w:szCs w:val="10"/>
                <w:color w:val="auto"/>
              </w:rPr>
            </w:pPr>
          </w:p>
        </w:tc>
        <w:tc>
          <w:tcPr>
            <w:tcW w:w="480" w:type="dxa"/>
            <w:vAlign w:val="bottom"/>
            <w:shd w:val="clear" w:color="auto" w:fill="CCEEFF"/>
          </w:tcPr>
          <w:p>
            <w:pPr>
              <w:jc w:val="right"/>
              <w:spacing w:after="0" w:line="125" w:lineRule="exact"/>
              <w:rPr>
                <w:sz w:val="20"/>
                <w:szCs w:val="20"/>
                <w:color w:val="auto"/>
              </w:rPr>
            </w:pPr>
            <w:r>
              <w:rPr>
                <w:rFonts w:ascii="Arial" w:cs="Arial" w:eastAsia="Arial" w:hAnsi="Arial"/>
                <w:sz w:val="11"/>
                <w:szCs w:val="11"/>
                <w:color w:val="050505"/>
              </w:rPr>
              <w:t>3.8</w:t>
            </w:r>
          </w:p>
        </w:tc>
        <w:tc>
          <w:tcPr>
            <w:tcW w:w="260" w:type="dxa"/>
            <w:vAlign w:val="bottom"/>
            <w:shd w:val="clear" w:color="auto" w:fill="CCEEFF"/>
          </w:tcPr>
          <w:p>
            <w:pPr>
              <w:spacing w:after="0"/>
              <w:rPr>
                <w:sz w:val="10"/>
                <w:szCs w:val="10"/>
                <w:color w:val="auto"/>
              </w:rPr>
            </w:pPr>
          </w:p>
        </w:tc>
        <w:tc>
          <w:tcPr>
            <w:tcW w:w="480" w:type="dxa"/>
            <w:vAlign w:val="bottom"/>
            <w:shd w:val="clear" w:color="auto" w:fill="CCEEFF"/>
          </w:tcPr>
          <w:p>
            <w:pPr>
              <w:jc w:val="right"/>
              <w:spacing w:after="0" w:line="125" w:lineRule="exact"/>
              <w:rPr>
                <w:sz w:val="20"/>
                <w:szCs w:val="20"/>
                <w:color w:val="auto"/>
              </w:rPr>
            </w:pPr>
            <w:r>
              <w:rPr>
                <w:rFonts w:ascii="Arial" w:cs="Arial" w:eastAsia="Arial" w:hAnsi="Arial"/>
                <w:sz w:val="11"/>
                <w:szCs w:val="11"/>
                <w:color w:val="050505"/>
              </w:rPr>
              <w:t>4.9</w:t>
            </w:r>
          </w:p>
        </w:tc>
        <w:tc>
          <w:tcPr>
            <w:tcW w:w="260" w:type="dxa"/>
            <w:vAlign w:val="bottom"/>
            <w:shd w:val="clear" w:color="auto" w:fill="CCEEFF"/>
          </w:tcPr>
          <w:p>
            <w:pPr>
              <w:spacing w:after="0"/>
              <w:rPr>
                <w:sz w:val="10"/>
                <w:szCs w:val="10"/>
                <w:color w:val="auto"/>
              </w:rPr>
            </w:pPr>
          </w:p>
        </w:tc>
        <w:tc>
          <w:tcPr>
            <w:tcW w:w="480" w:type="dxa"/>
            <w:vAlign w:val="bottom"/>
            <w:shd w:val="clear" w:color="auto" w:fill="CCEEFF"/>
          </w:tcPr>
          <w:p>
            <w:pPr>
              <w:jc w:val="right"/>
              <w:spacing w:after="0" w:line="125" w:lineRule="exact"/>
              <w:rPr>
                <w:sz w:val="20"/>
                <w:szCs w:val="20"/>
                <w:color w:val="auto"/>
              </w:rPr>
            </w:pPr>
            <w:r>
              <w:rPr>
                <w:rFonts w:ascii="Arial" w:cs="Arial" w:eastAsia="Arial" w:hAnsi="Arial"/>
                <w:sz w:val="11"/>
                <w:szCs w:val="11"/>
                <w:color w:val="050505"/>
              </w:rPr>
              <w:t>6.3</w:t>
            </w:r>
          </w:p>
        </w:tc>
        <w:tc>
          <w:tcPr>
            <w:tcW w:w="260" w:type="dxa"/>
            <w:vAlign w:val="bottom"/>
            <w:shd w:val="clear" w:color="auto" w:fill="CCEEFF"/>
          </w:tcPr>
          <w:p>
            <w:pPr>
              <w:spacing w:after="0"/>
              <w:rPr>
                <w:sz w:val="10"/>
                <w:szCs w:val="10"/>
                <w:color w:val="auto"/>
              </w:rPr>
            </w:pPr>
          </w:p>
        </w:tc>
        <w:tc>
          <w:tcPr>
            <w:tcW w:w="480" w:type="dxa"/>
            <w:vAlign w:val="bottom"/>
            <w:shd w:val="clear" w:color="auto" w:fill="CCEEFF"/>
          </w:tcPr>
          <w:p>
            <w:pPr>
              <w:jc w:val="right"/>
              <w:spacing w:after="0" w:line="125" w:lineRule="exact"/>
              <w:rPr>
                <w:sz w:val="20"/>
                <w:szCs w:val="20"/>
                <w:color w:val="auto"/>
              </w:rPr>
            </w:pPr>
            <w:r>
              <w:rPr>
                <w:rFonts w:ascii="Arial" w:cs="Arial" w:eastAsia="Arial" w:hAnsi="Arial"/>
                <w:sz w:val="11"/>
                <w:szCs w:val="11"/>
                <w:color w:val="050505"/>
              </w:rPr>
              <w:t>10.3</w:t>
            </w:r>
          </w:p>
        </w:tc>
        <w:tc>
          <w:tcPr>
            <w:tcW w:w="260" w:type="dxa"/>
            <w:vAlign w:val="bottom"/>
            <w:shd w:val="clear" w:color="auto" w:fill="CCEEFF"/>
          </w:tcPr>
          <w:p>
            <w:pPr>
              <w:spacing w:after="0"/>
              <w:rPr>
                <w:sz w:val="10"/>
                <w:szCs w:val="10"/>
                <w:color w:val="auto"/>
              </w:rPr>
            </w:pPr>
          </w:p>
        </w:tc>
        <w:tc>
          <w:tcPr>
            <w:tcW w:w="500" w:type="dxa"/>
            <w:vAlign w:val="bottom"/>
            <w:shd w:val="clear" w:color="auto" w:fill="CCEEFF"/>
          </w:tcPr>
          <w:p>
            <w:pPr>
              <w:jc w:val="right"/>
              <w:spacing w:after="0" w:line="125" w:lineRule="exact"/>
              <w:rPr>
                <w:sz w:val="20"/>
                <w:szCs w:val="20"/>
                <w:color w:val="auto"/>
              </w:rPr>
            </w:pPr>
            <w:r>
              <w:rPr>
                <w:rFonts w:ascii="Arial" w:cs="Arial" w:eastAsia="Arial" w:hAnsi="Arial"/>
                <w:sz w:val="11"/>
                <w:szCs w:val="11"/>
                <w:color w:val="050505"/>
              </w:rPr>
              <w:t>4.7</w:t>
            </w:r>
          </w:p>
        </w:tc>
        <w:tc>
          <w:tcPr>
            <w:tcW w:w="260" w:type="dxa"/>
            <w:vAlign w:val="bottom"/>
            <w:shd w:val="clear" w:color="auto" w:fill="CCEEFF"/>
          </w:tcPr>
          <w:p>
            <w:pPr>
              <w:spacing w:after="0"/>
              <w:rPr>
                <w:sz w:val="10"/>
                <w:szCs w:val="10"/>
                <w:color w:val="auto"/>
              </w:rPr>
            </w:pPr>
          </w:p>
        </w:tc>
        <w:tc>
          <w:tcPr>
            <w:tcW w:w="480" w:type="dxa"/>
            <w:vAlign w:val="bottom"/>
            <w:shd w:val="clear" w:color="auto" w:fill="CCEEFF"/>
          </w:tcPr>
          <w:p>
            <w:pPr>
              <w:jc w:val="right"/>
              <w:spacing w:after="0" w:line="125" w:lineRule="exact"/>
              <w:rPr>
                <w:sz w:val="20"/>
                <w:szCs w:val="20"/>
                <w:color w:val="auto"/>
              </w:rPr>
            </w:pPr>
            <w:r>
              <w:rPr>
                <w:rFonts w:ascii="Arial" w:cs="Arial" w:eastAsia="Arial" w:hAnsi="Arial"/>
                <w:sz w:val="11"/>
                <w:szCs w:val="11"/>
                <w:color w:val="050505"/>
              </w:rPr>
              <w:t>4.4</w:t>
            </w:r>
          </w:p>
        </w:tc>
        <w:tc>
          <w:tcPr>
            <w:tcW w:w="220" w:type="dxa"/>
            <w:vAlign w:val="bottom"/>
            <w:shd w:val="clear" w:color="auto" w:fill="CCEEFF"/>
          </w:tcPr>
          <w:p>
            <w:pPr>
              <w:spacing w:after="0"/>
              <w:rPr>
                <w:sz w:val="10"/>
                <w:szCs w:val="10"/>
                <w:color w:val="auto"/>
              </w:rPr>
            </w:pPr>
          </w:p>
        </w:tc>
        <w:tc>
          <w:tcPr>
            <w:tcW w:w="500" w:type="dxa"/>
            <w:vAlign w:val="bottom"/>
            <w:shd w:val="clear" w:color="auto" w:fill="CCEEFF"/>
          </w:tcPr>
          <w:p>
            <w:pPr>
              <w:jc w:val="right"/>
              <w:spacing w:after="0" w:line="125" w:lineRule="exact"/>
              <w:rPr>
                <w:sz w:val="20"/>
                <w:szCs w:val="20"/>
                <w:color w:val="auto"/>
              </w:rPr>
            </w:pPr>
            <w:r>
              <w:rPr>
                <w:rFonts w:ascii="Arial" w:cs="Arial" w:eastAsia="Arial" w:hAnsi="Arial"/>
                <w:sz w:val="11"/>
                <w:szCs w:val="11"/>
                <w:color w:val="050505"/>
              </w:rPr>
              <w:t>7.6</w:t>
            </w:r>
          </w:p>
        </w:tc>
        <w:tc>
          <w:tcPr>
            <w:tcW w:w="160" w:type="dxa"/>
            <w:vAlign w:val="bottom"/>
            <w:shd w:val="clear" w:color="auto" w:fill="CCEEFF"/>
          </w:tcPr>
          <w:p>
            <w:pPr>
              <w:spacing w:after="0"/>
              <w:rPr>
                <w:sz w:val="10"/>
                <w:szCs w:val="10"/>
                <w:color w:val="auto"/>
              </w:rPr>
            </w:pPr>
          </w:p>
        </w:tc>
      </w:tr>
      <w:tr>
        <w:trPr>
          <w:trHeight w:val="126"/>
        </w:trPr>
        <w:tc>
          <w:tcPr>
            <w:tcW w:w="1540" w:type="dxa"/>
            <w:vAlign w:val="bottom"/>
          </w:tcPr>
          <w:p>
            <w:pPr>
              <w:ind w:left="160"/>
              <w:spacing w:after="0"/>
              <w:rPr>
                <w:sz w:val="20"/>
                <w:szCs w:val="20"/>
                <w:color w:val="auto"/>
              </w:rPr>
            </w:pPr>
            <w:r>
              <w:rPr>
                <w:rFonts w:ascii="Arial" w:cs="Arial" w:eastAsia="Arial" w:hAnsi="Arial"/>
                <w:sz w:val="11"/>
                <w:szCs w:val="11"/>
                <w:color w:val="050505"/>
              </w:rPr>
              <w:t>Sales and marketing</w:t>
            </w:r>
          </w:p>
        </w:tc>
        <w:tc>
          <w:tcPr>
            <w:tcW w:w="480" w:type="dxa"/>
            <w:vAlign w:val="bottom"/>
          </w:tcPr>
          <w:p>
            <w:pPr>
              <w:jc w:val="right"/>
              <w:spacing w:after="0"/>
              <w:rPr>
                <w:sz w:val="20"/>
                <w:szCs w:val="20"/>
                <w:color w:val="auto"/>
              </w:rPr>
            </w:pPr>
            <w:r>
              <w:rPr>
                <w:rFonts w:ascii="Arial" w:cs="Arial" w:eastAsia="Arial" w:hAnsi="Arial"/>
                <w:sz w:val="11"/>
                <w:szCs w:val="11"/>
                <w:color w:val="050505"/>
              </w:rPr>
              <w:t>38.4</w:t>
            </w:r>
          </w:p>
        </w:tc>
        <w:tc>
          <w:tcPr>
            <w:tcW w:w="260" w:type="dxa"/>
            <w:vAlign w:val="bottom"/>
          </w:tcPr>
          <w:p>
            <w:pPr>
              <w:spacing w:after="0"/>
              <w:rPr>
                <w:sz w:val="10"/>
                <w:szCs w:val="10"/>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050505"/>
              </w:rPr>
              <w:t>34.6</w:t>
            </w:r>
          </w:p>
        </w:tc>
        <w:tc>
          <w:tcPr>
            <w:tcW w:w="260" w:type="dxa"/>
            <w:vAlign w:val="bottom"/>
          </w:tcPr>
          <w:p>
            <w:pPr>
              <w:spacing w:after="0"/>
              <w:rPr>
                <w:sz w:val="10"/>
                <w:szCs w:val="10"/>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050505"/>
              </w:rPr>
              <w:t>36.7</w:t>
            </w:r>
          </w:p>
        </w:tc>
        <w:tc>
          <w:tcPr>
            <w:tcW w:w="260" w:type="dxa"/>
            <w:vAlign w:val="bottom"/>
          </w:tcPr>
          <w:p>
            <w:pPr>
              <w:spacing w:after="0"/>
              <w:rPr>
                <w:sz w:val="10"/>
                <w:szCs w:val="10"/>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050505"/>
              </w:rPr>
              <w:t>30.5</w:t>
            </w:r>
          </w:p>
        </w:tc>
        <w:tc>
          <w:tcPr>
            <w:tcW w:w="260" w:type="dxa"/>
            <w:vAlign w:val="bottom"/>
          </w:tcPr>
          <w:p>
            <w:pPr>
              <w:spacing w:after="0"/>
              <w:rPr>
                <w:sz w:val="10"/>
                <w:szCs w:val="10"/>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050505"/>
              </w:rPr>
              <w:t>40.5</w:t>
            </w:r>
          </w:p>
        </w:tc>
        <w:tc>
          <w:tcPr>
            <w:tcW w:w="260" w:type="dxa"/>
            <w:vAlign w:val="bottom"/>
          </w:tcPr>
          <w:p>
            <w:pPr>
              <w:spacing w:after="0"/>
              <w:rPr>
                <w:sz w:val="10"/>
                <w:szCs w:val="10"/>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050505"/>
              </w:rPr>
              <w:t>37.9</w:t>
            </w:r>
          </w:p>
        </w:tc>
        <w:tc>
          <w:tcPr>
            <w:tcW w:w="260" w:type="dxa"/>
            <w:vAlign w:val="bottom"/>
          </w:tcPr>
          <w:p>
            <w:pPr>
              <w:spacing w:after="0"/>
              <w:rPr>
                <w:sz w:val="10"/>
                <w:szCs w:val="10"/>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050505"/>
              </w:rPr>
              <w:t>31.9</w:t>
            </w:r>
          </w:p>
        </w:tc>
        <w:tc>
          <w:tcPr>
            <w:tcW w:w="220" w:type="dxa"/>
            <w:vAlign w:val="bottom"/>
          </w:tcPr>
          <w:p>
            <w:pPr>
              <w:spacing w:after="0"/>
              <w:rPr>
                <w:sz w:val="10"/>
                <w:szCs w:val="10"/>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050505"/>
              </w:rPr>
              <w:t>34.9</w:t>
            </w:r>
          </w:p>
        </w:tc>
        <w:tc>
          <w:tcPr>
            <w:tcW w:w="160" w:type="dxa"/>
            <w:vAlign w:val="bottom"/>
          </w:tcPr>
          <w:p>
            <w:pPr>
              <w:spacing w:after="0"/>
              <w:rPr>
                <w:sz w:val="10"/>
                <w:szCs w:val="10"/>
                <w:color w:val="auto"/>
              </w:rPr>
            </w:pPr>
          </w:p>
        </w:tc>
      </w:tr>
      <w:tr>
        <w:trPr>
          <w:trHeight w:val="127"/>
        </w:trPr>
        <w:tc>
          <w:tcPr>
            <w:tcW w:w="1540" w:type="dxa"/>
            <w:vAlign w:val="bottom"/>
            <w:shd w:val="clear" w:color="auto" w:fill="CCEEFF"/>
          </w:tcPr>
          <w:p>
            <w:pPr>
              <w:ind w:left="160"/>
              <w:spacing w:after="0"/>
              <w:rPr>
                <w:sz w:val="20"/>
                <w:szCs w:val="20"/>
                <w:color w:val="auto"/>
              </w:rPr>
            </w:pPr>
            <w:r>
              <w:rPr>
                <w:rFonts w:ascii="Arial" w:cs="Arial" w:eastAsia="Arial" w:hAnsi="Arial"/>
                <w:sz w:val="11"/>
                <w:szCs w:val="11"/>
                <w:color w:val="050505"/>
              </w:rPr>
              <w:t>General and</w:t>
            </w:r>
          </w:p>
        </w:tc>
        <w:tc>
          <w:tcPr>
            <w:tcW w:w="4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r>
      <w:tr>
        <w:trPr>
          <w:trHeight w:val="125"/>
        </w:trPr>
        <w:tc>
          <w:tcPr>
            <w:tcW w:w="1540" w:type="dxa"/>
            <w:vAlign w:val="bottom"/>
            <w:shd w:val="clear" w:color="auto" w:fill="CCEEFF"/>
          </w:tcPr>
          <w:p>
            <w:pPr>
              <w:ind w:left="160"/>
              <w:spacing w:after="0" w:line="125" w:lineRule="exact"/>
              <w:rPr>
                <w:sz w:val="20"/>
                <w:szCs w:val="20"/>
                <w:color w:val="auto"/>
              </w:rPr>
            </w:pPr>
            <w:r>
              <w:rPr>
                <w:rFonts w:ascii="Arial" w:cs="Arial" w:eastAsia="Arial" w:hAnsi="Arial"/>
                <w:sz w:val="11"/>
                <w:szCs w:val="11"/>
                <w:color w:val="050505"/>
              </w:rPr>
              <w:t>administrative</w:t>
            </w:r>
          </w:p>
        </w:tc>
        <w:tc>
          <w:tcPr>
            <w:tcW w:w="480" w:type="dxa"/>
            <w:vAlign w:val="bottom"/>
            <w:tcBorders>
              <w:bottom w:val="single" w:sz="8" w:color="auto"/>
            </w:tcBorders>
            <w:shd w:val="clear" w:color="auto" w:fill="CCEEFF"/>
          </w:tcPr>
          <w:p>
            <w:pPr>
              <w:jc w:val="right"/>
              <w:spacing w:after="0" w:line="125" w:lineRule="exact"/>
              <w:rPr>
                <w:sz w:val="20"/>
                <w:szCs w:val="20"/>
                <w:color w:val="auto"/>
              </w:rPr>
            </w:pPr>
            <w:r>
              <w:rPr>
                <w:rFonts w:ascii="Arial" w:cs="Arial" w:eastAsia="Arial" w:hAnsi="Arial"/>
                <w:sz w:val="11"/>
                <w:szCs w:val="11"/>
                <w:color w:val="050505"/>
              </w:rPr>
              <w:t>21.7</w:t>
            </w:r>
          </w:p>
        </w:tc>
        <w:tc>
          <w:tcPr>
            <w:tcW w:w="260" w:type="dxa"/>
            <w:vAlign w:val="bottom"/>
            <w:shd w:val="clear" w:color="auto" w:fill="CCEEFF"/>
          </w:tcPr>
          <w:p>
            <w:pPr>
              <w:spacing w:after="0"/>
              <w:rPr>
                <w:sz w:val="10"/>
                <w:szCs w:val="10"/>
                <w:color w:val="auto"/>
              </w:rPr>
            </w:pPr>
          </w:p>
        </w:tc>
        <w:tc>
          <w:tcPr>
            <w:tcW w:w="480" w:type="dxa"/>
            <w:vAlign w:val="bottom"/>
            <w:tcBorders>
              <w:bottom w:val="single" w:sz="8" w:color="auto"/>
            </w:tcBorders>
            <w:shd w:val="clear" w:color="auto" w:fill="CCEEFF"/>
          </w:tcPr>
          <w:p>
            <w:pPr>
              <w:jc w:val="right"/>
              <w:spacing w:after="0" w:line="125" w:lineRule="exact"/>
              <w:rPr>
                <w:sz w:val="20"/>
                <w:szCs w:val="20"/>
                <w:color w:val="auto"/>
              </w:rPr>
            </w:pPr>
            <w:r>
              <w:rPr>
                <w:rFonts w:ascii="Arial" w:cs="Arial" w:eastAsia="Arial" w:hAnsi="Arial"/>
                <w:sz w:val="11"/>
                <w:szCs w:val="11"/>
                <w:color w:val="050505"/>
              </w:rPr>
              <w:t>10.2</w:t>
            </w:r>
          </w:p>
        </w:tc>
        <w:tc>
          <w:tcPr>
            <w:tcW w:w="260" w:type="dxa"/>
            <w:vAlign w:val="bottom"/>
            <w:shd w:val="clear" w:color="auto" w:fill="CCEEFF"/>
          </w:tcPr>
          <w:p>
            <w:pPr>
              <w:spacing w:after="0"/>
              <w:rPr>
                <w:sz w:val="10"/>
                <w:szCs w:val="10"/>
                <w:color w:val="auto"/>
              </w:rPr>
            </w:pPr>
          </w:p>
        </w:tc>
        <w:tc>
          <w:tcPr>
            <w:tcW w:w="480" w:type="dxa"/>
            <w:vAlign w:val="bottom"/>
            <w:tcBorders>
              <w:bottom w:val="single" w:sz="8" w:color="auto"/>
            </w:tcBorders>
            <w:shd w:val="clear" w:color="auto" w:fill="CCEEFF"/>
          </w:tcPr>
          <w:p>
            <w:pPr>
              <w:jc w:val="right"/>
              <w:spacing w:after="0" w:line="125" w:lineRule="exact"/>
              <w:rPr>
                <w:sz w:val="20"/>
                <w:szCs w:val="20"/>
                <w:color w:val="auto"/>
              </w:rPr>
            </w:pPr>
            <w:r>
              <w:rPr>
                <w:rFonts w:ascii="Arial" w:cs="Arial" w:eastAsia="Arial" w:hAnsi="Arial"/>
                <w:sz w:val="11"/>
                <w:szCs w:val="11"/>
                <w:color w:val="050505"/>
              </w:rPr>
              <w:t>11.6</w:t>
            </w:r>
          </w:p>
        </w:tc>
        <w:tc>
          <w:tcPr>
            <w:tcW w:w="260" w:type="dxa"/>
            <w:vAlign w:val="bottom"/>
            <w:shd w:val="clear" w:color="auto" w:fill="CCEEFF"/>
          </w:tcPr>
          <w:p>
            <w:pPr>
              <w:spacing w:after="0"/>
              <w:rPr>
                <w:sz w:val="10"/>
                <w:szCs w:val="10"/>
                <w:color w:val="auto"/>
              </w:rPr>
            </w:pPr>
          </w:p>
        </w:tc>
        <w:tc>
          <w:tcPr>
            <w:tcW w:w="480" w:type="dxa"/>
            <w:vAlign w:val="bottom"/>
            <w:tcBorders>
              <w:bottom w:val="single" w:sz="8" w:color="auto"/>
            </w:tcBorders>
            <w:shd w:val="clear" w:color="auto" w:fill="CCEEFF"/>
          </w:tcPr>
          <w:p>
            <w:pPr>
              <w:jc w:val="right"/>
              <w:spacing w:after="0" w:line="125" w:lineRule="exact"/>
              <w:rPr>
                <w:sz w:val="20"/>
                <w:szCs w:val="20"/>
                <w:color w:val="auto"/>
              </w:rPr>
            </w:pPr>
            <w:r>
              <w:rPr>
                <w:rFonts w:ascii="Arial" w:cs="Arial" w:eastAsia="Arial" w:hAnsi="Arial"/>
                <w:sz w:val="11"/>
                <w:szCs w:val="11"/>
                <w:color w:val="050505"/>
              </w:rPr>
              <w:t>19.3</w:t>
            </w:r>
          </w:p>
        </w:tc>
        <w:tc>
          <w:tcPr>
            <w:tcW w:w="260" w:type="dxa"/>
            <w:vAlign w:val="bottom"/>
            <w:shd w:val="clear" w:color="auto" w:fill="CCEEFF"/>
          </w:tcPr>
          <w:p>
            <w:pPr>
              <w:spacing w:after="0"/>
              <w:rPr>
                <w:sz w:val="10"/>
                <w:szCs w:val="10"/>
                <w:color w:val="auto"/>
              </w:rPr>
            </w:pPr>
          </w:p>
        </w:tc>
        <w:tc>
          <w:tcPr>
            <w:tcW w:w="480" w:type="dxa"/>
            <w:vAlign w:val="bottom"/>
            <w:tcBorders>
              <w:bottom w:val="single" w:sz="8" w:color="auto"/>
            </w:tcBorders>
            <w:shd w:val="clear" w:color="auto" w:fill="CCEEFF"/>
          </w:tcPr>
          <w:p>
            <w:pPr>
              <w:jc w:val="right"/>
              <w:spacing w:after="0" w:line="125" w:lineRule="exact"/>
              <w:rPr>
                <w:sz w:val="20"/>
                <w:szCs w:val="20"/>
                <w:color w:val="auto"/>
              </w:rPr>
            </w:pPr>
            <w:r>
              <w:rPr>
                <w:rFonts w:ascii="Arial" w:cs="Arial" w:eastAsia="Arial" w:hAnsi="Arial"/>
                <w:sz w:val="11"/>
                <w:szCs w:val="11"/>
                <w:color w:val="050505"/>
              </w:rPr>
              <w:t>44.6</w:t>
            </w:r>
          </w:p>
        </w:tc>
        <w:tc>
          <w:tcPr>
            <w:tcW w:w="260" w:type="dxa"/>
            <w:vAlign w:val="bottom"/>
            <w:shd w:val="clear" w:color="auto" w:fill="CCEEFF"/>
          </w:tcPr>
          <w:p>
            <w:pPr>
              <w:spacing w:after="0"/>
              <w:rPr>
                <w:sz w:val="10"/>
                <w:szCs w:val="10"/>
                <w:color w:val="auto"/>
              </w:rPr>
            </w:pPr>
          </w:p>
        </w:tc>
        <w:tc>
          <w:tcPr>
            <w:tcW w:w="500" w:type="dxa"/>
            <w:vAlign w:val="bottom"/>
            <w:tcBorders>
              <w:bottom w:val="single" w:sz="8" w:color="auto"/>
            </w:tcBorders>
            <w:shd w:val="clear" w:color="auto" w:fill="CCEEFF"/>
          </w:tcPr>
          <w:p>
            <w:pPr>
              <w:jc w:val="right"/>
              <w:spacing w:after="0" w:line="125" w:lineRule="exact"/>
              <w:rPr>
                <w:sz w:val="20"/>
                <w:szCs w:val="20"/>
                <w:color w:val="auto"/>
              </w:rPr>
            </w:pPr>
            <w:r>
              <w:rPr>
                <w:rFonts w:ascii="Arial" w:cs="Arial" w:eastAsia="Arial" w:hAnsi="Arial"/>
                <w:sz w:val="11"/>
                <w:szCs w:val="11"/>
                <w:color w:val="050505"/>
              </w:rPr>
              <w:t>21.1</w:t>
            </w:r>
          </w:p>
        </w:tc>
        <w:tc>
          <w:tcPr>
            <w:tcW w:w="260" w:type="dxa"/>
            <w:vAlign w:val="bottom"/>
            <w:shd w:val="clear" w:color="auto" w:fill="CCEEFF"/>
          </w:tcPr>
          <w:p>
            <w:pPr>
              <w:spacing w:after="0"/>
              <w:rPr>
                <w:sz w:val="10"/>
                <w:szCs w:val="10"/>
                <w:color w:val="auto"/>
              </w:rPr>
            </w:pPr>
          </w:p>
        </w:tc>
        <w:tc>
          <w:tcPr>
            <w:tcW w:w="480" w:type="dxa"/>
            <w:vAlign w:val="bottom"/>
            <w:tcBorders>
              <w:bottom w:val="single" w:sz="8" w:color="auto"/>
            </w:tcBorders>
            <w:shd w:val="clear" w:color="auto" w:fill="CCEEFF"/>
          </w:tcPr>
          <w:p>
            <w:pPr>
              <w:jc w:val="right"/>
              <w:spacing w:after="0" w:line="125" w:lineRule="exact"/>
              <w:rPr>
                <w:sz w:val="20"/>
                <w:szCs w:val="20"/>
                <w:color w:val="auto"/>
              </w:rPr>
            </w:pPr>
            <w:r>
              <w:rPr>
                <w:rFonts w:ascii="Arial" w:cs="Arial" w:eastAsia="Arial" w:hAnsi="Arial"/>
                <w:sz w:val="11"/>
                <w:szCs w:val="11"/>
                <w:color w:val="050505"/>
              </w:rPr>
              <w:t>14.9</w:t>
            </w:r>
          </w:p>
        </w:tc>
        <w:tc>
          <w:tcPr>
            <w:tcW w:w="220" w:type="dxa"/>
            <w:vAlign w:val="bottom"/>
            <w:shd w:val="clear" w:color="auto" w:fill="CCEEFF"/>
          </w:tcPr>
          <w:p>
            <w:pPr>
              <w:spacing w:after="0"/>
              <w:rPr>
                <w:sz w:val="10"/>
                <w:szCs w:val="10"/>
                <w:color w:val="auto"/>
              </w:rPr>
            </w:pPr>
          </w:p>
        </w:tc>
        <w:tc>
          <w:tcPr>
            <w:tcW w:w="500" w:type="dxa"/>
            <w:vAlign w:val="bottom"/>
            <w:tcBorders>
              <w:bottom w:val="single" w:sz="8" w:color="auto"/>
            </w:tcBorders>
            <w:shd w:val="clear" w:color="auto" w:fill="CCEEFF"/>
          </w:tcPr>
          <w:p>
            <w:pPr>
              <w:jc w:val="right"/>
              <w:spacing w:after="0" w:line="125" w:lineRule="exact"/>
              <w:rPr>
                <w:sz w:val="20"/>
                <w:szCs w:val="20"/>
                <w:color w:val="auto"/>
              </w:rPr>
            </w:pPr>
            <w:r>
              <w:rPr>
                <w:rFonts w:ascii="Arial" w:cs="Arial" w:eastAsia="Arial" w:hAnsi="Arial"/>
                <w:sz w:val="11"/>
                <w:szCs w:val="11"/>
                <w:color w:val="050505"/>
              </w:rPr>
              <w:t>24.4</w:t>
            </w:r>
          </w:p>
        </w:tc>
        <w:tc>
          <w:tcPr>
            <w:tcW w:w="160" w:type="dxa"/>
            <w:vAlign w:val="bottom"/>
            <w:shd w:val="clear" w:color="auto" w:fill="CCEEFF"/>
          </w:tcPr>
          <w:p>
            <w:pPr>
              <w:spacing w:after="0"/>
              <w:rPr>
                <w:sz w:val="10"/>
                <w:szCs w:val="10"/>
                <w:color w:val="auto"/>
              </w:rPr>
            </w:pPr>
          </w:p>
        </w:tc>
      </w:tr>
      <w:tr>
        <w:trPr>
          <w:trHeight w:val="125"/>
        </w:trPr>
        <w:tc>
          <w:tcPr>
            <w:tcW w:w="1540" w:type="dxa"/>
            <w:vAlign w:val="bottom"/>
          </w:tcPr>
          <w:p>
            <w:pPr>
              <w:ind w:left="280"/>
              <w:spacing w:after="0" w:line="125" w:lineRule="exact"/>
              <w:rPr>
                <w:sz w:val="20"/>
                <w:szCs w:val="20"/>
                <w:color w:val="auto"/>
              </w:rPr>
            </w:pPr>
            <w:r>
              <w:rPr>
                <w:rFonts w:ascii="Arial" w:cs="Arial" w:eastAsia="Arial" w:hAnsi="Arial"/>
                <w:sz w:val="11"/>
                <w:szCs w:val="11"/>
                <w:color w:val="050505"/>
              </w:rPr>
              <w:t>Total operating</w:t>
            </w:r>
          </w:p>
        </w:tc>
        <w:tc>
          <w:tcPr>
            <w:tcW w:w="4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60" w:type="dxa"/>
            <w:vAlign w:val="bottom"/>
          </w:tcPr>
          <w:p>
            <w:pPr>
              <w:spacing w:after="0"/>
              <w:rPr>
                <w:sz w:val="10"/>
                <w:szCs w:val="10"/>
                <w:color w:val="auto"/>
              </w:rPr>
            </w:pPr>
          </w:p>
        </w:tc>
      </w:tr>
      <w:tr>
        <w:trPr>
          <w:trHeight w:val="125"/>
        </w:trPr>
        <w:tc>
          <w:tcPr>
            <w:tcW w:w="1540" w:type="dxa"/>
            <w:vAlign w:val="bottom"/>
          </w:tcPr>
          <w:p>
            <w:pPr>
              <w:ind w:left="160"/>
              <w:spacing w:after="0" w:line="125" w:lineRule="exact"/>
              <w:rPr>
                <w:sz w:val="20"/>
                <w:szCs w:val="20"/>
                <w:color w:val="auto"/>
              </w:rPr>
            </w:pPr>
            <w:r>
              <w:rPr>
                <w:rFonts w:ascii="Arial" w:cs="Arial" w:eastAsia="Arial" w:hAnsi="Arial"/>
                <w:sz w:val="11"/>
                <w:szCs w:val="11"/>
                <w:color w:val="050505"/>
              </w:rPr>
              <w:t>expenses</w:t>
            </w:r>
          </w:p>
        </w:tc>
        <w:tc>
          <w:tcPr>
            <w:tcW w:w="480" w:type="dxa"/>
            <w:vAlign w:val="bottom"/>
            <w:tcBorders>
              <w:bottom w:val="single" w:sz="8" w:color="auto"/>
            </w:tcBorders>
          </w:tcPr>
          <w:p>
            <w:pPr>
              <w:jc w:val="right"/>
              <w:spacing w:after="0" w:line="125" w:lineRule="exact"/>
              <w:rPr>
                <w:sz w:val="20"/>
                <w:szCs w:val="20"/>
                <w:color w:val="auto"/>
              </w:rPr>
            </w:pPr>
            <w:r>
              <w:rPr>
                <w:rFonts w:ascii="Arial" w:cs="Arial" w:eastAsia="Arial" w:hAnsi="Arial"/>
                <w:sz w:val="11"/>
                <w:szCs w:val="11"/>
                <w:color w:val="050505"/>
              </w:rPr>
              <w:t>68.8</w:t>
            </w:r>
          </w:p>
        </w:tc>
        <w:tc>
          <w:tcPr>
            <w:tcW w:w="260" w:type="dxa"/>
            <w:vAlign w:val="bottom"/>
          </w:tcPr>
          <w:p>
            <w:pPr>
              <w:spacing w:after="0"/>
              <w:rPr>
                <w:sz w:val="10"/>
                <w:szCs w:val="10"/>
                <w:color w:val="auto"/>
              </w:rPr>
            </w:pPr>
          </w:p>
        </w:tc>
        <w:tc>
          <w:tcPr>
            <w:tcW w:w="480" w:type="dxa"/>
            <w:vAlign w:val="bottom"/>
            <w:tcBorders>
              <w:bottom w:val="single" w:sz="8" w:color="auto"/>
            </w:tcBorders>
          </w:tcPr>
          <w:p>
            <w:pPr>
              <w:jc w:val="right"/>
              <w:spacing w:after="0" w:line="125" w:lineRule="exact"/>
              <w:rPr>
                <w:sz w:val="20"/>
                <w:szCs w:val="20"/>
                <w:color w:val="auto"/>
              </w:rPr>
            </w:pPr>
            <w:r>
              <w:rPr>
                <w:rFonts w:ascii="Arial" w:cs="Arial" w:eastAsia="Arial" w:hAnsi="Arial"/>
                <w:sz w:val="11"/>
                <w:szCs w:val="11"/>
                <w:color w:val="050505"/>
              </w:rPr>
              <w:t>48.5</w:t>
            </w:r>
          </w:p>
        </w:tc>
        <w:tc>
          <w:tcPr>
            <w:tcW w:w="260" w:type="dxa"/>
            <w:vAlign w:val="bottom"/>
          </w:tcPr>
          <w:p>
            <w:pPr>
              <w:spacing w:after="0"/>
              <w:rPr>
                <w:sz w:val="10"/>
                <w:szCs w:val="10"/>
                <w:color w:val="auto"/>
              </w:rPr>
            </w:pPr>
          </w:p>
        </w:tc>
        <w:tc>
          <w:tcPr>
            <w:tcW w:w="480" w:type="dxa"/>
            <w:vAlign w:val="bottom"/>
            <w:tcBorders>
              <w:bottom w:val="single" w:sz="8" w:color="auto"/>
            </w:tcBorders>
          </w:tcPr>
          <w:p>
            <w:pPr>
              <w:jc w:val="right"/>
              <w:spacing w:after="0" w:line="125" w:lineRule="exact"/>
              <w:rPr>
                <w:sz w:val="20"/>
                <w:szCs w:val="20"/>
                <w:color w:val="auto"/>
              </w:rPr>
            </w:pPr>
            <w:r>
              <w:rPr>
                <w:rFonts w:ascii="Arial" w:cs="Arial" w:eastAsia="Arial" w:hAnsi="Arial"/>
                <w:sz w:val="11"/>
                <w:szCs w:val="11"/>
                <w:color w:val="050505"/>
              </w:rPr>
              <w:t>53.2</w:t>
            </w:r>
          </w:p>
        </w:tc>
        <w:tc>
          <w:tcPr>
            <w:tcW w:w="260" w:type="dxa"/>
            <w:vAlign w:val="bottom"/>
          </w:tcPr>
          <w:p>
            <w:pPr>
              <w:spacing w:after="0"/>
              <w:rPr>
                <w:sz w:val="10"/>
                <w:szCs w:val="10"/>
                <w:color w:val="auto"/>
              </w:rPr>
            </w:pPr>
          </w:p>
        </w:tc>
        <w:tc>
          <w:tcPr>
            <w:tcW w:w="480" w:type="dxa"/>
            <w:vAlign w:val="bottom"/>
            <w:tcBorders>
              <w:bottom w:val="single" w:sz="8" w:color="auto"/>
            </w:tcBorders>
          </w:tcPr>
          <w:p>
            <w:pPr>
              <w:jc w:val="right"/>
              <w:spacing w:after="0" w:line="125" w:lineRule="exact"/>
              <w:rPr>
                <w:sz w:val="20"/>
                <w:szCs w:val="20"/>
                <w:color w:val="auto"/>
              </w:rPr>
            </w:pPr>
            <w:r>
              <w:rPr>
                <w:rFonts w:ascii="Arial" w:cs="Arial" w:eastAsia="Arial" w:hAnsi="Arial"/>
                <w:sz w:val="11"/>
                <w:szCs w:val="11"/>
                <w:color w:val="050505"/>
              </w:rPr>
              <w:t>56.1</w:t>
            </w:r>
          </w:p>
        </w:tc>
        <w:tc>
          <w:tcPr>
            <w:tcW w:w="260" w:type="dxa"/>
            <w:vAlign w:val="bottom"/>
          </w:tcPr>
          <w:p>
            <w:pPr>
              <w:spacing w:after="0"/>
              <w:rPr>
                <w:sz w:val="10"/>
                <w:szCs w:val="10"/>
                <w:color w:val="auto"/>
              </w:rPr>
            </w:pPr>
          </w:p>
        </w:tc>
        <w:tc>
          <w:tcPr>
            <w:tcW w:w="480" w:type="dxa"/>
            <w:vAlign w:val="bottom"/>
            <w:tcBorders>
              <w:bottom w:val="single" w:sz="8" w:color="auto"/>
            </w:tcBorders>
          </w:tcPr>
          <w:p>
            <w:pPr>
              <w:jc w:val="right"/>
              <w:spacing w:after="0" w:line="125" w:lineRule="exact"/>
              <w:rPr>
                <w:sz w:val="20"/>
                <w:szCs w:val="20"/>
                <w:color w:val="auto"/>
              </w:rPr>
            </w:pPr>
            <w:r>
              <w:rPr>
                <w:rFonts w:ascii="Arial" w:cs="Arial" w:eastAsia="Arial" w:hAnsi="Arial"/>
                <w:sz w:val="11"/>
                <w:szCs w:val="11"/>
                <w:color w:val="050505"/>
              </w:rPr>
              <w:t>95.5</w:t>
            </w:r>
          </w:p>
        </w:tc>
        <w:tc>
          <w:tcPr>
            <w:tcW w:w="260" w:type="dxa"/>
            <w:vAlign w:val="bottom"/>
          </w:tcPr>
          <w:p>
            <w:pPr>
              <w:spacing w:after="0"/>
              <w:rPr>
                <w:sz w:val="10"/>
                <w:szCs w:val="10"/>
                <w:color w:val="auto"/>
              </w:rPr>
            </w:pPr>
          </w:p>
        </w:tc>
        <w:tc>
          <w:tcPr>
            <w:tcW w:w="500" w:type="dxa"/>
            <w:vAlign w:val="bottom"/>
            <w:tcBorders>
              <w:bottom w:val="single" w:sz="8" w:color="auto"/>
            </w:tcBorders>
          </w:tcPr>
          <w:p>
            <w:pPr>
              <w:jc w:val="right"/>
              <w:spacing w:after="0" w:line="125" w:lineRule="exact"/>
              <w:rPr>
                <w:sz w:val="20"/>
                <w:szCs w:val="20"/>
                <w:color w:val="auto"/>
              </w:rPr>
            </w:pPr>
            <w:r>
              <w:rPr>
                <w:rFonts w:ascii="Arial" w:cs="Arial" w:eastAsia="Arial" w:hAnsi="Arial"/>
                <w:sz w:val="11"/>
                <w:szCs w:val="11"/>
                <w:color w:val="050505"/>
              </w:rPr>
              <w:t>63.6</w:t>
            </w:r>
          </w:p>
        </w:tc>
        <w:tc>
          <w:tcPr>
            <w:tcW w:w="260" w:type="dxa"/>
            <w:vAlign w:val="bottom"/>
          </w:tcPr>
          <w:p>
            <w:pPr>
              <w:spacing w:after="0"/>
              <w:rPr>
                <w:sz w:val="10"/>
                <w:szCs w:val="10"/>
                <w:color w:val="auto"/>
              </w:rPr>
            </w:pPr>
          </w:p>
        </w:tc>
        <w:tc>
          <w:tcPr>
            <w:tcW w:w="480" w:type="dxa"/>
            <w:vAlign w:val="bottom"/>
            <w:tcBorders>
              <w:bottom w:val="single" w:sz="8" w:color="auto"/>
            </w:tcBorders>
          </w:tcPr>
          <w:p>
            <w:pPr>
              <w:jc w:val="right"/>
              <w:spacing w:after="0" w:line="125" w:lineRule="exact"/>
              <w:rPr>
                <w:sz w:val="20"/>
                <w:szCs w:val="20"/>
                <w:color w:val="auto"/>
              </w:rPr>
            </w:pPr>
            <w:r>
              <w:rPr>
                <w:rFonts w:ascii="Arial" w:cs="Arial" w:eastAsia="Arial" w:hAnsi="Arial"/>
                <w:sz w:val="11"/>
                <w:szCs w:val="11"/>
                <w:color w:val="050505"/>
              </w:rPr>
              <w:t>51.1</w:t>
            </w:r>
          </w:p>
        </w:tc>
        <w:tc>
          <w:tcPr>
            <w:tcW w:w="220" w:type="dxa"/>
            <w:vAlign w:val="bottom"/>
          </w:tcPr>
          <w:p>
            <w:pPr>
              <w:spacing w:after="0"/>
              <w:rPr>
                <w:sz w:val="10"/>
                <w:szCs w:val="10"/>
                <w:color w:val="auto"/>
              </w:rPr>
            </w:pPr>
          </w:p>
        </w:tc>
        <w:tc>
          <w:tcPr>
            <w:tcW w:w="500" w:type="dxa"/>
            <w:vAlign w:val="bottom"/>
            <w:tcBorders>
              <w:bottom w:val="single" w:sz="8" w:color="auto"/>
            </w:tcBorders>
          </w:tcPr>
          <w:p>
            <w:pPr>
              <w:jc w:val="right"/>
              <w:spacing w:after="0" w:line="125" w:lineRule="exact"/>
              <w:rPr>
                <w:sz w:val="20"/>
                <w:szCs w:val="20"/>
                <w:color w:val="auto"/>
              </w:rPr>
            </w:pPr>
            <w:r>
              <w:rPr>
                <w:rFonts w:ascii="Arial" w:cs="Arial" w:eastAsia="Arial" w:hAnsi="Arial"/>
                <w:sz w:val="11"/>
                <w:szCs w:val="11"/>
                <w:color w:val="050505"/>
              </w:rPr>
              <w:t>66.9</w:t>
            </w:r>
          </w:p>
        </w:tc>
        <w:tc>
          <w:tcPr>
            <w:tcW w:w="160" w:type="dxa"/>
            <w:vAlign w:val="bottom"/>
          </w:tcPr>
          <w:p>
            <w:pPr>
              <w:spacing w:after="0"/>
              <w:rPr>
                <w:sz w:val="10"/>
                <w:szCs w:val="10"/>
                <w:color w:val="auto"/>
              </w:rPr>
            </w:pPr>
          </w:p>
        </w:tc>
      </w:tr>
      <w:tr>
        <w:trPr>
          <w:trHeight w:val="124"/>
        </w:trPr>
        <w:tc>
          <w:tcPr>
            <w:tcW w:w="1540" w:type="dxa"/>
            <w:vAlign w:val="bottom"/>
            <w:shd w:val="clear" w:color="auto" w:fill="CCEEFF"/>
          </w:tcPr>
          <w:p>
            <w:pPr>
              <w:ind w:left="40"/>
              <w:spacing w:after="0" w:line="124" w:lineRule="exact"/>
              <w:rPr>
                <w:sz w:val="20"/>
                <w:szCs w:val="20"/>
                <w:color w:val="auto"/>
              </w:rPr>
            </w:pPr>
            <w:r>
              <w:rPr>
                <w:rFonts w:ascii="Arial" w:cs="Arial" w:eastAsia="Arial" w:hAnsi="Arial"/>
                <w:sz w:val="11"/>
                <w:szCs w:val="11"/>
                <w:color w:val="050505"/>
              </w:rPr>
              <w:t>Loss from operations</w:t>
            </w:r>
          </w:p>
        </w:tc>
        <w:tc>
          <w:tcPr>
            <w:tcW w:w="740" w:type="dxa"/>
            <w:vAlign w:val="bottom"/>
            <w:gridSpan w:val="2"/>
            <w:shd w:val="clear" w:color="auto" w:fill="CCEEFF"/>
          </w:tcPr>
          <w:p>
            <w:pPr>
              <w:jc w:val="right"/>
              <w:ind w:right="220"/>
              <w:spacing w:after="0" w:line="124" w:lineRule="exact"/>
              <w:rPr>
                <w:sz w:val="20"/>
                <w:szCs w:val="20"/>
                <w:color w:val="auto"/>
              </w:rPr>
            </w:pPr>
            <w:r>
              <w:rPr>
                <w:rFonts w:ascii="Arial" w:cs="Arial" w:eastAsia="Arial" w:hAnsi="Arial"/>
                <w:sz w:val="11"/>
                <w:szCs w:val="11"/>
                <w:color w:val="050505"/>
              </w:rPr>
              <w:t>(30.2)</w:t>
            </w:r>
          </w:p>
        </w:tc>
        <w:tc>
          <w:tcPr>
            <w:tcW w:w="740" w:type="dxa"/>
            <w:vAlign w:val="bottom"/>
            <w:gridSpan w:val="2"/>
            <w:shd w:val="clear" w:color="auto" w:fill="CCEEFF"/>
          </w:tcPr>
          <w:p>
            <w:pPr>
              <w:jc w:val="right"/>
              <w:ind w:right="220"/>
              <w:spacing w:after="0" w:line="124" w:lineRule="exact"/>
              <w:rPr>
                <w:sz w:val="20"/>
                <w:szCs w:val="20"/>
                <w:color w:val="auto"/>
              </w:rPr>
            </w:pPr>
            <w:r>
              <w:rPr>
                <w:rFonts w:ascii="Arial" w:cs="Arial" w:eastAsia="Arial" w:hAnsi="Arial"/>
                <w:sz w:val="11"/>
                <w:szCs w:val="11"/>
                <w:color w:val="050505"/>
              </w:rPr>
              <w:t>(3.2)</w:t>
            </w:r>
          </w:p>
        </w:tc>
        <w:tc>
          <w:tcPr>
            <w:tcW w:w="740" w:type="dxa"/>
            <w:vAlign w:val="bottom"/>
            <w:gridSpan w:val="2"/>
            <w:shd w:val="clear" w:color="auto" w:fill="CCEEFF"/>
          </w:tcPr>
          <w:p>
            <w:pPr>
              <w:jc w:val="right"/>
              <w:ind w:right="192"/>
              <w:spacing w:after="0" w:line="124" w:lineRule="exact"/>
              <w:rPr>
                <w:sz w:val="20"/>
                <w:szCs w:val="20"/>
                <w:color w:val="auto"/>
              </w:rPr>
            </w:pPr>
            <w:r>
              <w:rPr>
                <w:rFonts w:ascii="Arial" w:cs="Arial" w:eastAsia="Arial" w:hAnsi="Arial"/>
                <w:sz w:val="11"/>
                <w:szCs w:val="11"/>
                <w:color w:val="050505"/>
              </w:rPr>
              <w:t>(10.8)</w:t>
            </w:r>
          </w:p>
        </w:tc>
        <w:tc>
          <w:tcPr>
            <w:tcW w:w="740" w:type="dxa"/>
            <w:vAlign w:val="bottom"/>
            <w:gridSpan w:val="2"/>
            <w:shd w:val="clear" w:color="auto" w:fill="CCEEFF"/>
          </w:tcPr>
          <w:p>
            <w:pPr>
              <w:jc w:val="right"/>
              <w:ind w:right="240"/>
              <w:spacing w:after="0" w:line="124" w:lineRule="exact"/>
              <w:rPr>
                <w:sz w:val="20"/>
                <w:szCs w:val="20"/>
                <w:color w:val="auto"/>
              </w:rPr>
            </w:pPr>
            <w:r>
              <w:rPr>
                <w:rFonts w:ascii="Arial" w:cs="Arial" w:eastAsia="Arial" w:hAnsi="Arial"/>
                <w:sz w:val="11"/>
                <w:szCs w:val="11"/>
                <w:color w:val="050505"/>
              </w:rPr>
              <w:t>(10.4)</w:t>
            </w:r>
          </w:p>
        </w:tc>
        <w:tc>
          <w:tcPr>
            <w:tcW w:w="740" w:type="dxa"/>
            <w:vAlign w:val="bottom"/>
            <w:gridSpan w:val="2"/>
            <w:shd w:val="clear" w:color="auto" w:fill="CCEEFF"/>
          </w:tcPr>
          <w:p>
            <w:pPr>
              <w:jc w:val="right"/>
              <w:ind w:right="220"/>
              <w:spacing w:after="0" w:line="124" w:lineRule="exact"/>
              <w:rPr>
                <w:sz w:val="20"/>
                <w:szCs w:val="20"/>
                <w:color w:val="auto"/>
              </w:rPr>
            </w:pPr>
            <w:r>
              <w:rPr>
                <w:rFonts w:ascii="Arial" w:cs="Arial" w:eastAsia="Arial" w:hAnsi="Arial"/>
                <w:sz w:val="11"/>
                <w:szCs w:val="11"/>
                <w:color w:val="050505"/>
              </w:rPr>
              <w:t>(49.5)</w:t>
            </w:r>
          </w:p>
        </w:tc>
        <w:tc>
          <w:tcPr>
            <w:tcW w:w="760" w:type="dxa"/>
            <w:vAlign w:val="bottom"/>
            <w:gridSpan w:val="2"/>
            <w:shd w:val="clear" w:color="auto" w:fill="CCEEFF"/>
          </w:tcPr>
          <w:p>
            <w:pPr>
              <w:jc w:val="right"/>
              <w:ind w:right="240"/>
              <w:spacing w:after="0" w:line="124" w:lineRule="exact"/>
              <w:rPr>
                <w:sz w:val="20"/>
                <w:szCs w:val="20"/>
                <w:color w:val="auto"/>
              </w:rPr>
            </w:pPr>
            <w:r>
              <w:rPr>
                <w:rFonts w:ascii="Arial" w:cs="Arial" w:eastAsia="Arial" w:hAnsi="Arial"/>
                <w:sz w:val="11"/>
                <w:szCs w:val="11"/>
                <w:color w:val="050505"/>
              </w:rPr>
              <w:t>(21.3)</w:t>
            </w:r>
          </w:p>
        </w:tc>
        <w:tc>
          <w:tcPr>
            <w:tcW w:w="700" w:type="dxa"/>
            <w:vAlign w:val="bottom"/>
            <w:gridSpan w:val="2"/>
            <w:shd w:val="clear" w:color="auto" w:fill="CCEEFF"/>
          </w:tcPr>
          <w:p>
            <w:pPr>
              <w:jc w:val="right"/>
              <w:ind w:right="180"/>
              <w:spacing w:after="0" w:line="124" w:lineRule="exact"/>
              <w:rPr>
                <w:sz w:val="20"/>
                <w:szCs w:val="20"/>
                <w:color w:val="auto"/>
              </w:rPr>
            </w:pPr>
            <w:r>
              <w:rPr>
                <w:rFonts w:ascii="Arial" w:cs="Arial" w:eastAsia="Arial" w:hAnsi="Arial"/>
                <w:sz w:val="11"/>
                <w:szCs w:val="11"/>
                <w:color w:val="050505"/>
              </w:rPr>
              <w:t>(13.1)</w:t>
            </w:r>
          </w:p>
        </w:tc>
        <w:tc>
          <w:tcPr>
            <w:tcW w:w="660" w:type="dxa"/>
            <w:vAlign w:val="bottom"/>
            <w:gridSpan w:val="2"/>
            <w:shd w:val="clear" w:color="auto" w:fill="CCEEFF"/>
          </w:tcPr>
          <w:p>
            <w:pPr>
              <w:jc w:val="right"/>
              <w:ind w:right="140"/>
              <w:spacing w:after="0" w:line="124" w:lineRule="exact"/>
              <w:rPr>
                <w:sz w:val="20"/>
                <w:szCs w:val="20"/>
                <w:color w:val="auto"/>
              </w:rPr>
            </w:pPr>
            <w:r>
              <w:rPr>
                <w:rFonts w:ascii="Arial" w:cs="Arial" w:eastAsia="Arial" w:hAnsi="Arial"/>
                <w:sz w:val="11"/>
                <w:szCs w:val="11"/>
                <w:color w:val="050505"/>
              </w:rPr>
              <w:t>(22.1)</w:t>
            </w:r>
          </w:p>
        </w:tc>
      </w:tr>
      <w:tr>
        <w:trPr>
          <w:trHeight w:val="126"/>
        </w:trPr>
        <w:tc>
          <w:tcPr>
            <w:tcW w:w="1540" w:type="dxa"/>
            <w:vAlign w:val="bottom"/>
          </w:tcPr>
          <w:p>
            <w:pPr>
              <w:ind w:left="40"/>
              <w:spacing w:after="0"/>
              <w:rPr>
                <w:sz w:val="20"/>
                <w:szCs w:val="20"/>
                <w:color w:val="auto"/>
              </w:rPr>
            </w:pPr>
            <w:r>
              <w:rPr>
                <w:rFonts w:ascii="Arial" w:cs="Arial" w:eastAsia="Arial" w:hAnsi="Arial"/>
                <w:sz w:val="11"/>
                <w:szCs w:val="11"/>
                <w:color w:val="050505"/>
              </w:rPr>
              <w:t>Other (expense) income, net</w:t>
            </w:r>
          </w:p>
        </w:tc>
        <w:tc>
          <w:tcPr>
            <w:tcW w:w="740" w:type="dxa"/>
            <w:vAlign w:val="bottom"/>
            <w:gridSpan w:val="2"/>
          </w:tcPr>
          <w:p>
            <w:pPr>
              <w:jc w:val="right"/>
              <w:ind w:right="220"/>
              <w:spacing w:after="0"/>
              <w:rPr>
                <w:sz w:val="20"/>
                <w:szCs w:val="20"/>
                <w:color w:val="auto"/>
              </w:rPr>
            </w:pPr>
            <w:r>
              <w:rPr>
                <w:rFonts w:ascii="Arial" w:cs="Arial" w:eastAsia="Arial" w:hAnsi="Arial"/>
                <w:sz w:val="11"/>
                <w:szCs w:val="11"/>
                <w:color w:val="050505"/>
              </w:rPr>
              <w:t>(0.1)</w:t>
            </w:r>
          </w:p>
        </w:tc>
        <w:tc>
          <w:tcPr>
            <w:tcW w:w="740" w:type="dxa"/>
            <w:vAlign w:val="bottom"/>
            <w:gridSpan w:val="2"/>
          </w:tcPr>
          <w:p>
            <w:pPr>
              <w:jc w:val="right"/>
              <w:ind w:right="220"/>
              <w:spacing w:after="0"/>
              <w:rPr>
                <w:sz w:val="20"/>
                <w:szCs w:val="20"/>
                <w:color w:val="auto"/>
              </w:rPr>
            </w:pPr>
            <w:r>
              <w:rPr>
                <w:rFonts w:ascii="Arial" w:cs="Arial" w:eastAsia="Arial" w:hAnsi="Arial"/>
                <w:sz w:val="11"/>
                <w:szCs w:val="11"/>
                <w:color w:val="050505"/>
              </w:rPr>
              <w:t>(0.2)</w:t>
            </w:r>
          </w:p>
        </w:tc>
        <w:tc>
          <w:tcPr>
            <w:tcW w:w="740" w:type="dxa"/>
            <w:vAlign w:val="bottom"/>
            <w:gridSpan w:val="2"/>
          </w:tcPr>
          <w:p>
            <w:pPr>
              <w:jc w:val="right"/>
              <w:ind w:right="192"/>
              <w:spacing w:after="0"/>
              <w:rPr>
                <w:sz w:val="20"/>
                <w:szCs w:val="20"/>
                <w:color w:val="auto"/>
              </w:rPr>
            </w:pPr>
            <w:r>
              <w:rPr>
                <w:rFonts w:ascii="Arial" w:cs="Arial" w:eastAsia="Arial" w:hAnsi="Arial"/>
                <w:sz w:val="11"/>
                <w:szCs w:val="11"/>
                <w:color w:val="050505"/>
              </w:rPr>
              <w:t>(0.1)</w:t>
            </w:r>
          </w:p>
        </w:tc>
        <w:tc>
          <w:tcPr>
            <w:tcW w:w="480" w:type="dxa"/>
            <w:vAlign w:val="bottom"/>
          </w:tcPr>
          <w:p>
            <w:pPr>
              <w:jc w:val="right"/>
              <w:spacing w:after="0"/>
              <w:rPr>
                <w:sz w:val="20"/>
                <w:szCs w:val="20"/>
                <w:color w:val="auto"/>
              </w:rPr>
            </w:pPr>
            <w:r>
              <w:rPr>
                <w:rFonts w:ascii="Arial" w:cs="Arial" w:eastAsia="Arial" w:hAnsi="Arial"/>
                <w:sz w:val="11"/>
                <w:szCs w:val="11"/>
                <w:color w:val="050505"/>
              </w:rPr>
              <w:t>0.2</w:t>
            </w:r>
          </w:p>
        </w:tc>
        <w:tc>
          <w:tcPr>
            <w:tcW w:w="260" w:type="dxa"/>
            <w:vAlign w:val="bottom"/>
          </w:tcPr>
          <w:p>
            <w:pPr>
              <w:spacing w:after="0"/>
              <w:rPr>
                <w:sz w:val="10"/>
                <w:szCs w:val="10"/>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050505"/>
              </w:rPr>
              <w:t>0.9</w:t>
            </w:r>
          </w:p>
        </w:tc>
        <w:tc>
          <w:tcPr>
            <w:tcW w:w="260" w:type="dxa"/>
            <w:vAlign w:val="bottom"/>
          </w:tcPr>
          <w:p>
            <w:pPr>
              <w:spacing w:after="0"/>
              <w:rPr>
                <w:sz w:val="10"/>
                <w:szCs w:val="10"/>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050505"/>
              </w:rPr>
              <w:t>0.3</w:t>
            </w:r>
          </w:p>
        </w:tc>
        <w:tc>
          <w:tcPr>
            <w:tcW w:w="260" w:type="dxa"/>
            <w:vAlign w:val="bottom"/>
          </w:tcPr>
          <w:p>
            <w:pPr>
              <w:spacing w:after="0"/>
              <w:rPr>
                <w:sz w:val="10"/>
                <w:szCs w:val="10"/>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050505"/>
              </w:rPr>
              <w:t>0.9</w:t>
            </w:r>
          </w:p>
        </w:tc>
        <w:tc>
          <w:tcPr>
            <w:tcW w:w="220" w:type="dxa"/>
            <w:vAlign w:val="bottom"/>
          </w:tcPr>
          <w:p>
            <w:pPr>
              <w:spacing w:after="0"/>
              <w:rPr>
                <w:sz w:val="10"/>
                <w:szCs w:val="10"/>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050505"/>
              </w:rPr>
              <w:t>0.8</w:t>
            </w:r>
          </w:p>
        </w:tc>
        <w:tc>
          <w:tcPr>
            <w:tcW w:w="160" w:type="dxa"/>
            <w:vAlign w:val="bottom"/>
          </w:tcPr>
          <w:p>
            <w:pPr>
              <w:spacing w:after="0"/>
              <w:rPr>
                <w:sz w:val="10"/>
                <w:szCs w:val="10"/>
                <w:color w:val="auto"/>
              </w:rPr>
            </w:pPr>
          </w:p>
        </w:tc>
      </w:tr>
      <w:tr>
        <w:trPr>
          <w:trHeight w:val="125"/>
        </w:trPr>
        <w:tc>
          <w:tcPr>
            <w:tcW w:w="1540" w:type="dxa"/>
            <w:vAlign w:val="bottom"/>
            <w:shd w:val="clear" w:color="auto" w:fill="CCEEFF"/>
          </w:tcPr>
          <w:p>
            <w:pPr>
              <w:ind w:left="40"/>
              <w:spacing w:after="0" w:line="125" w:lineRule="exact"/>
              <w:rPr>
                <w:sz w:val="20"/>
                <w:szCs w:val="20"/>
                <w:color w:val="auto"/>
              </w:rPr>
            </w:pPr>
            <w:r>
              <w:rPr>
                <w:rFonts w:ascii="Arial" w:cs="Arial" w:eastAsia="Arial" w:hAnsi="Arial"/>
                <w:sz w:val="11"/>
                <w:szCs w:val="11"/>
                <w:color w:val="050505"/>
              </w:rPr>
              <w:t>Loss before provision for</w:t>
            </w:r>
          </w:p>
        </w:tc>
        <w:tc>
          <w:tcPr>
            <w:tcW w:w="480" w:type="dxa"/>
            <w:vAlign w:val="bottom"/>
            <w:tcBorders>
              <w:top w:val="single" w:sz="8" w:color="auto"/>
            </w:tcBorders>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480" w:type="dxa"/>
            <w:vAlign w:val="bottom"/>
            <w:tcBorders>
              <w:top w:val="single" w:sz="8" w:color="auto"/>
            </w:tcBorders>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480" w:type="dxa"/>
            <w:vAlign w:val="bottom"/>
            <w:tcBorders>
              <w:top w:val="single" w:sz="8" w:color="auto"/>
            </w:tcBorders>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480" w:type="dxa"/>
            <w:vAlign w:val="bottom"/>
            <w:tcBorders>
              <w:top w:val="single" w:sz="8" w:color="auto"/>
            </w:tcBorders>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480" w:type="dxa"/>
            <w:vAlign w:val="bottom"/>
            <w:tcBorders>
              <w:top w:val="single" w:sz="8" w:color="auto"/>
            </w:tcBorders>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500" w:type="dxa"/>
            <w:vAlign w:val="bottom"/>
            <w:tcBorders>
              <w:top w:val="single" w:sz="8" w:color="auto"/>
            </w:tcBorders>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480" w:type="dxa"/>
            <w:vAlign w:val="bottom"/>
            <w:tcBorders>
              <w:top w:val="single" w:sz="8" w:color="auto"/>
            </w:tcBorders>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500" w:type="dxa"/>
            <w:vAlign w:val="bottom"/>
            <w:tcBorders>
              <w:top w:val="single" w:sz="8" w:color="auto"/>
            </w:tcBorders>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r>
      <w:tr>
        <w:trPr>
          <w:trHeight w:val="125"/>
        </w:trPr>
        <w:tc>
          <w:tcPr>
            <w:tcW w:w="1540" w:type="dxa"/>
            <w:vAlign w:val="bottom"/>
            <w:shd w:val="clear" w:color="auto" w:fill="CCEEFF"/>
          </w:tcPr>
          <w:p>
            <w:pPr>
              <w:ind w:left="160"/>
              <w:spacing w:after="0" w:line="125" w:lineRule="exact"/>
              <w:rPr>
                <w:sz w:val="20"/>
                <w:szCs w:val="20"/>
                <w:color w:val="auto"/>
              </w:rPr>
            </w:pPr>
            <w:r>
              <w:rPr>
                <w:rFonts w:ascii="Arial" w:cs="Arial" w:eastAsia="Arial" w:hAnsi="Arial"/>
                <w:sz w:val="11"/>
                <w:szCs w:val="11"/>
                <w:color w:val="050505"/>
              </w:rPr>
              <w:t>income taxes</w:t>
            </w:r>
          </w:p>
        </w:tc>
        <w:tc>
          <w:tcPr>
            <w:tcW w:w="740" w:type="dxa"/>
            <w:vAlign w:val="bottom"/>
            <w:gridSpan w:val="2"/>
            <w:shd w:val="clear" w:color="auto" w:fill="CCEEFF"/>
          </w:tcPr>
          <w:p>
            <w:pPr>
              <w:jc w:val="right"/>
              <w:ind w:right="220"/>
              <w:spacing w:after="0" w:line="125" w:lineRule="exact"/>
              <w:rPr>
                <w:sz w:val="20"/>
                <w:szCs w:val="20"/>
                <w:color w:val="auto"/>
              </w:rPr>
            </w:pPr>
            <w:r>
              <w:rPr>
                <w:rFonts w:ascii="Arial" w:cs="Arial" w:eastAsia="Arial" w:hAnsi="Arial"/>
                <w:sz w:val="11"/>
                <w:szCs w:val="11"/>
                <w:color w:val="050505"/>
              </w:rPr>
              <w:t>(30.2)</w:t>
            </w:r>
          </w:p>
        </w:tc>
        <w:tc>
          <w:tcPr>
            <w:tcW w:w="740" w:type="dxa"/>
            <w:vAlign w:val="bottom"/>
            <w:gridSpan w:val="2"/>
            <w:shd w:val="clear" w:color="auto" w:fill="CCEEFF"/>
          </w:tcPr>
          <w:p>
            <w:pPr>
              <w:jc w:val="right"/>
              <w:ind w:right="220"/>
              <w:spacing w:after="0" w:line="125" w:lineRule="exact"/>
              <w:rPr>
                <w:sz w:val="20"/>
                <w:szCs w:val="20"/>
                <w:color w:val="auto"/>
              </w:rPr>
            </w:pPr>
            <w:r>
              <w:rPr>
                <w:rFonts w:ascii="Arial" w:cs="Arial" w:eastAsia="Arial" w:hAnsi="Arial"/>
                <w:sz w:val="11"/>
                <w:szCs w:val="11"/>
                <w:color w:val="050505"/>
              </w:rPr>
              <w:t>(3.4)</w:t>
            </w:r>
          </w:p>
        </w:tc>
        <w:tc>
          <w:tcPr>
            <w:tcW w:w="740" w:type="dxa"/>
            <w:vAlign w:val="bottom"/>
            <w:gridSpan w:val="2"/>
            <w:shd w:val="clear" w:color="auto" w:fill="CCEEFF"/>
          </w:tcPr>
          <w:p>
            <w:pPr>
              <w:jc w:val="right"/>
              <w:ind w:right="192"/>
              <w:spacing w:after="0" w:line="125" w:lineRule="exact"/>
              <w:rPr>
                <w:sz w:val="20"/>
                <w:szCs w:val="20"/>
                <w:color w:val="auto"/>
              </w:rPr>
            </w:pPr>
            <w:r>
              <w:rPr>
                <w:rFonts w:ascii="Arial" w:cs="Arial" w:eastAsia="Arial" w:hAnsi="Arial"/>
                <w:sz w:val="11"/>
                <w:szCs w:val="11"/>
                <w:color w:val="050505"/>
              </w:rPr>
              <w:t>(10.9)</w:t>
            </w:r>
          </w:p>
        </w:tc>
        <w:tc>
          <w:tcPr>
            <w:tcW w:w="740" w:type="dxa"/>
            <w:vAlign w:val="bottom"/>
            <w:gridSpan w:val="2"/>
            <w:shd w:val="clear" w:color="auto" w:fill="CCEEFF"/>
          </w:tcPr>
          <w:p>
            <w:pPr>
              <w:jc w:val="right"/>
              <w:ind w:right="240"/>
              <w:spacing w:after="0" w:line="125" w:lineRule="exact"/>
              <w:rPr>
                <w:sz w:val="20"/>
                <w:szCs w:val="20"/>
                <w:color w:val="auto"/>
              </w:rPr>
            </w:pPr>
            <w:r>
              <w:rPr>
                <w:rFonts w:ascii="Arial" w:cs="Arial" w:eastAsia="Arial" w:hAnsi="Arial"/>
                <w:sz w:val="11"/>
                <w:szCs w:val="11"/>
                <w:color w:val="050505"/>
              </w:rPr>
              <w:t>(10.2)</w:t>
            </w:r>
          </w:p>
        </w:tc>
        <w:tc>
          <w:tcPr>
            <w:tcW w:w="740" w:type="dxa"/>
            <w:vAlign w:val="bottom"/>
            <w:gridSpan w:val="2"/>
            <w:shd w:val="clear" w:color="auto" w:fill="CCEEFF"/>
          </w:tcPr>
          <w:p>
            <w:pPr>
              <w:jc w:val="right"/>
              <w:ind w:right="220"/>
              <w:spacing w:after="0" w:line="125" w:lineRule="exact"/>
              <w:rPr>
                <w:sz w:val="20"/>
                <w:szCs w:val="20"/>
                <w:color w:val="auto"/>
              </w:rPr>
            </w:pPr>
            <w:r>
              <w:rPr>
                <w:rFonts w:ascii="Arial" w:cs="Arial" w:eastAsia="Arial" w:hAnsi="Arial"/>
                <w:sz w:val="11"/>
                <w:szCs w:val="11"/>
                <w:color w:val="050505"/>
              </w:rPr>
              <w:t>(48.6)</w:t>
            </w:r>
          </w:p>
        </w:tc>
        <w:tc>
          <w:tcPr>
            <w:tcW w:w="760" w:type="dxa"/>
            <w:vAlign w:val="bottom"/>
            <w:gridSpan w:val="2"/>
            <w:shd w:val="clear" w:color="auto" w:fill="CCEEFF"/>
          </w:tcPr>
          <w:p>
            <w:pPr>
              <w:jc w:val="right"/>
              <w:ind w:right="240"/>
              <w:spacing w:after="0" w:line="125" w:lineRule="exact"/>
              <w:rPr>
                <w:sz w:val="20"/>
                <w:szCs w:val="20"/>
                <w:color w:val="auto"/>
              </w:rPr>
            </w:pPr>
            <w:r>
              <w:rPr>
                <w:rFonts w:ascii="Arial" w:cs="Arial" w:eastAsia="Arial" w:hAnsi="Arial"/>
                <w:sz w:val="11"/>
                <w:szCs w:val="11"/>
                <w:color w:val="050505"/>
              </w:rPr>
              <w:t>(21.0)</w:t>
            </w:r>
          </w:p>
        </w:tc>
        <w:tc>
          <w:tcPr>
            <w:tcW w:w="700" w:type="dxa"/>
            <w:vAlign w:val="bottom"/>
            <w:gridSpan w:val="2"/>
            <w:shd w:val="clear" w:color="auto" w:fill="CCEEFF"/>
          </w:tcPr>
          <w:p>
            <w:pPr>
              <w:jc w:val="right"/>
              <w:ind w:right="180"/>
              <w:spacing w:after="0" w:line="125" w:lineRule="exact"/>
              <w:rPr>
                <w:sz w:val="20"/>
                <w:szCs w:val="20"/>
                <w:color w:val="auto"/>
              </w:rPr>
            </w:pPr>
            <w:r>
              <w:rPr>
                <w:rFonts w:ascii="Arial" w:cs="Arial" w:eastAsia="Arial" w:hAnsi="Arial"/>
                <w:sz w:val="11"/>
                <w:szCs w:val="11"/>
                <w:color w:val="050505"/>
              </w:rPr>
              <w:t>(12.1)</w:t>
            </w:r>
          </w:p>
        </w:tc>
        <w:tc>
          <w:tcPr>
            <w:tcW w:w="660" w:type="dxa"/>
            <w:vAlign w:val="bottom"/>
            <w:gridSpan w:val="2"/>
            <w:shd w:val="clear" w:color="auto" w:fill="CCEEFF"/>
          </w:tcPr>
          <w:p>
            <w:pPr>
              <w:jc w:val="right"/>
              <w:ind w:right="140"/>
              <w:spacing w:after="0" w:line="125" w:lineRule="exact"/>
              <w:rPr>
                <w:sz w:val="20"/>
                <w:szCs w:val="20"/>
                <w:color w:val="auto"/>
              </w:rPr>
            </w:pPr>
            <w:r>
              <w:rPr>
                <w:rFonts w:ascii="Arial" w:cs="Arial" w:eastAsia="Arial" w:hAnsi="Arial"/>
                <w:sz w:val="11"/>
                <w:szCs w:val="11"/>
                <w:color w:val="050505"/>
              </w:rPr>
              <w:t>(21.3)</w:t>
            </w:r>
          </w:p>
        </w:tc>
      </w:tr>
      <w:tr>
        <w:trPr>
          <w:trHeight w:val="126"/>
        </w:trPr>
        <w:tc>
          <w:tcPr>
            <w:tcW w:w="1540" w:type="dxa"/>
            <w:vAlign w:val="bottom"/>
          </w:tcPr>
          <w:p>
            <w:pPr>
              <w:ind w:left="40"/>
              <w:spacing w:after="0"/>
              <w:rPr>
                <w:sz w:val="20"/>
                <w:szCs w:val="20"/>
                <w:color w:val="auto"/>
              </w:rPr>
            </w:pPr>
            <w:r>
              <w:rPr>
                <w:rFonts w:ascii="Arial" w:cs="Arial" w:eastAsia="Arial" w:hAnsi="Arial"/>
                <w:sz w:val="11"/>
                <w:szCs w:val="11"/>
                <w:color w:val="050505"/>
              </w:rPr>
              <w:t>Provision for income taxes</w:t>
            </w:r>
          </w:p>
        </w:tc>
        <w:tc>
          <w:tcPr>
            <w:tcW w:w="480" w:type="dxa"/>
            <w:vAlign w:val="bottom"/>
          </w:tcPr>
          <w:p>
            <w:pPr>
              <w:jc w:val="right"/>
              <w:spacing w:after="0"/>
              <w:rPr>
                <w:sz w:val="20"/>
                <w:szCs w:val="20"/>
                <w:color w:val="auto"/>
              </w:rPr>
            </w:pPr>
            <w:r>
              <w:rPr>
                <w:rFonts w:ascii="Arial" w:cs="Arial" w:eastAsia="Arial" w:hAnsi="Arial"/>
                <w:sz w:val="11"/>
                <w:szCs w:val="11"/>
                <w:color w:val="050505"/>
              </w:rPr>
              <w:t>—</w:t>
            </w:r>
          </w:p>
        </w:tc>
        <w:tc>
          <w:tcPr>
            <w:tcW w:w="260" w:type="dxa"/>
            <w:vAlign w:val="bottom"/>
          </w:tcPr>
          <w:p>
            <w:pPr>
              <w:spacing w:after="0"/>
              <w:rPr>
                <w:sz w:val="10"/>
                <w:szCs w:val="10"/>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050505"/>
              </w:rPr>
              <w:t>—</w:t>
            </w:r>
          </w:p>
        </w:tc>
        <w:tc>
          <w:tcPr>
            <w:tcW w:w="260" w:type="dxa"/>
            <w:vAlign w:val="bottom"/>
          </w:tcPr>
          <w:p>
            <w:pPr>
              <w:spacing w:after="0"/>
              <w:rPr>
                <w:sz w:val="10"/>
                <w:szCs w:val="10"/>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050505"/>
              </w:rPr>
              <w:t>—</w:t>
            </w:r>
          </w:p>
        </w:tc>
        <w:tc>
          <w:tcPr>
            <w:tcW w:w="260" w:type="dxa"/>
            <w:vAlign w:val="bottom"/>
          </w:tcPr>
          <w:p>
            <w:pPr>
              <w:spacing w:after="0"/>
              <w:rPr>
                <w:sz w:val="10"/>
                <w:szCs w:val="10"/>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050505"/>
              </w:rPr>
              <w:t>—</w:t>
            </w:r>
          </w:p>
        </w:tc>
        <w:tc>
          <w:tcPr>
            <w:tcW w:w="260" w:type="dxa"/>
            <w:vAlign w:val="bottom"/>
          </w:tcPr>
          <w:p>
            <w:pPr>
              <w:spacing w:after="0"/>
              <w:rPr>
                <w:sz w:val="10"/>
                <w:szCs w:val="10"/>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050505"/>
              </w:rPr>
              <w:t>—</w:t>
            </w:r>
          </w:p>
        </w:tc>
        <w:tc>
          <w:tcPr>
            <w:tcW w:w="260" w:type="dxa"/>
            <w:vAlign w:val="bottom"/>
          </w:tcPr>
          <w:p>
            <w:pPr>
              <w:spacing w:after="0"/>
              <w:rPr>
                <w:sz w:val="10"/>
                <w:szCs w:val="10"/>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050505"/>
              </w:rPr>
              <w:t>—</w:t>
            </w:r>
          </w:p>
        </w:tc>
        <w:tc>
          <w:tcPr>
            <w:tcW w:w="260" w:type="dxa"/>
            <w:vAlign w:val="bottom"/>
          </w:tcPr>
          <w:p>
            <w:pPr>
              <w:spacing w:after="0"/>
              <w:rPr>
                <w:sz w:val="10"/>
                <w:szCs w:val="10"/>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050505"/>
              </w:rPr>
              <w:t>0.1</w:t>
            </w:r>
          </w:p>
        </w:tc>
        <w:tc>
          <w:tcPr>
            <w:tcW w:w="220" w:type="dxa"/>
            <w:vAlign w:val="bottom"/>
          </w:tcPr>
          <w:p>
            <w:pPr>
              <w:spacing w:after="0"/>
              <w:rPr>
                <w:sz w:val="10"/>
                <w:szCs w:val="10"/>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1"/>
                <w:szCs w:val="11"/>
                <w:color w:val="050505"/>
              </w:rPr>
              <w:t>(0.1)</w:t>
            </w:r>
          </w:p>
        </w:tc>
      </w:tr>
      <w:tr>
        <w:trPr>
          <w:trHeight w:val="20"/>
        </w:trPr>
        <w:tc>
          <w:tcPr>
            <w:tcW w:w="154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24"/>
        </w:trPr>
        <w:tc>
          <w:tcPr>
            <w:tcW w:w="1540" w:type="dxa"/>
            <w:vAlign w:val="bottom"/>
            <w:shd w:val="clear" w:color="auto" w:fill="CCEEFF"/>
          </w:tcPr>
          <w:p>
            <w:pPr>
              <w:ind w:left="40"/>
              <w:spacing w:after="0" w:line="124" w:lineRule="exact"/>
              <w:rPr>
                <w:sz w:val="20"/>
                <w:szCs w:val="20"/>
                <w:color w:val="auto"/>
              </w:rPr>
            </w:pPr>
            <w:r>
              <w:rPr>
                <w:rFonts w:ascii="Arial" w:cs="Arial" w:eastAsia="Arial" w:hAnsi="Arial"/>
                <w:sz w:val="11"/>
                <w:szCs w:val="11"/>
                <w:color w:val="050505"/>
              </w:rPr>
              <w:t>Net loss</w:t>
            </w:r>
          </w:p>
        </w:tc>
        <w:tc>
          <w:tcPr>
            <w:tcW w:w="740" w:type="dxa"/>
            <w:vAlign w:val="bottom"/>
            <w:gridSpan w:val="2"/>
            <w:shd w:val="clear" w:color="auto" w:fill="CCEEFF"/>
          </w:tcPr>
          <w:p>
            <w:pPr>
              <w:jc w:val="right"/>
              <w:ind w:right="140"/>
              <w:spacing w:after="0" w:line="124" w:lineRule="exact"/>
              <w:rPr>
                <w:sz w:val="20"/>
                <w:szCs w:val="20"/>
                <w:color w:val="auto"/>
              </w:rPr>
            </w:pPr>
            <w:r>
              <w:rPr>
                <w:rFonts w:ascii="Arial" w:cs="Arial" w:eastAsia="Arial" w:hAnsi="Arial"/>
                <w:sz w:val="11"/>
                <w:szCs w:val="11"/>
                <w:color w:val="050505"/>
              </w:rPr>
              <w:t>(30.2)%</w:t>
            </w:r>
          </w:p>
        </w:tc>
        <w:tc>
          <w:tcPr>
            <w:tcW w:w="740" w:type="dxa"/>
            <w:vAlign w:val="bottom"/>
            <w:gridSpan w:val="2"/>
            <w:shd w:val="clear" w:color="auto" w:fill="CCEEFF"/>
          </w:tcPr>
          <w:p>
            <w:pPr>
              <w:jc w:val="right"/>
              <w:ind w:right="140"/>
              <w:spacing w:after="0" w:line="124" w:lineRule="exact"/>
              <w:rPr>
                <w:sz w:val="20"/>
                <w:szCs w:val="20"/>
                <w:color w:val="auto"/>
              </w:rPr>
            </w:pPr>
            <w:r>
              <w:rPr>
                <w:rFonts w:ascii="Arial" w:cs="Arial" w:eastAsia="Arial" w:hAnsi="Arial"/>
                <w:sz w:val="11"/>
                <w:szCs w:val="11"/>
                <w:color w:val="050505"/>
              </w:rPr>
              <w:t>(3.4)%</w:t>
            </w:r>
          </w:p>
        </w:tc>
        <w:tc>
          <w:tcPr>
            <w:tcW w:w="740" w:type="dxa"/>
            <w:vAlign w:val="bottom"/>
            <w:gridSpan w:val="2"/>
            <w:shd w:val="clear" w:color="auto" w:fill="CCEEFF"/>
          </w:tcPr>
          <w:p>
            <w:pPr>
              <w:jc w:val="right"/>
              <w:ind w:right="92"/>
              <w:spacing w:after="0" w:line="124" w:lineRule="exact"/>
              <w:rPr>
                <w:sz w:val="20"/>
                <w:szCs w:val="20"/>
                <w:color w:val="auto"/>
              </w:rPr>
            </w:pPr>
            <w:r>
              <w:rPr>
                <w:rFonts w:ascii="Arial" w:cs="Arial" w:eastAsia="Arial" w:hAnsi="Arial"/>
                <w:sz w:val="11"/>
                <w:szCs w:val="11"/>
                <w:color w:val="050505"/>
              </w:rPr>
              <w:t>(10.9)%</w:t>
            </w:r>
          </w:p>
        </w:tc>
        <w:tc>
          <w:tcPr>
            <w:tcW w:w="740" w:type="dxa"/>
            <w:vAlign w:val="bottom"/>
            <w:gridSpan w:val="2"/>
            <w:shd w:val="clear" w:color="auto" w:fill="CCEEFF"/>
          </w:tcPr>
          <w:p>
            <w:pPr>
              <w:jc w:val="right"/>
              <w:ind w:right="140"/>
              <w:spacing w:after="0" w:line="124" w:lineRule="exact"/>
              <w:rPr>
                <w:sz w:val="20"/>
                <w:szCs w:val="20"/>
                <w:color w:val="auto"/>
              </w:rPr>
            </w:pPr>
            <w:r>
              <w:rPr>
                <w:rFonts w:ascii="Arial" w:cs="Arial" w:eastAsia="Arial" w:hAnsi="Arial"/>
                <w:sz w:val="11"/>
                <w:szCs w:val="11"/>
                <w:color w:val="050505"/>
              </w:rPr>
              <w:t>(10.3)%</w:t>
            </w:r>
          </w:p>
        </w:tc>
        <w:tc>
          <w:tcPr>
            <w:tcW w:w="740" w:type="dxa"/>
            <w:vAlign w:val="bottom"/>
            <w:gridSpan w:val="2"/>
            <w:shd w:val="clear" w:color="auto" w:fill="CCEEFF"/>
          </w:tcPr>
          <w:p>
            <w:pPr>
              <w:jc w:val="right"/>
              <w:ind w:right="120"/>
              <w:spacing w:after="0" w:line="124" w:lineRule="exact"/>
              <w:rPr>
                <w:sz w:val="20"/>
                <w:szCs w:val="20"/>
                <w:color w:val="auto"/>
              </w:rPr>
            </w:pPr>
            <w:r>
              <w:rPr>
                <w:rFonts w:ascii="Arial" w:cs="Arial" w:eastAsia="Arial" w:hAnsi="Arial"/>
                <w:sz w:val="11"/>
                <w:szCs w:val="11"/>
                <w:color w:val="050505"/>
              </w:rPr>
              <w:t>(48.6)%</w:t>
            </w:r>
          </w:p>
        </w:tc>
        <w:tc>
          <w:tcPr>
            <w:tcW w:w="760" w:type="dxa"/>
            <w:vAlign w:val="bottom"/>
            <w:gridSpan w:val="2"/>
            <w:shd w:val="clear" w:color="auto" w:fill="CCEEFF"/>
          </w:tcPr>
          <w:p>
            <w:pPr>
              <w:jc w:val="right"/>
              <w:ind w:right="140"/>
              <w:spacing w:after="0" w:line="124" w:lineRule="exact"/>
              <w:rPr>
                <w:sz w:val="20"/>
                <w:szCs w:val="20"/>
                <w:color w:val="auto"/>
              </w:rPr>
            </w:pPr>
            <w:r>
              <w:rPr>
                <w:rFonts w:ascii="Arial" w:cs="Arial" w:eastAsia="Arial" w:hAnsi="Arial"/>
                <w:sz w:val="11"/>
                <w:szCs w:val="11"/>
                <w:color w:val="050505"/>
              </w:rPr>
              <w:t>(21.0)%</w:t>
            </w:r>
          </w:p>
        </w:tc>
        <w:tc>
          <w:tcPr>
            <w:tcW w:w="700" w:type="dxa"/>
            <w:vAlign w:val="bottom"/>
            <w:gridSpan w:val="2"/>
            <w:shd w:val="clear" w:color="auto" w:fill="CCEEFF"/>
          </w:tcPr>
          <w:p>
            <w:pPr>
              <w:jc w:val="right"/>
              <w:ind w:right="100"/>
              <w:spacing w:after="0" w:line="124" w:lineRule="exact"/>
              <w:rPr>
                <w:sz w:val="20"/>
                <w:szCs w:val="20"/>
                <w:color w:val="auto"/>
              </w:rPr>
            </w:pPr>
            <w:r>
              <w:rPr>
                <w:rFonts w:ascii="Arial" w:cs="Arial" w:eastAsia="Arial" w:hAnsi="Arial"/>
                <w:sz w:val="11"/>
                <w:szCs w:val="11"/>
                <w:color w:val="050505"/>
              </w:rPr>
              <w:t>(12.2)%</w:t>
            </w:r>
          </w:p>
        </w:tc>
        <w:tc>
          <w:tcPr>
            <w:tcW w:w="660" w:type="dxa"/>
            <w:vAlign w:val="bottom"/>
            <w:gridSpan w:val="2"/>
            <w:shd w:val="clear" w:color="auto" w:fill="CCEEFF"/>
          </w:tcPr>
          <w:p>
            <w:pPr>
              <w:jc w:val="right"/>
              <w:ind w:right="40"/>
              <w:spacing w:after="0" w:line="124" w:lineRule="exact"/>
              <w:rPr>
                <w:sz w:val="20"/>
                <w:szCs w:val="20"/>
                <w:color w:val="auto"/>
              </w:rPr>
            </w:pPr>
            <w:r>
              <w:rPr>
                <w:rFonts w:ascii="Arial" w:cs="Arial" w:eastAsia="Arial" w:hAnsi="Arial"/>
                <w:sz w:val="11"/>
                <w:szCs w:val="11"/>
                <w:color w:val="050505"/>
              </w:rPr>
              <w:t>(21.2)%</w:t>
            </w:r>
          </w:p>
        </w:tc>
      </w:tr>
      <w:tr>
        <w:trPr>
          <w:trHeight w:val="27"/>
        </w:trPr>
        <w:tc>
          <w:tcPr>
            <w:tcW w:w="154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r>
    </w:tbl>
    <w:p>
      <w:pPr>
        <w:spacing w:after="0" w:line="97" w:lineRule="exact"/>
        <w:rPr>
          <w:sz w:val="20"/>
          <w:szCs w:val="20"/>
          <w:color w:val="auto"/>
        </w:rPr>
      </w:pPr>
    </w:p>
    <w:p>
      <w:pPr>
        <w:ind w:left="2060"/>
        <w:spacing w:after="0"/>
        <w:rPr>
          <w:sz w:val="20"/>
          <w:szCs w:val="20"/>
          <w:color w:val="auto"/>
        </w:rPr>
      </w:pPr>
      <w:r>
        <w:rPr>
          <w:rFonts w:ascii="Arial" w:cs="Arial" w:eastAsia="Arial" w:hAnsi="Arial"/>
          <w:sz w:val="11"/>
          <w:szCs w:val="11"/>
          <w:b w:val="1"/>
          <w:bCs w:val="1"/>
          <w:i w:val="1"/>
          <w:iCs w:val="1"/>
          <w:color w:val="auto"/>
        </w:rPr>
        <w:t>Quarterly Trends</w:t>
      </w:r>
    </w:p>
    <w:p>
      <w:pPr>
        <w:spacing w:after="0" w:line="146" w:lineRule="exact"/>
        <w:rPr>
          <w:sz w:val="20"/>
          <w:szCs w:val="20"/>
          <w:color w:val="auto"/>
        </w:rPr>
      </w:pPr>
    </w:p>
    <w:p>
      <w:pPr>
        <w:ind w:left="2060"/>
        <w:spacing w:after="0"/>
        <w:rPr>
          <w:sz w:val="20"/>
          <w:szCs w:val="20"/>
          <w:color w:val="auto"/>
        </w:rPr>
      </w:pPr>
      <w:r>
        <w:rPr>
          <w:rFonts w:ascii="Arial" w:cs="Arial" w:eastAsia="Arial" w:hAnsi="Arial"/>
          <w:sz w:val="11"/>
          <w:szCs w:val="11"/>
          <w:i w:val="1"/>
          <w:iCs w:val="1"/>
          <w:color w:val="auto"/>
        </w:rPr>
        <w:t>Revenue</w:t>
      </w:r>
    </w:p>
    <w:p>
      <w:pPr>
        <w:spacing w:after="0" w:line="10" w:lineRule="exact"/>
        <w:rPr>
          <w:sz w:val="20"/>
          <w:szCs w:val="20"/>
          <w:color w:val="auto"/>
        </w:rPr>
      </w:pPr>
    </w:p>
    <w:p>
      <w:pPr>
        <w:jc w:val="both"/>
        <w:ind w:left="2060" w:right="839"/>
        <w:spacing w:after="0" w:line="242" w:lineRule="auto"/>
        <w:rPr>
          <w:sz w:val="20"/>
          <w:szCs w:val="20"/>
          <w:color w:val="auto"/>
        </w:rPr>
      </w:pPr>
      <w:r>
        <w:rPr>
          <w:rFonts w:ascii="Arial" w:cs="Arial" w:eastAsia="Arial" w:hAnsi="Arial"/>
          <w:sz w:val="11"/>
          <w:szCs w:val="11"/>
          <w:color w:val="050505"/>
        </w:rPr>
        <w:t>Our revenue from our Connected Fitness Products typically varies seasonally and we have historically experienced higher levels of Connected Fitness Products revenue in the second and third quarters of each fiscal year as compared to other quarters due in large part to seasonal holiday demand, New Year’s resolutions, and cold weather.</w:t>
      </w:r>
    </w:p>
    <w:p>
      <w:pPr>
        <w:spacing w:after="0" w:line="140" w:lineRule="exact"/>
        <w:rPr>
          <w:sz w:val="20"/>
          <w:szCs w:val="20"/>
          <w:color w:val="auto"/>
        </w:rPr>
      </w:pPr>
    </w:p>
    <w:p>
      <w:pPr>
        <w:jc w:val="both"/>
        <w:ind w:left="2060" w:right="839"/>
        <w:spacing w:after="0" w:line="245" w:lineRule="auto"/>
        <w:rPr>
          <w:sz w:val="20"/>
          <w:szCs w:val="20"/>
          <w:color w:val="auto"/>
        </w:rPr>
      </w:pPr>
      <w:r>
        <w:rPr>
          <w:rFonts w:ascii="Arial" w:cs="Arial" w:eastAsia="Arial" w:hAnsi="Arial"/>
          <w:sz w:val="11"/>
          <w:szCs w:val="11"/>
          <w:color w:val="050505"/>
        </w:rPr>
        <w:t>Subscription revenue increased in each of the quarters presented primarily due to Connected Fitness Subscriber growth and low Average Net Monthly Connected Fitness Churn.</w:t>
      </w:r>
    </w:p>
    <w:p>
      <w:pPr>
        <w:spacing w:after="0" w:line="128" w:lineRule="exact"/>
        <w:rPr>
          <w:sz w:val="20"/>
          <w:szCs w:val="20"/>
          <w:color w:val="auto"/>
        </w:rPr>
      </w:pPr>
    </w:p>
    <w:p>
      <w:pPr>
        <w:ind w:left="2060"/>
        <w:spacing w:after="0"/>
        <w:rPr>
          <w:sz w:val="20"/>
          <w:szCs w:val="20"/>
          <w:color w:val="auto"/>
        </w:rPr>
      </w:pPr>
      <w:r>
        <w:rPr>
          <w:rFonts w:ascii="Arial" w:cs="Arial" w:eastAsia="Arial" w:hAnsi="Arial"/>
          <w:sz w:val="11"/>
          <w:szCs w:val="11"/>
          <w:i w:val="1"/>
          <w:iCs w:val="1"/>
          <w:color w:val="auto"/>
        </w:rPr>
        <w:t>Cost of Revenue</w:t>
      </w:r>
    </w:p>
    <w:p>
      <w:pPr>
        <w:spacing w:after="0" w:line="10" w:lineRule="exact"/>
        <w:rPr>
          <w:sz w:val="20"/>
          <w:szCs w:val="20"/>
          <w:color w:val="auto"/>
        </w:rPr>
      </w:pPr>
    </w:p>
    <w:p>
      <w:pPr>
        <w:jc w:val="both"/>
        <w:ind w:left="2060" w:right="839"/>
        <w:spacing w:after="0" w:line="245" w:lineRule="auto"/>
        <w:rPr>
          <w:sz w:val="20"/>
          <w:szCs w:val="20"/>
          <w:color w:val="auto"/>
        </w:rPr>
      </w:pPr>
      <w:r>
        <w:rPr>
          <w:rFonts w:ascii="Arial" w:cs="Arial" w:eastAsia="Arial" w:hAnsi="Arial"/>
          <w:sz w:val="11"/>
          <w:szCs w:val="11"/>
          <w:color w:val="050505"/>
        </w:rPr>
        <w:t>Connected Fitness Products cost of revenue has fluctuated in line with Connected Fitness Products revenue for all periods presented due primarily to costs associated with sales of Connected Fitness Products.</w:t>
      </w:r>
    </w:p>
    <w:p>
      <w:pPr>
        <w:spacing w:after="0" w:line="138" w:lineRule="exact"/>
        <w:rPr>
          <w:sz w:val="20"/>
          <w:szCs w:val="20"/>
          <w:color w:val="auto"/>
        </w:rPr>
      </w:pPr>
    </w:p>
    <w:p>
      <w:pPr>
        <w:jc w:val="both"/>
        <w:ind w:left="2060" w:right="839"/>
        <w:spacing w:after="0" w:line="245" w:lineRule="auto"/>
        <w:rPr>
          <w:sz w:val="20"/>
          <w:szCs w:val="20"/>
          <w:color w:val="auto"/>
        </w:rPr>
      </w:pPr>
      <w:r>
        <w:rPr>
          <w:rFonts w:ascii="Arial" w:cs="Arial" w:eastAsia="Arial" w:hAnsi="Arial"/>
          <w:sz w:val="11"/>
          <w:szCs w:val="11"/>
          <w:color w:val="050505"/>
        </w:rPr>
        <w:t>Our subscription cost of revenue generally increased each quarter as a result of increases in music royalties, streaming, and platform costs, as well as payment processing fees. We saw fluctuations in the third quarters of fiscal 2018 and fiscal 2019 due to content costs for past use.</w:t>
      </w:r>
    </w:p>
    <w:p>
      <w:pPr>
        <w:spacing w:after="0" w:line="128" w:lineRule="exact"/>
        <w:rPr>
          <w:sz w:val="20"/>
          <w:szCs w:val="20"/>
          <w:color w:val="auto"/>
        </w:rPr>
      </w:pPr>
    </w:p>
    <w:p>
      <w:pPr>
        <w:ind w:left="2060"/>
        <w:spacing w:after="0"/>
        <w:rPr>
          <w:sz w:val="20"/>
          <w:szCs w:val="20"/>
          <w:color w:val="auto"/>
        </w:rPr>
      </w:pPr>
      <w:r>
        <w:rPr>
          <w:rFonts w:ascii="Arial" w:cs="Arial" w:eastAsia="Arial" w:hAnsi="Arial"/>
          <w:sz w:val="11"/>
          <w:szCs w:val="11"/>
          <w:i w:val="1"/>
          <w:iCs w:val="1"/>
          <w:color w:val="auto"/>
        </w:rPr>
        <w:t>Operating Expenses</w:t>
      </w:r>
    </w:p>
    <w:p>
      <w:pPr>
        <w:spacing w:after="0" w:line="10" w:lineRule="exact"/>
        <w:rPr>
          <w:sz w:val="20"/>
          <w:szCs w:val="20"/>
          <w:color w:val="auto"/>
        </w:rPr>
      </w:pPr>
    </w:p>
    <w:p>
      <w:pPr>
        <w:jc w:val="both"/>
        <w:ind w:left="2060" w:right="839"/>
        <w:spacing w:after="0" w:line="245" w:lineRule="auto"/>
        <w:rPr>
          <w:sz w:val="20"/>
          <w:szCs w:val="20"/>
          <w:color w:val="auto"/>
        </w:rPr>
      </w:pPr>
      <w:r>
        <w:rPr>
          <w:rFonts w:ascii="Arial" w:cs="Arial" w:eastAsia="Arial" w:hAnsi="Arial"/>
          <w:sz w:val="11"/>
          <w:szCs w:val="11"/>
          <w:color w:val="050505"/>
        </w:rPr>
        <w:t>Research and development expense increased for all periods presented, primarily due to personnel-related expenses as we have continued to increase our headcount to support product and platform innovation.</w:t>
      </w:r>
    </w:p>
    <w:p>
      <w:pPr>
        <w:spacing w:after="0" w:line="93" w:lineRule="exact"/>
        <w:rPr>
          <w:sz w:val="20"/>
          <w:szCs w:val="20"/>
          <w:color w:val="auto"/>
        </w:rPr>
      </w:pPr>
    </w:p>
    <w:p>
      <w:pPr>
        <w:ind w:left="5680"/>
        <w:spacing w:after="0"/>
        <w:rPr>
          <w:sz w:val="20"/>
          <w:szCs w:val="20"/>
          <w:color w:val="auto"/>
        </w:rPr>
      </w:pPr>
      <w:r>
        <w:rPr>
          <w:rFonts w:ascii="Arial" w:cs="Arial" w:eastAsia="Arial" w:hAnsi="Arial"/>
          <w:sz w:val="11"/>
          <w:szCs w:val="11"/>
          <w:color w:val="050505"/>
        </w:rPr>
        <w:t>79</w:t>
      </w:r>
    </w:p>
    <w:p>
      <w:pPr>
        <w:sectPr>
          <w:pgSz w:w="11900" w:h="16838" w:orient="portrait"/>
          <w:cols w:equalWidth="0" w:num="1">
            <w:col w:w="10239"/>
          </w:cols>
          <w:pgMar w:left="220" w:top="354" w:right="1440" w:bottom="1440" w:gutter="0" w:footer="0" w:header="0"/>
        </w:sectPr>
      </w:pPr>
    </w:p>
    <w:bookmarkStart w:id="84" w:name="page85"/>
    <w:bookmarkEnd w:id="84"/>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hyperlink w:anchor="page5">
        <w:r>
          <w:rPr>
            <w:rFonts w:ascii="Arial" w:cs="Arial" w:eastAsia="Arial" w:hAnsi="Arial"/>
            <w:sz w:val="12"/>
            <w:szCs w:val="12"/>
            <w:b w:val="1"/>
            <w:bCs w:val="1"/>
            <w:u w:val="single" w:color="auto"/>
            <w:color w:val="0000EE"/>
          </w:rPr>
          <w:t>Table of Contents</w:t>
        </w:r>
      </w:hyperlink>
    </w:p>
    <w:p>
      <w:pPr>
        <w:spacing w:after="0" w:line="216" w:lineRule="exact"/>
        <w:rPr>
          <w:sz w:val="20"/>
          <w:szCs w:val="20"/>
          <w:color w:val="auto"/>
        </w:rPr>
      </w:pPr>
    </w:p>
    <w:p>
      <w:pPr>
        <w:jc w:val="both"/>
        <w:ind w:left="2060" w:right="839"/>
        <w:spacing w:after="0" w:line="242" w:lineRule="auto"/>
        <w:rPr>
          <w:sz w:val="20"/>
          <w:szCs w:val="20"/>
          <w:color w:val="auto"/>
        </w:rPr>
      </w:pPr>
      <w:r>
        <w:rPr>
          <w:rFonts w:ascii="Arial" w:cs="Arial" w:eastAsia="Arial" w:hAnsi="Arial"/>
          <w:sz w:val="11"/>
          <w:szCs w:val="11"/>
          <w:color w:val="050505"/>
        </w:rPr>
        <w:t>Sales and marketing expense increased in the second and third quarter of each fiscal year due to an increase in expenses associated with advertising costs and other marketing programs for the holiday season. In addition, sales and marketing expenses increased as a result of higher personnel-related expenses and occupancy costs as we increased headcount and number of showrooms to support our growth.</w:t>
      </w:r>
    </w:p>
    <w:p>
      <w:pPr>
        <w:spacing w:after="0" w:line="140" w:lineRule="exact"/>
        <w:rPr>
          <w:sz w:val="20"/>
          <w:szCs w:val="20"/>
          <w:color w:val="auto"/>
        </w:rPr>
      </w:pPr>
    </w:p>
    <w:p>
      <w:pPr>
        <w:jc w:val="both"/>
        <w:ind w:left="2060" w:right="839"/>
        <w:spacing w:after="0" w:line="278" w:lineRule="auto"/>
        <w:rPr>
          <w:sz w:val="20"/>
          <w:szCs w:val="20"/>
          <w:color w:val="auto"/>
        </w:rPr>
      </w:pPr>
      <w:r>
        <w:rPr>
          <w:rFonts w:ascii="Arial" w:cs="Arial" w:eastAsia="Arial" w:hAnsi="Arial"/>
          <w:sz w:val="10"/>
          <w:szCs w:val="10"/>
          <w:color w:val="050505"/>
        </w:rPr>
        <w:t>General and administrative expense generally increased for all periods presented, primarily due to increases in personnel-related expenses, facilities costs, and professional service fees as we grow our business and scale operations. We saw a significant increase in general and administrative expenses in the first and second quarters of fiscal 2019 related to stock-based compensation expense associated with the tender offer completed in October 2018.</w:t>
      </w:r>
    </w:p>
    <w:p>
      <w:pPr>
        <w:spacing w:after="0" w:line="68" w:lineRule="exact"/>
        <w:rPr>
          <w:sz w:val="20"/>
          <w:szCs w:val="20"/>
          <w:color w:val="auto"/>
        </w:rPr>
      </w:pPr>
    </w:p>
    <w:p>
      <w:pPr>
        <w:ind w:left="2060"/>
        <w:spacing w:after="0"/>
        <w:rPr>
          <w:sz w:val="20"/>
          <w:szCs w:val="20"/>
          <w:color w:val="auto"/>
        </w:rPr>
      </w:pPr>
      <w:r>
        <w:rPr>
          <w:rFonts w:ascii="Arial" w:cs="Arial" w:eastAsia="Arial" w:hAnsi="Arial"/>
          <w:sz w:val="11"/>
          <w:szCs w:val="11"/>
          <w:i w:val="1"/>
          <w:iCs w:val="1"/>
          <w:color w:val="auto"/>
        </w:rPr>
        <w:t>Adjusted EBITDA and Adjusted EBITDA Margin</w:t>
      </w:r>
    </w:p>
    <w:p>
      <w:pPr>
        <w:spacing w:after="0" w:line="10" w:lineRule="exact"/>
        <w:rPr>
          <w:sz w:val="20"/>
          <w:szCs w:val="20"/>
          <w:color w:val="auto"/>
        </w:rPr>
      </w:pPr>
    </w:p>
    <w:p>
      <w:pPr>
        <w:ind w:left="2060"/>
        <w:spacing w:after="0"/>
        <w:rPr>
          <w:sz w:val="20"/>
          <w:szCs w:val="20"/>
          <w:color w:val="auto"/>
        </w:rPr>
      </w:pPr>
      <w:r>
        <w:rPr>
          <w:rFonts w:ascii="Arial" w:cs="Arial" w:eastAsia="Arial" w:hAnsi="Arial"/>
          <w:sz w:val="11"/>
          <w:szCs w:val="11"/>
          <w:color w:val="050505"/>
        </w:rPr>
        <w:t>Set forth below is a reconciliation of Adjusted EBITDA to net loss for the periods presented:</w:t>
      </w:r>
    </w:p>
    <w:p>
      <w:pPr>
        <w:spacing w:after="0" w:line="150" w:lineRule="exact"/>
        <w:rPr>
          <w:sz w:val="20"/>
          <w:szCs w:val="20"/>
          <w:color w:val="auto"/>
        </w:rPr>
      </w:pPr>
    </w:p>
    <w:tbl>
      <w:tblPr>
        <w:tblLayout w:type="fixed"/>
        <w:tblInd w:w="2060" w:type="dxa"/>
        <w:tblCellMar>
          <w:top w:w="0" w:type="dxa"/>
          <w:left w:w="0" w:type="dxa"/>
          <w:bottom w:w="0" w:type="dxa"/>
          <w:right w:w="0" w:type="dxa"/>
        </w:tblCellMar>
      </w:tblPr>
      <w:tr>
        <w:trPr>
          <w:trHeight w:val="137"/>
        </w:trPr>
        <w:tc>
          <w:tcPr>
            <w:tcW w:w="1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360" w:type="dxa"/>
            <w:vAlign w:val="bottom"/>
            <w:tcBorders>
              <w:bottom w:val="single" w:sz="8" w:color="auto"/>
            </w:tcBorders>
            <w:gridSpan w:val="6"/>
          </w:tcPr>
          <w:p>
            <w:pPr>
              <w:jc w:val="right"/>
              <w:ind w:right="280"/>
              <w:spacing w:after="0"/>
              <w:rPr>
                <w:sz w:val="20"/>
                <w:szCs w:val="20"/>
                <w:color w:val="auto"/>
              </w:rPr>
            </w:pPr>
            <w:r>
              <w:rPr>
                <w:rFonts w:ascii="Arial" w:cs="Arial" w:eastAsia="Arial" w:hAnsi="Arial"/>
                <w:sz w:val="11"/>
                <w:szCs w:val="11"/>
                <w:b w:val="1"/>
                <w:bCs w:val="1"/>
                <w:color w:val="050505"/>
                <w:w w:val="97"/>
              </w:rPr>
              <w:t>Three Months Ended</w:t>
            </w:r>
          </w:p>
        </w:tc>
        <w:tc>
          <w:tcPr>
            <w:tcW w:w="6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160" w:type="dxa"/>
            <w:vAlign w:val="bottom"/>
          </w:tcPr>
          <w:p>
            <w:pPr>
              <w:spacing w:after="0"/>
              <w:rPr>
                <w:sz w:val="11"/>
                <w:szCs w:val="11"/>
                <w:color w:val="auto"/>
              </w:rPr>
            </w:pPr>
          </w:p>
        </w:tc>
      </w:tr>
      <w:tr>
        <w:trPr>
          <w:trHeight w:val="104"/>
        </w:trPr>
        <w:tc>
          <w:tcPr>
            <w:tcW w:w="140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gridSpan w:val="3"/>
          </w:tcPr>
          <w:p>
            <w:pPr>
              <w:jc w:val="right"/>
              <w:ind w:right="240"/>
              <w:spacing w:after="0" w:line="105" w:lineRule="exact"/>
              <w:rPr>
                <w:sz w:val="20"/>
                <w:szCs w:val="20"/>
                <w:color w:val="auto"/>
              </w:rPr>
            </w:pPr>
            <w:r>
              <w:rPr>
                <w:rFonts w:ascii="Arial" w:cs="Arial" w:eastAsia="Arial" w:hAnsi="Arial"/>
                <w:sz w:val="11"/>
                <w:szCs w:val="11"/>
                <w:b w:val="1"/>
                <w:bCs w:val="1"/>
                <w:color w:val="050505"/>
              </w:rPr>
              <w:t>Sep. 30,</w:t>
            </w:r>
          </w:p>
        </w:tc>
        <w:tc>
          <w:tcPr>
            <w:tcW w:w="60" w:type="dxa"/>
            <w:vAlign w:val="bottom"/>
          </w:tcPr>
          <w:p>
            <w:pPr>
              <w:spacing w:after="0"/>
              <w:rPr>
                <w:sz w:val="9"/>
                <w:szCs w:val="9"/>
                <w:color w:val="auto"/>
              </w:rPr>
            </w:pPr>
          </w:p>
        </w:tc>
        <w:tc>
          <w:tcPr>
            <w:tcW w:w="680" w:type="dxa"/>
            <w:vAlign w:val="bottom"/>
            <w:gridSpan w:val="3"/>
          </w:tcPr>
          <w:p>
            <w:pPr>
              <w:jc w:val="right"/>
              <w:ind w:right="240"/>
              <w:spacing w:after="0" w:line="105" w:lineRule="exact"/>
              <w:rPr>
                <w:sz w:val="20"/>
                <w:szCs w:val="20"/>
                <w:color w:val="auto"/>
              </w:rPr>
            </w:pPr>
            <w:r>
              <w:rPr>
                <w:rFonts w:ascii="Arial" w:cs="Arial" w:eastAsia="Arial" w:hAnsi="Arial"/>
                <w:sz w:val="11"/>
                <w:szCs w:val="11"/>
                <w:b w:val="1"/>
                <w:bCs w:val="1"/>
                <w:color w:val="050505"/>
              </w:rPr>
              <w:t>Dec. 31,</w:t>
            </w:r>
          </w:p>
        </w:tc>
        <w:tc>
          <w:tcPr>
            <w:tcW w:w="60" w:type="dxa"/>
            <w:vAlign w:val="bottom"/>
          </w:tcPr>
          <w:p>
            <w:pPr>
              <w:spacing w:after="0"/>
              <w:rPr>
                <w:sz w:val="9"/>
                <w:szCs w:val="9"/>
                <w:color w:val="auto"/>
              </w:rPr>
            </w:pPr>
          </w:p>
        </w:tc>
        <w:tc>
          <w:tcPr>
            <w:tcW w:w="680" w:type="dxa"/>
            <w:vAlign w:val="bottom"/>
            <w:gridSpan w:val="3"/>
          </w:tcPr>
          <w:p>
            <w:pPr>
              <w:jc w:val="right"/>
              <w:ind w:right="240"/>
              <w:spacing w:after="0" w:line="105" w:lineRule="exact"/>
              <w:rPr>
                <w:sz w:val="20"/>
                <w:szCs w:val="20"/>
                <w:color w:val="auto"/>
              </w:rPr>
            </w:pPr>
            <w:r>
              <w:rPr>
                <w:rFonts w:ascii="Arial" w:cs="Arial" w:eastAsia="Arial" w:hAnsi="Arial"/>
                <w:sz w:val="11"/>
                <w:szCs w:val="11"/>
                <w:b w:val="1"/>
                <w:bCs w:val="1"/>
                <w:color w:val="050505"/>
              </w:rPr>
              <w:t>Mar. 31,</w:t>
            </w:r>
          </w:p>
        </w:tc>
        <w:tc>
          <w:tcPr>
            <w:tcW w:w="140" w:type="dxa"/>
            <w:vAlign w:val="bottom"/>
          </w:tcPr>
          <w:p>
            <w:pPr>
              <w:spacing w:after="0"/>
              <w:rPr>
                <w:sz w:val="9"/>
                <w:szCs w:val="9"/>
                <w:color w:val="auto"/>
              </w:rPr>
            </w:pPr>
          </w:p>
        </w:tc>
        <w:tc>
          <w:tcPr>
            <w:tcW w:w="620" w:type="dxa"/>
            <w:vAlign w:val="bottom"/>
            <w:gridSpan w:val="2"/>
          </w:tcPr>
          <w:p>
            <w:pPr>
              <w:jc w:val="right"/>
              <w:ind w:right="240"/>
              <w:spacing w:after="0" w:line="105" w:lineRule="exact"/>
              <w:rPr>
                <w:sz w:val="20"/>
                <w:szCs w:val="20"/>
                <w:color w:val="auto"/>
              </w:rPr>
            </w:pPr>
            <w:r>
              <w:rPr>
                <w:rFonts w:ascii="Arial" w:cs="Arial" w:eastAsia="Arial" w:hAnsi="Arial"/>
                <w:sz w:val="11"/>
                <w:szCs w:val="11"/>
                <w:b w:val="1"/>
                <w:bCs w:val="1"/>
                <w:color w:val="050505"/>
                <w:w w:val="87"/>
              </w:rPr>
              <w:t>Jun. 30,</w:t>
            </w:r>
          </w:p>
        </w:tc>
        <w:tc>
          <w:tcPr>
            <w:tcW w:w="60" w:type="dxa"/>
            <w:vAlign w:val="bottom"/>
          </w:tcPr>
          <w:p>
            <w:pPr>
              <w:spacing w:after="0"/>
              <w:rPr>
                <w:sz w:val="9"/>
                <w:szCs w:val="9"/>
                <w:color w:val="auto"/>
              </w:rPr>
            </w:pPr>
          </w:p>
        </w:tc>
        <w:tc>
          <w:tcPr>
            <w:tcW w:w="680" w:type="dxa"/>
            <w:vAlign w:val="bottom"/>
            <w:gridSpan w:val="3"/>
          </w:tcPr>
          <w:p>
            <w:pPr>
              <w:jc w:val="right"/>
              <w:ind w:right="240"/>
              <w:spacing w:after="0" w:line="105" w:lineRule="exact"/>
              <w:rPr>
                <w:sz w:val="20"/>
                <w:szCs w:val="20"/>
                <w:color w:val="auto"/>
              </w:rPr>
            </w:pPr>
            <w:r>
              <w:rPr>
                <w:rFonts w:ascii="Arial" w:cs="Arial" w:eastAsia="Arial" w:hAnsi="Arial"/>
                <w:sz w:val="11"/>
                <w:szCs w:val="11"/>
                <w:b w:val="1"/>
                <w:bCs w:val="1"/>
                <w:color w:val="050505"/>
              </w:rPr>
              <w:t>Sep. 30,</w:t>
            </w:r>
          </w:p>
        </w:tc>
        <w:tc>
          <w:tcPr>
            <w:tcW w:w="60" w:type="dxa"/>
            <w:vAlign w:val="bottom"/>
          </w:tcPr>
          <w:p>
            <w:pPr>
              <w:spacing w:after="0"/>
              <w:rPr>
                <w:sz w:val="9"/>
                <w:szCs w:val="9"/>
                <w:color w:val="auto"/>
              </w:rPr>
            </w:pPr>
          </w:p>
        </w:tc>
        <w:tc>
          <w:tcPr>
            <w:tcW w:w="680" w:type="dxa"/>
            <w:vAlign w:val="bottom"/>
            <w:gridSpan w:val="3"/>
          </w:tcPr>
          <w:p>
            <w:pPr>
              <w:jc w:val="right"/>
              <w:ind w:right="220"/>
              <w:spacing w:after="0" w:line="105" w:lineRule="exact"/>
              <w:rPr>
                <w:sz w:val="20"/>
                <w:szCs w:val="20"/>
                <w:color w:val="auto"/>
              </w:rPr>
            </w:pPr>
            <w:r>
              <w:rPr>
                <w:rFonts w:ascii="Arial" w:cs="Arial" w:eastAsia="Arial" w:hAnsi="Arial"/>
                <w:sz w:val="11"/>
                <w:szCs w:val="11"/>
                <w:b w:val="1"/>
                <w:bCs w:val="1"/>
                <w:color w:val="050505"/>
              </w:rPr>
              <w:t>Dec. 31,</w:t>
            </w:r>
          </w:p>
        </w:tc>
        <w:tc>
          <w:tcPr>
            <w:tcW w:w="80" w:type="dxa"/>
            <w:vAlign w:val="bottom"/>
          </w:tcPr>
          <w:p>
            <w:pPr>
              <w:spacing w:after="0"/>
              <w:rPr>
                <w:sz w:val="9"/>
                <w:szCs w:val="9"/>
                <w:color w:val="auto"/>
              </w:rPr>
            </w:pPr>
          </w:p>
        </w:tc>
        <w:tc>
          <w:tcPr>
            <w:tcW w:w="680" w:type="dxa"/>
            <w:vAlign w:val="bottom"/>
            <w:gridSpan w:val="3"/>
          </w:tcPr>
          <w:p>
            <w:pPr>
              <w:jc w:val="right"/>
              <w:ind w:right="240"/>
              <w:spacing w:after="0" w:line="105" w:lineRule="exact"/>
              <w:rPr>
                <w:sz w:val="20"/>
                <w:szCs w:val="20"/>
                <w:color w:val="auto"/>
              </w:rPr>
            </w:pPr>
            <w:r>
              <w:rPr>
                <w:rFonts w:ascii="Arial" w:cs="Arial" w:eastAsia="Arial" w:hAnsi="Arial"/>
                <w:sz w:val="11"/>
                <w:szCs w:val="11"/>
                <w:b w:val="1"/>
                <w:bCs w:val="1"/>
                <w:color w:val="050505"/>
              </w:rPr>
              <w:t>Mar. 31,</w:t>
            </w:r>
          </w:p>
        </w:tc>
        <w:tc>
          <w:tcPr>
            <w:tcW w:w="60" w:type="dxa"/>
            <w:vAlign w:val="bottom"/>
          </w:tcPr>
          <w:p>
            <w:pPr>
              <w:spacing w:after="0"/>
              <w:rPr>
                <w:sz w:val="9"/>
                <w:szCs w:val="9"/>
                <w:color w:val="auto"/>
              </w:rPr>
            </w:pPr>
          </w:p>
        </w:tc>
        <w:tc>
          <w:tcPr>
            <w:tcW w:w="500" w:type="dxa"/>
            <w:vAlign w:val="bottom"/>
            <w:gridSpan w:val="2"/>
          </w:tcPr>
          <w:p>
            <w:pPr>
              <w:jc w:val="right"/>
              <w:ind w:right="6"/>
              <w:spacing w:after="0" w:line="105" w:lineRule="exact"/>
              <w:rPr>
                <w:sz w:val="20"/>
                <w:szCs w:val="20"/>
                <w:color w:val="auto"/>
              </w:rPr>
            </w:pPr>
            <w:r>
              <w:rPr>
                <w:rFonts w:ascii="Arial" w:cs="Arial" w:eastAsia="Arial" w:hAnsi="Arial"/>
                <w:sz w:val="11"/>
                <w:szCs w:val="11"/>
                <w:b w:val="1"/>
                <w:bCs w:val="1"/>
                <w:color w:val="050505"/>
              </w:rPr>
              <w:t>Jun. 30,</w:t>
            </w:r>
          </w:p>
        </w:tc>
        <w:tc>
          <w:tcPr>
            <w:tcW w:w="160" w:type="dxa"/>
            <w:vAlign w:val="bottom"/>
          </w:tcPr>
          <w:p>
            <w:pPr>
              <w:spacing w:after="0"/>
              <w:rPr>
                <w:sz w:val="9"/>
                <w:szCs w:val="9"/>
                <w:color w:val="auto"/>
              </w:rPr>
            </w:pPr>
          </w:p>
        </w:tc>
      </w:tr>
      <w:tr>
        <w:trPr>
          <w:trHeight w:val="137"/>
        </w:trPr>
        <w:tc>
          <w:tcPr>
            <w:tcW w:w="1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jc w:val="right"/>
              <w:ind w:right="66"/>
              <w:spacing w:after="0"/>
              <w:rPr>
                <w:sz w:val="20"/>
                <w:szCs w:val="20"/>
                <w:color w:val="auto"/>
              </w:rPr>
            </w:pPr>
            <w:r>
              <w:rPr>
                <w:rFonts w:ascii="Arial" w:cs="Arial" w:eastAsia="Arial" w:hAnsi="Arial"/>
                <w:sz w:val="11"/>
                <w:szCs w:val="11"/>
                <w:b w:val="1"/>
                <w:bCs w:val="1"/>
                <w:color w:val="050505"/>
              </w:rPr>
              <w:t>2017</w:t>
            </w:r>
          </w:p>
        </w:tc>
        <w:tc>
          <w:tcPr>
            <w:tcW w:w="20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jc w:val="right"/>
              <w:ind w:right="66"/>
              <w:spacing w:after="0"/>
              <w:rPr>
                <w:sz w:val="20"/>
                <w:szCs w:val="20"/>
                <w:color w:val="auto"/>
              </w:rPr>
            </w:pPr>
            <w:r>
              <w:rPr>
                <w:rFonts w:ascii="Arial" w:cs="Arial" w:eastAsia="Arial" w:hAnsi="Arial"/>
                <w:sz w:val="11"/>
                <w:szCs w:val="11"/>
                <w:b w:val="1"/>
                <w:bCs w:val="1"/>
                <w:color w:val="050505"/>
              </w:rPr>
              <w:t>2017</w:t>
            </w:r>
          </w:p>
        </w:tc>
        <w:tc>
          <w:tcPr>
            <w:tcW w:w="20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b w:val="1"/>
                <w:bCs w:val="1"/>
                <w:color w:val="050505"/>
                <w:w w:val="97"/>
              </w:rPr>
              <w:t>2018</w:t>
            </w:r>
          </w:p>
        </w:tc>
        <w:tc>
          <w:tcPr>
            <w:tcW w:w="18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jc w:val="right"/>
              <w:ind w:right="66"/>
              <w:spacing w:after="0"/>
              <w:rPr>
                <w:sz w:val="20"/>
                <w:szCs w:val="20"/>
                <w:color w:val="auto"/>
              </w:rPr>
            </w:pPr>
            <w:r>
              <w:rPr>
                <w:rFonts w:ascii="Arial" w:cs="Arial" w:eastAsia="Arial" w:hAnsi="Arial"/>
                <w:sz w:val="11"/>
                <w:szCs w:val="11"/>
                <w:b w:val="1"/>
                <w:bCs w:val="1"/>
                <w:color w:val="050505"/>
              </w:rPr>
              <w:t>2018</w:t>
            </w:r>
          </w:p>
        </w:tc>
        <w:tc>
          <w:tcPr>
            <w:tcW w:w="20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jc w:val="right"/>
              <w:ind w:right="66"/>
              <w:spacing w:after="0"/>
              <w:rPr>
                <w:sz w:val="20"/>
                <w:szCs w:val="20"/>
                <w:color w:val="auto"/>
              </w:rPr>
            </w:pPr>
            <w:r>
              <w:rPr>
                <w:rFonts w:ascii="Arial" w:cs="Arial" w:eastAsia="Arial" w:hAnsi="Arial"/>
                <w:sz w:val="11"/>
                <w:szCs w:val="11"/>
                <w:b w:val="1"/>
                <w:bCs w:val="1"/>
                <w:color w:val="050505"/>
              </w:rPr>
              <w:t>2018</w:t>
            </w:r>
          </w:p>
        </w:tc>
        <w:tc>
          <w:tcPr>
            <w:tcW w:w="20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b w:val="1"/>
                <w:bCs w:val="1"/>
                <w:color w:val="050505"/>
                <w:w w:val="97"/>
              </w:rPr>
              <w:t>2018</w:t>
            </w:r>
          </w:p>
        </w:tc>
        <w:tc>
          <w:tcPr>
            <w:tcW w:w="1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jc w:val="right"/>
              <w:ind w:right="66"/>
              <w:spacing w:after="0"/>
              <w:rPr>
                <w:sz w:val="20"/>
                <w:szCs w:val="20"/>
                <w:color w:val="auto"/>
              </w:rPr>
            </w:pPr>
            <w:r>
              <w:rPr>
                <w:rFonts w:ascii="Arial" w:cs="Arial" w:eastAsia="Arial" w:hAnsi="Arial"/>
                <w:sz w:val="11"/>
                <w:szCs w:val="11"/>
                <w:b w:val="1"/>
                <w:bCs w:val="1"/>
                <w:color w:val="050505"/>
              </w:rPr>
              <w:t>2019</w:t>
            </w:r>
          </w:p>
        </w:tc>
        <w:tc>
          <w:tcPr>
            <w:tcW w:w="20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b w:val="1"/>
                <w:bCs w:val="1"/>
                <w:color w:val="050505"/>
                <w:w w:val="97"/>
              </w:rPr>
              <w:t>2019</w:t>
            </w:r>
          </w:p>
        </w:tc>
        <w:tc>
          <w:tcPr>
            <w:tcW w:w="160" w:type="dxa"/>
            <w:vAlign w:val="bottom"/>
          </w:tcPr>
          <w:p>
            <w:pPr>
              <w:spacing w:after="0"/>
              <w:rPr>
                <w:sz w:val="11"/>
                <w:szCs w:val="11"/>
                <w:color w:val="auto"/>
              </w:rPr>
            </w:pPr>
          </w:p>
        </w:tc>
      </w:tr>
      <w:tr>
        <w:trPr>
          <w:trHeight w:val="104"/>
        </w:trPr>
        <w:tc>
          <w:tcPr>
            <w:tcW w:w="14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360" w:type="dxa"/>
            <w:vAlign w:val="bottom"/>
            <w:gridSpan w:val="6"/>
          </w:tcPr>
          <w:p>
            <w:pPr>
              <w:jc w:val="right"/>
              <w:ind w:right="520"/>
              <w:spacing w:after="0" w:line="105" w:lineRule="exact"/>
              <w:rPr>
                <w:sz w:val="20"/>
                <w:szCs w:val="20"/>
                <w:color w:val="auto"/>
              </w:rPr>
            </w:pPr>
            <w:r>
              <w:rPr>
                <w:rFonts w:ascii="Arial" w:cs="Arial" w:eastAsia="Arial" w:hAnsi="Arial"/>
                <w:sz w:val="11"/>
                <w:szCs w:val="11"/>
                <w:b w:val="1"/>
                <w:bCs w:val="1"/>
                <w:color w:val="050505"/>
              </w:rPr>
              <w:t>(unaudited)</w:t>
            </w: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60" w:type="dxa"/>
            <w:vAlign w:val="bottom"/>
          </w:tcPr>
          <w:p>
            <w:pPr>
              <w:spacing w:after="0"/>
              <w:rPr>
                <w:sz w:val="9"/>
                <w:szCs w:val="9"/>
                <w:color w:val="auto"/>
              </w:rPr>
            </w:pPr>
          </w:p>
        </w:tc>
      </w:tr>
      <w:tr>
        <w:trPr>
          <w:trHeight w:val="137"/>
        </w:trPr>
        <w:tc>
          <w:tcPr>
            <w:tcW w:w="1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60" w:type="dxa"/>
            <w:vAlign w:val="bottom"/>
            <w:gridSpan w:val="6"/>
          </w:tcPr>
          <w:p>
            <w:pPr>
              <w:jc w:val="right"/>
              <w:ind w:right="320"/>
              <w:spacing w:after="0"/>
              <w:rPr>
                <w:sz w:val="20"/>
                <w:szCs w:val="20"/>
                <w:color w:val="auto"/>
              </w:rPr>
            </w:pPr>
            <w:r>
              <w:rPr>
                <w:rFonts w:ascii="Arial" w:cs="Arial" w:eastAsia="Arial" w:hAnsi="Arial"/>
                <w:sz w:val="11"/>
                <w:szCs w:val="11"/>
                <w:b w:val="1"/>
                <w:bCs w:val="1"/>
                <w:color w:val="050505"/>
              </w:rPr>
              <w:t>(dollars in millions)</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r>
      <w:tr>
        <w:trPr>
          <w:trHeight w:val="126"/>
        </w:trPr>
        <w:tc>
          <w:tcPr>
            <w:tcW w:w="1400" w:type="dxa"/>
            <w:vAlign w:val="bottom"/>
            <w:shd w:val="clear" w:color="auto" w:fill="CCEEFF"/>
          </w:tcPr>
          <w:p>
            <w:pPr>
              <w:ind w:left="40"/>
              <w:spacing w:after="0" w:line="126" w:lineRule="exact"/>
              <w:rPr>
                <w:sz w:val="20"/>
                <w:szCs w:val="20"/>
                <w:color w:val="auto"/>
              </w:rPr>
            </w:pPr>
            <w:r>
              <w:rPr>
                <w:rFonts w:ascii="Arial" w:cs="Arial" w:eastAsia="Arial" w:hAnsi="Arial"/>
                <w:sz w:val="9"/>
                <w:szCs w:val="9"/>
                <w:color w:val="050505"/>
              </w:rPr>
              <w:t>Net loss</w:t>
            </w:r>
            <w:r>
              <w:rPr>
                <w:rFonts w:ascii="Arial" w:cs="Arial" w:eastAsia="Arial" w:hAnsi="Arial"/>
                <w:sz w:val="14"/>
                <w:szCs w:val="14"/>
                <w:color w:val="050505"/>
                <w:vertAlign w:val="superscript"/>
              </w:rPr>
              <w:t>(1)</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050505"/>
              </w:rPr>
              <w:t>$</w:t>
            </w: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11"/>
                <w:szCs w:val="11"/>
                <w:color w:val="050505"/>
              </w:rPr>
              <w:t>(17.0)</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050505"/>
              </w:rPr>
              <w:t>$</w:t>
            </w: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050505"/>
              </w:rPr>
              <w:t>(4.4)</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050505"/>
              </w:rPr>
              <w:t>$</w:t>
            </w: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050505"/>
              </w:rPr>
              <w:t>(15.6)</w:t>
            </w:r>
          </w:p>
        </w:tc>
        <w:tc>
          <w:tcPr>
            <w:tcW w:w="1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1"/>
                <w:szCs w:val="11"/>
                <w:color w:val="050505"/>
              </w:rPr>
              <w:t>$</w:t>
            </w: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050505"/>
              </w:rPr>
              <w:t>(10.9)</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050505"/>
              </w:rPr>
              <w:t>$</w:t>
            </w: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050505"/>
              </w:rPr>
              <w:t>(54.5)</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050505"/>
              </w:rPr>
              <w:t>$</w:t>
            </w: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050505"/>
              </w:rPr>
              <w:t>(55.1)</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050505"/>
              </w:rPr>
              <w:t>$</w:t>
            </w: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050505"/>
              </w:rPr>
              <w:t>(38.6)</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050505"/>
              </w:rPr>
              <w:t>$</w:t>
            </w: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050505"/>
              </w:rPr>
              <w:t>(47.4)</w:t>
            </w:r>
          </w:p>
        </w:tc>
      </w:tr>
      <w:tr>
        <w:trPr>
          <w:trHeight w:val="127"/>
        </w:trPr>
        <w:tc>
          <w:tcPr>
            <w:tcW w:w="1400" w:type="dxa"/>
            <w:vAlign w:val="bottom"/>
          </w:tcPr>
          <w:p>
            <w:pPr>
              <w:ind w:left="40"/>
              <w:spacing w:after="0"/>
              <w:rPr>
                <w:sz w:val="20"/>
                <w:szCs w:val="20"/>
                <w:color w:val="auto"/>
              </w:rPr>
            </w:pPr>
            <w:r>
              <w:rPr>
                <w:rFonts w:ascii="Arial" w:cs="Arial" w:eastAsia="Arial" w:hAnsi="Arial"/>
                <w:sz w:val="11"/>
                <w:szCs w:val="11"/>
                <w:color w:val="050505"/>
              </w:rPr>
              <w:t>Adjusted to exclude the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r>
      <w:tr>
        <w:trPr>
          <w:trHeight w:val="125"/>
        </w:trPr>
        <w:tc>
          <w:tcPr>
            <w:tcW w:w="1400" w:type="dxa"/>
            <w:vAlign w:val="bottom"/>
          </w:tcPr>
          <w:p>
            <w:pPr>
              <w:ind w:left="160"/>
              <w:spacing w:after="0" w:line="125" w:lineRule="exact"/>
              <w:rPr>
                <w:sz w:val="20"/>
                <w:szCs w:val="20"/>
                <w:color w:val="auto"/>
              </w:rPr>
            </w:pPr>
            <w:r>
              <w:rPr>
                <w:rFonts w:ascii="Arial" w:cs="Arial" w:eastAsia="Arial" w:hAnsi="Arial"/>
                <w:sz w:val="11"/>
                <w:szCs w:val="11"/>
                <w:color w:val="050505"/>
              </w:rPr>
              <w:t>following:</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60" w:type="dxa"/>
            <w:vAlign w:val="bottom"/>
          </w:tcPr>
          <w:p>
            <w:pPr>
              <w:spacing w:after="0"/>
              <w:rPr>
                <w:sz w:val="10"/>
                <w:szCs w:val="10"/>
                <w:color w:val="auto"/>
              </w:rPr>
            </w:pPr>
          </w:p>
        </w:tc>
      </w:tr>
      <w:tr>
        <w:trPr>
          <w:trHeight w:val="127"/>
        </w:trPr>
        <w:tc>
          <w:tcPr>
            <w:tcW w:w="1400" w:type="dxa"/>
            <w:vAlign w:val="bottom"/>
            <w:shd w:val="clear" w:color="auto" w:fill="CCEEFF"/>
          </w:tcPr>
          <w:p>
            <w:pPr>
              <w:ind w:left="160"/>
              <w:spacing w:after="0"/>
              <w:rPr>
                <w:sz w:val="20"/>
                <w:szCs w:val="20"/>
                <w:color w:val="auto"/>
              </w:rPr>
            </w:pPr>
            <w:r>
              <w:rPr>
                <w:rFonts w:ascii="Arial" w:cs="Arial" w:eastAsia="Arial" w:hAnsi="Arial"/>
                <w:sz w:val="11"/>
                <w:szCs w:val="11"/>
                <w:color w:val="050505"/>
              </w:rPr>
              <w:t>Other (expense) income,</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40" w:type="dxa"/>
            <w:vAlign w:val="bottom"/>
            <w:tcBorders>
              <w:right w:val="single" w:sz="8" w:color="CCEEFF"/>
            </w:tcBorders>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r>
      <w:tr>
        <w:trPr>
          <w:trHeight w:val="125"/>
        </w:trPr>
        <w:tc>
          <w:tcPr>
            <w:tcW w:w="1400" w:type="dxa"/>
            <w:vAlign w:val="bottom"/>
            <w:shd w:val="clear" w:color="auto" w:fill="CCEEFF"/>
          </w:tcPr>
          <w:p>
            <w:pPr>
              <w:ind w:left="260"/>
              <w:spacing w:after="0" w:line="125" w:lineRule="exact"/>
              <w:rPr>
                <w:sz w:val="20"/>
                <w:szCs w:val="20"/>
                <w:color w:val="auto"/>
              </w:rPr>
            </w:pPr>
            <w:r>
              <w:rPr>
                <w:rFonts w:ascii="Arial" w:cs="Arial" w:eastAsia="Arial" w:hAnsi="Arial"/>
                <w:sz w:val="11"/>
                <w:szCs w:val="11"/>
                <w:color w:val="050505"/>
              </w:rPr>
              <w:t>net</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gridSpan w:val="2"/>
            <w:shd w:val="clear" w:color="auto" w:fill="CCEEFF"/>
          </w:tcPr>
          <w:p>
            <w:pPr>
              <w:jc w:val="right"/>
              <w:ind w:right="200"/>
              <w:spacing w:after="0" w:line="125" w:lineRule="exact"/>
              <w:rPr>
                <w:sz w:val="20"/>
                <w:szCs w:val="20"/>
                <w:color w:val="auto"/>
              </w:rPr>
            </w:pPr>
            <w:r>
              <w:rPr>
                <w:rFonts w:ascii="Arial" w:cs="Arial" w:eastAsia="Arial" w:hAnsi="Arial"/>
                <w:sz w:val="11"/>
                <w:szCs w:val="11"/>
                <w:color w:val="050505"/>
              </w:rPr>
              <w:t>—</w:t>
            </w: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gridSpan w:val="2"/>
            <w:shd w:val="clear" w:color="auto" w:fill="CCEEFF"/>
          </w:tcPr>
          <w:p>
            <w:pPr>
              <w:jc w:val="right"/>
              <w:ind w:right="160"/>
              <w:spacing w:after="0" w:line="125" w:lineRule="exact"/>
              <w:rPr>
                <w:sz w:val="20"/>
                <w:szCs w:val="20"/>
                <w:color w:val="auto"/>
              </w:rPr>
            </w:pPr>
            <w:r>
              <w:rPr>
                <w:rFonts w:ascii="Arial" w:cs="Arial" w:eastAsia="Arial" w:hAnsi="Arial"/>
                <w:sz w:val="11"/>
                <w:szCs w:val="11"/>
                <w:color w:val="050505"/>
              </w:rPr>
              <w:t>(0.3)</w:t>
            </w: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gridSpan w:val="2"/>
            <w:shd w:val="clear" w:color="auto" w:fill="CCEEFF"/>
          </w:tcPr>
          <w:p>
            <w:pPr>
              <w:jc w:val="right"/>
              <w:ind w:right="160"/>
              <w:spacing w:after="0" w:line="125" w:lineRule="exact"/>
              <w:rPr>
                <w:sz w:val="20"/>
                <w:szCs w:val="20"/>
                <w:color w:val="auto"/>
              </w:rPr>
            </w:pPr>
            <w:r>
              <w:rPr>
                <w:rFonts w:ascii="Arial" w:cs="Arial" w:eastAsia="Arial" w:hAnsi="Arial"/>
                <w:sz w:val="11"/>
                <w:szCs w:val="11"/>
                <w:color w:val="050505"/>
              </w:rPr>
              <w:t>(0.2)</w:t>
            </w:r>
          </w:p>
        </w:tc>
        <w:tc>
          <w:tcPr>
            <w:tcW w:w="140" w:type="dxa"/>
            <w:vAlign w:val="bottom"/>
            <w:tcBorders>
              <w:right w:val="single" w:sz="8" w:color="CCEEFF"/>
            </w:tcBorders>
            <w:shd w:val="clear" w:color="auto" w:fill="CCEEFF"/>
          </w:tcPr>
          <w:p>
            <w:pPr>
              <w:spacing w:after="0"/>
              <w:rPr>
                <w:sz w:val="10"/>
                <w:szCs w:val="10"/>
                <w:color w:val="auto"/>
              </w:rPr>
            </w:pPr>
          </w:p>
        </w:tc>
        <w:tc>
          <w:tcPr>
            <w:tcW w:w="420" w:type="dxa"/>
            <w:vAlign w:val="bottom"/>
            <w:shd w:val="clear" w:color="auto" w:fill="CCEEFF"/>
          </w:tcPr>
          <w:p>
            <w:pPr>
              <w:jc w:val="right"/>
              <w:spacing w:after="0" w:line="125" w:lineRule="exact"/>
              <w:rPr>
                <w:sz w:val="20"/>
                <w:szCs w:val="20"/>
                <w:color w:val="auto"/>
              </w:rPr>
            </w:pPr>
            <w:r>
              <w:rPr>
                <w:rFonts w:ascii="Arial" w:cs="Arial" w:eastAsia="Arial" w:hAnsi="Arial"/>
                <w:sz w:val="11"/>
                <w:szCs w:val="11"/>
                <w:color w:val="050505"/>
              </w:rPr>
              <w:t>0.2</w:t>
            </w:r>
          </w:p>
        </w:tc>
        <w:tc>
          <w:tcPr>
            <w:tcW w:w="2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jc w:val="right"/>
              <w:spacing w:after="0" w:line="125" w:lineRule="exact"/>
              <w:rPr>
                <w:sz w:val="20"/>
                <w:szCs w:val="20"/>
                <w:color w:val="auto"/>
              </w:rPr>
            </w:pPr>
            <w:r>
              <w:rPr>
                <w:rFonts w:ascii="Arial" w:cs="Arial" w:eastAsia="Arial" w:hAnsi="Arial"/>
                <w:sz w:val="11"/>
                <w:szCs w:val="11"/>
                <w:color w:val="050505"/>
              </w:rPr>
              <w:t>1.0</w:t>
            </w:r>
          </w:p>
        </w:tc>
        <w:tc>
          <w:tcPr>
            <w:tcW w:w="2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0" w:type="dxa"/>
            <w:vAlign w:val="bottom"/>
            <w:shd w:val="clear" w:color="auto" w:fill="CCEEFF"/>
          </w:tcPr>
          <w:p>
            <w:pPr>
              <w:jc w:val="right"/>
              <w:spacing w:after="0" w:line="125" w:lineRule="exact"/>
              <w:rPr>
                <w:sz w:val="20"/>
                <w:szCs w:val="20"/>
                <w:color w:val="auto"/>
              </w:rPr>
            </w:pPr>
            <w:r>
              <w:rPr>
                <w:rFonts w:ascii="Arial" w:cs="Arial" w:eastAsia="Arial" w:hAnsi="Arial"/>
                <w:sz w:val="11"/>
                <w:szCs w:val="11"/>
                <w:color w:val="050505"/>
              </w:rPr>
              <w:t>0.9</w:t>
            </w:r>
          </w:p>
        </w:tc>
        <w:tc>
          <w:tcPr>
            <w:tcW w:w="1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jc w:val="right"/>
              <w:spacing w:after="0" w:line="125" w:lineRule="exact"/>
              <w:rPr>
                <w:sz w:val="20"/>
                <w:szCs w:val="20"/>
                <w:color w:val="auto"/>
              </w:rPr>
            </w:pPr>
            <w:r>
              <w:rPr>
                <w:rFonts w:ascii="Arial" w:cs="Arial" w:eastAsia="Arial" w:hAnsi="Arial"/>
                <w:sz w:val="11"/>
                <w:szCs w:val="11"/>
                <w:color w:val="050505"/>
              </w:rPr>
              <w:t>3.0</w:t>
            </w:r>
          </w:p>
        </w:tc>
        <w:tc>
          <w:tcPr>
            <w:tcW w:w="2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0" w:type="dxa"/>
            <w:vAlign w:val="bottom"/>
            <w:shd w:val="clear" w:color="auto" w:fill="CCEEFF"/>
          </w:tcPr>
          <w:p>
            <w:pPr>
              <w:jc w:val="right"/>
              <w:spacing w:after="0" w:line="125" w:lineRule="exact"/>
              <w:rPr>
                <w:sz w:val="20"/>
                <w:szCs w:val="20"/>
                <w:color w:val="auto"/>
              </w:rPr>
            </w:pPr>
            <w:r>
              <w:rPr>
                <w:rFonts w:ascii="Arial" w:cs="Arial" w:eastAsia="Arial" w:hAnsi="Arial"/>
                <w:sz w:val="11"/>
                <w:szCs w:val="11"/>
                <w:color w:val="050505"/>
              </w:rPr>
              <w:t>1.8</w:t>
            </w:r>
          </w:p>
        </w:tc>
        <w:tc>
          <w:tcPr>
            <w:tcW w:w="160" w:type="dxa"/>
            <w:vAlign w:val="bottom"/>
            <w:shd w:val="clear" w:color="auto" w:fill="CCEEFF"/>
          </w:tcPr>
          <w:p>
            <w:pPr>
              <w:spacing w:after="0"/>
              <w:rPr>
                <w:sz w:val="10"/>
                <w:szCs w:val="10"/>
                <w:color w:val="auto"/>
              </w:rPr>
            </w:pPr>
          </w:p>
        </w:tc>
      </w:tr>
      <w:tr>
        <w:trPr>
          <w:trHeight w:val="127"/>
        </w:trPr>
        <w:tc>
          <w:tcPr>
            <w:tcW w:w="1400" w:type="dxa"/>
            <w:vAlign w:val="bottom"/>
          </w:tcPr>
          <w:p>
            <w:pPr>
              <w:ind w:left="160"/>
              <w:spacing w:after="0"/>
              <w:rPr>
                <w:sz w:val="20"/>
                <w:szCs w:val="20"/>
                <w:color w:val="auto"/>
              </w:rPr>
            </w:pPr>
            <w:r>
              <w:rPr>
                <w:rFonts w:ascii="Arial" w:cs="Arial" w:eastAsia="Arial" w:hAnsi="Arial"/>
                <w:sz w:val="11"/>
                <w:szCs w:val="11"/>
                <w:color w:val="050505"/>
              </w:rPr>
              <w:t>Provision for income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r>
      <w:tr>
        <w:trPr>
          <w:trHeight w:val="125"/>
        </w:trPr>
        <w:tc>
          <w:tcPr>
            <w:tcW w:w="1400" w:type="dxa"/>
            <w:vAlign w:val="bottom"/>
          </w:tcPr>
          <w:p>
            <w:pPr>
              <w:ind w:left="260"/>
              <w:spacing w:after="0" w:line="125" w:lineRule="exact"/>
              <w:rPr>
                <w:sz w:val="20"/>
                <w:szCs w:val="20"/>
                <w:color w:val="auto"/>
              </w:rPr>
            </w:pPr>
            <w:r>
              <w:rPr>
                <w:rFonts w:ascii="Arial" w:cs="Arial" w:eastAsia="Arial" w:hAnsi="Arial"/>
                <w:sz w:val="11"/>
                <w:szCs w:val="11"/>
                <w:color w:val="050505"/>
              </w:rPr>
              <w:t>taxes</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gridSpan w:val="2"/>
          </w:tcPr>
          <w:p>
            <w:pPr>
              <w:jc w:val="right"/>
              <w:ind w:right="200"/>
              <w:spacing w:after="0" w:line="125" w:lineRule="exact"/>
              <w:rPr>
                <w:sz w:val="20"/>
                <w:szCs w:val="20"/>
                <w:color w:val="auto"/>
              </w:rPr>
            </w:pPr>
            <w:r>
              <w:rPr>
                <w:rFonts w:ascii="Arial" w:cs="Arial" w:eastAsia="Arial" w:hAnsi="Arial"/>
                <w:sz w:val="11"/>
                <w:szCs w:val="11"/>
                <w:color w:val="050505"/>
              </w:rPr>
              <w:t>—</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gridSpan w:val="2"/>
          </w:tcPr>
          <w:p>
            <w:pPr>
              <w:jc w:val="right"/>
              <w:ind w:right="200"/>
              <w:spacing w:after="0" w:line="125" w:lineRule="exact"/>
              <w:rPr>
                <w:sz w:val="20"/>
                <w:szCs w:val="20"/>
                <w:color w:val="auto"/>
              </w:rPr>
            </w:pPr>
            <w:r>
              <w:rPr>
                <w:rFonts w:ascii="Arial" w:cs="Arial" w:eastAsia="Arial" w:hAnsi="Arial"/>
                <w:sz w:val="11"/>
                <w:szCs w:val="11"/>
                <w:color w:val="050505"/>
              </w:rPr>
              <w:t>—</w:t>
            </w: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gridSpan w:val="2"/>
          </w:tcPr>
          <w:p>
            <w:pPr>
              <w:jc w:val="right"/>
              <w:ind w:right="200"/>
              <w:spacing w:after="0" w:line="125" w:lineRule="exact"/>
              <w:rPr>
                <w:sz w:val="20"/>
                <w:szCs w:val="20"/>
                <w:color w:val="auto"/>
              </w:rPr>
            </w:pPr>
            <w:r>
              <w:rPr>
                <w:rFonts w:ascii="Arial" w:cs="Arial" w:eastAsia="Arial" w:hAnsi="Arial"/>
                <w:sz w:val="11"/>
                <w:szCs w:val="11"/>
                <w:color w:val="050505"/>
              </w:rPr>
              <w:t>—</w:t>
            </w:r>
          </w:p>
        </w:tc>
        <w:tc>
          <w:tcPr>
            <w:tcW w:w="140" w:type="dxa"/>
            <w:vAlign w:val="bottom"/>
          </w:tcPr>
          <w:p>
            <w:pPr>
              <w:spacing w:after="0"/>
              <w:rPr>
                <w:sz w:val="10"/>
                <w:szCs w:val="10"/>
                <w:color w:val="auto"/>
              </w:rPr>
            </w:pPr>
          </w:p>
        </w:tc>
        <w:tc>
          <w:tcPr>
            <w:tcW w:w="420" w:type="dxa"/>
            <w:vAlign w:val="bottom"/>
          </w:tcPr>
          <w:p>
            <w:pPr>
              <w:jc w:val="right"/>
              <w:spacing w:after="0" w:line="125" w:lineRule="exact"/>
              <w:rPr>
                <w:sz w:val="20"/>
                <w:szCs w:val="20"/>
                <w:color w:val="auto"/>
              </w:rPr>
            </w:pPr>
            <w:r>
              <w:rPr>
                <w:rFonts w:ascii="Arial" w:cs="Arial" w:eastAsia="Arial" w:hAnsi="Arial"/>
                <w:sz w:val="11"/>
                <w:szCs w:val="11"/>
                <w:color w:val="050505"/>
              </w:rPr>
              <w:t>0.1</w:t>
            </w: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gridSpan w:val="2"/>
          </w:tcPr>
          <w:p>
            <w:pPr>
              <w:jc w:val="right"/>
              <w:ind w:right="200"/>
              <w:spacing w:after="0" w:line="125" w:lineRule="exact"/>
              <w:rPr>
                <w:sz w:val="20"/>
                <w:szCs w:val="20"/>
                <w:color w:val="auto"/>
              </w:rPr>
            </w:pPr>
            <w:r>
              <w:rPr>
                <w:rFonts w:ascii="Arial" w:cs="Arial" w:eastAsia="Arial" w:hAnsi="Arial"/>
                <w:sz w:val="11"/>
                <w:szCs w:val="11"/>
                <w:color w:val="050505"/>
              </w:rPr>
              <w:t>—</w:t>
            </w: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gridSpan w:val="2"/>
          </w:tcPr>
          <w:p>
            <w:pPr>
              <w:jc w:val="right"/>
              <w:ind w:right="180"/>
              <w:spacing w:after="0" w:line="125" w:lineRule="exact"/>
              <w:rPr>
                <w:sz w:val="20"/>
                <w:szCs w:val="20"/>
                <w:color w:val="auto"/>
              </w:rPr>
            </w:pPr>
            <w:r>
              <w:rPr>
                <w:rFonts w:ascii="Arial" w:cs="Arial" w:eastAsia="Arial" w:hAnsi="Arial"/>
                <w:sz w:val="11"/>
                <w:szCs w:val="11"/>
                <w:color w:val="050505"/>
              </w:rPr>
              <w:t>—</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jc w:val="right"/>
              <w:spacing w:after="0" w:line="125" w:lineRule="exact"/>
              <w:rPr>
                <w:sz w:val="20"/>
                <w:szCs w:val="20"/>
                <w:color w:val="auto"/>
              </w:rPr>
            </w:pPr>
            <w:r>
              <w:rPr>
                <w:rFonts w:ascii="Arial" w:cs="Arial" w:eastAsia="Arial" w:hAnsi="Arial"/>
                <w:sz w:val="11"/>
                <w:szCs w:val="11"/>
                <w:color w:val="050505"/>
              </w:rPr>
              <w:t>0.2</w:t>
            </w: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gridSpan w:val="2"/>
          </w:tcPr>
          <w:p>
            <w:pPr>
              <w:jc w:val="right"/>
              <w:ind w:right="140"/>
              <w:spacing w:after="0" w:line="125" w:lineRule="exact"/>
              <w:rPr>
                <w:sz w:val="20"/>
                <w:szCs w:val="20"/>
                <w:color w:val="auto"/>
              </w:rPr>
            </w:pPr>
            <w:r>
              <w:rPr>
                <w:rFonts w:ascii="Arial" w:cs="Arial" w:eastAsia="Arial" w:hAnsi="Arial"/>
                <w:sz w:val="11"/>
                <w:szCs w:val="11"/>
                <w:color w:val="050505"/>
              </w:rPr>
              <w:t>(0.1)</w:t>
            </w:r>
          </w:p>
        </w:tc>
      </w:tr>
      <w:tr>
        <w:trPr>
          <w:trHeight w:val="127"/>
        </w:trPr>
        <w:tc>
          <w:tcPr>
            <w:tcW w:w="1400" w:type="dxa"/>
            <w:vAlign w:val="bottom"/>
            <w:shd w:val="clear" w:color="auto" w:fill="CCEEFF"/>
          </w:tcPr>
          <w:p>
            <w:pPr>
              <w:ind w:left="160"/>
              <w:spacing w:after="0"/>
              <w:rPr>
                <w:sz w:val="20"/>
                <w:szCs w:val="20"/>
                <w:color w:val="auto"/>
              </w:rPr>
            </w:pPr>
            <w:r>
              <w:rPr>
                <w:rFonts w:ascii="Arial" w:cs="Arial" w:eastAsia="Arial" w:hAnsi="Arial"/>
                <w:sz w:val="11"/>
                <w:szCs w:val="11"/>
                <w:color w:val="050505"/>
              </w:rPr>
              <w:t>Depreciation and</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40" w:type="dxa"/>
            <w:vAlign w:val="bottom"/>
            <w:tcBorders>
              <w:right w:val="single" w:sz="8" w:color="CCEEFF"/>
            </w:tcBorders>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r>
      <w:tr>
        <w:trPr>
          <w:trHeight w:val="125"/>
        </w:trPr>
        <w:tc>
          <w:tcPr>
            <w:tcW w:w="1400" w:type="dxa"/>
            <w:vAlign w:val="bottom"/>
            <w:shd w:val="clear" w:color="auto" w:fill="CCEEFF"/>
          </w:tcPr>
          <w:p>
            <w:pPr>
              <w:ind w:left="260"/>
              <w:spacing w:after="0" w:line="125" w:lineRule="exact"/>
              <w:rPr>
                <w:sz w:val="20"/>
                <w:szCs w:val="20"/>
                <w:color w:val="auto"/>
              </w:rPr>
            </w:pPr>
            <w:r>
              <w:rPr>
                <w:rFonts w:ascii="Arial" w:cs="Arial" w:eastAsia="Arial" w:hAnsi="Arial"/>
                <w:sz w:val="11"/>
                <w:szCs w:val="11"/>
                <w:color w:val="050505"/>
              </w:rPr>
              <w:t>amortization expense</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jc w:val="right"/>
              <w:spacing w:after="0" w:line="125" w:lineRule="exact"/>
              <w:rPr>
                <w:sz w:val="20"/>
                <w:szCs w:val="20"/>
                <w:color w:val="auto"/>
              </w:rPr>
            </w:pPr>
            <w:r>
              <w:rPr>
                <w:rFonts w:ascii="Arial" w:cs="Arial" w:eastAsia="Arial" w:hAnsi="Arial"/>
                <w:sz w:val="11"/>
                <w:szCs w:val="11"/>
                <w:color w:val="050505"/>
              </w:rPr>
              <w:t>1.1</w:t>
            </w:r>
          </w:p>
        </w:tc>
        <w:tc>
          <w:tcPr>
            <w:tcW w:w="2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jc w:val="right"/>
              <w:spacing w:after="0" w:line="125" w:lineRule="exact"/>
              <w:rPr>
                <w:sz w:val="20"/>
                <w:szCs w:val="20"/>
                <w:color w:val="auto"/>
              </w:rPr>
            </w:pPr>
            <w:r>
              <w:rPr>
                <w:rFonts w:ascii="Arial" w:cs="Arial" w:eastAsia="Arial" w:hAnsi="Arial"/>
                <w:sz w:val="11"/>
                <w:szCs w:val="11"/>
                <w:color w:val="050505"/>
              </w:rPr>
              <w:t>1.4</w:t>
            </w:r>
          </w:p>
        </w:tc>
        <w:tc>
          <w:tcPr>
            <w:tcW w:w="2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0" w:type="dxa"/>
            <w:vAlign w:val="bottom"/>
            <w:shd w:val="clear" w:color="auto" w:fill="CCEEFF"/>
          </w:tcPr>
          <w:p>
            <w:pPr>
              <w:jc w:val="right"/>
              <w:spacing w:after="0" w:line="125" w:lineRule="exact"/>
              <w:rPr>
                <w:sz w:val="20"/>
                <w:szCs w:val="20"/>
                <w:color w:val="auto"/>
              </w:rPr>
            </w:pPr>
            <w:r>
              <w:rPr>
                <w:rFonts w:ascii="Arial" w:cs="Arial" w:eastAsia="Arial" w:hAnsi="Arial"/>
                <w:sz w:val="11"/>
                <w:szCs w:val="11"/>
                <w:color w:val="050505"/>
              </w:rPr>
              <w:t>1.5</w:t>
            </w:r>
          </w:p>
        </w:tc>
        <w:tc>
          <w:tcPr>
            <w:tcW w:w="180" w:type="dxa"/>
            <w:vAlign w:val="bottom"/>
            <w:shd w:val="clear" w:color="auto" w:fill="CCEEFF"/>
          </w:tcPr>
          <w:p>
            <w:pPr>
              <w:spacing w:after="0"/>
              <w:rPr>
                <w:sz w:val="10"/>
                <w:szCs w:val="10"/>
                <w:color w:val="auto"/>
              </w:rPr>
            </w:pPr>
          </w:p>
        </w:tc>
        <w:tc>
          <w:tcPr>
            <w:tcW w:w="140" w:type="dxa"/>
            <w:vAlign w:val="bottom"/>
            <w:tcBorders>
              <w:right w:val="single" w:sz="8" w:color="CCEEFF"/>
            </w:tcBorders>
            <w:shd w:val="clear" w:color="auto" w:fill="CCEEFF"/>
          </w:tcPr>
          <w:p>
            <w:pPr>
              <w:spacing w:after="0"/>
              <w:rPr>
                <w:sz w:val="10"/>
                <w:szCs w:val="10"/>
                <w:color w:val="auto"/>
              </w:rPr>
            </w:pPr>
          </w:p>
        </w:tc>
        <w:tc>
          <w:tcPr>
            <w:tcW w:w="420" w:type="dxa"/>
            <w:vAlign w:val="bottom"/>
            <w:shd w:val="clear" w:color="auto" w:fill="CCEEFF"/>
          </w:tcPr>
          <w:p>
            <w:pPr>
              <w:jc w:val="right"/>
              <w:spacing w:after="0" w:line="125" w:lineRule="exact"/>
              <w:rPr>
                <w:sz w:val="20"/>
                <w:szCs w:val="20"/>
                <w:color w:val="auto"/>
              </w:rPr>
            </w:pPr>
            <w:r>
              <w:rPr>
                <w:rFonts w:ascii="Arial" w:cs="Arial" w:eastAsia="Arial" w:hAnsi="Arial"/>
                <w:sz w:val="11"/>
                <w:szCs w:val="11"/>
                <w:color w:val="050505"/>
              </w:rPr>
              <w:t>2.6</w:t>
            </w:r>
          </w:p>
        </w:tc>
        <w:tc>
          <w:tcPr>
            <w:tcW w:w="2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jc w:val="right"/>
              <w:spacing w:after="0" w:line="125" w:lineRule="exact"/>
              <w:rPr>
                <w:sz w:val="20"/>
                <w:szCs w:val="20"/>
                <w:color w:val="auto"/>
              </w:rPr>
            </w:pPr>
            <w:r>
              <w:rPr>
                <w:rFonts w:ascii="Arial" w:cs="Arial" w:eastAsia="Arial" w:hAnsi="Arial"/>
                <w:sz w:val="11"/>
                <w:szCs w:val="11"/>
                <w:color w:val="050505"/>
              </w:rPr>
              <w:t>4.2</w:t>
            </w:r>
          </w:p>
        </w:tc>
        <w:tc>
          <w:tcPr>
            <w:tcW w:w="2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0" w:type="dxa"/>
            <w:vAlign w:val="bottom"/>
            <w:shd w:val="clear" w:color="auto" w:fill="CCEEFF"/>
          </w:tcPr>
          <w:p>
            <w:pPr>
              <w:jc w:val="right"/>
              <w:spacing w:after="0" w:line="125" w:lineRule="exact"/>
              <w:rPr>
                <w:sz w:val="20"/>
                <w:szCs w:val="20"/>
                <w:color w:val="auto"/>
              </w:rPr>
            </w:pPr>
            <w:r>
              <w:rPr>
                <w:rFonts w:ascii="Arial" w:cs="Arial" w:eastAsia="Arial" w:hAnsi="Arial"/>
                <w:sz w:val="11"/>
                <w:szCs w:val="11"/>
                <w:color w:val="050505"/>
              </w:rPr>
              <w:t>5.0</w:t>
            </w:r>
          </w:p>
        </w:tc>
        <w:tc>
          <w:tcPr>
            <w:tcW w:w="1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jc w:val="right"/>
              <w:spacing w:after="0" w:line="125" w:lineRule="exact"/>
              <w:rPr>
                <w:sz w:val="20"/>
                <w:szCs w:val="20"/>
                <w:color w:val="auto"/>
              </w:rPr>
            </w:pPr>
            <w:r>
              <w:rPr>
                <w:rFonts w:ascii="Arial" w:cs="Arial" w:eastAsia="Arial" w:hAnsi="Arial"/>
                <w:sz w:val="11"/>
                <w:szCs w:val="11"/>
                <w:color w:val="050505"/>
              </w:rPr>
              <w:t>5.8</w:t>
            </w:r>
          </w:p>
        </w:tc>
        <w:tc>
          <w:tcPr>
            <w:tcW w:w="2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0" w:type="dxa"/>
            <w:vAlign w:val="bottom"/>
            <w:shd w:val="clear" w:color="auto" w:fill="CCEEFF"/>
          </w:tcPr>
          <w:p>
            <w:pPr>
              <w:jc w:val="right"/>
              <w:spacing w:after="0" w:line="125" w:lineRule="exact"/>
              <w:rPr>
                <w:sz w:val="20"/>
                <w:szCs w:val="20"/>
                <w:color w:val="auto"/>
              </w:rPr>
            </w:pPr>
            <w:r>
              <w:rPr>
                <w:rFonts w:ascii="Arial" w:cs="Arial" w:eastAsia="Arial" w:hAnsi="Arial"/>
                <w:sz w:val="11"/>
                <w:szCs w:val="11"/>
                <w:color w:val="050505"/>
              </w:rPr>
              <w:t>6.7</w:t>
            </w:r>
          </w:p>
        </w:tc>
        <w:tc>
          <w:tcPr>
            <w:tcW w:w="160" w:type="dxa"/>
            <w:vAlign w:val="bottom"/>
            <w:shd w:val="clear" w:color="auto" w:fill="CCEEFF"/>
          </w:tcPr>
          <w:p>
            <w:pPr>
              <w:spacing w:after="0"/>
              <w:rPr>
                <w:sz w:val="10"/>
                <w:szCs w:val="10"/>
                <w:color w:val="auto"/>
              </w:rPr>
            </w:pPr>
          </w:p>
        </w:tc>
      </w:tr>
      <w:tr>
        <w:trPr>
          <w:trHeight w:val="127"/>
        </w:trPr>
        <w:tc>
          <w:tcPr>
            <w:tcW w:w="1400" w:type="dxa"/>
            <w:vAlign w:val="bottom"/>
          </w:tcPr>
          <w:p>
            <w:pPr>
              <w:ind w:left="160"/>
              <w:spacing w:after="0"/>
              <w:rPr>
                <w:sz w:val="20"/>
                <w:szCs w:val="20"/>
                <w:color w:val="auto"/>
              </w:rPr>
            </w:pPr>
            <w:r>
              <w:rPr>
                <w:rFonts w:ascii="Arial" w:cs="Arial" w:eastAsia="Arial" w:hAnsi="Arial"/>
                <w:sz w:val="11"/>
                <w:szCs w:val="11"/>
                <w:color w:val="050505"/>
              </w:rPr>
              <w:t>Stock-based</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r>
      <w:tr>
        <w:trPr>
          <w:trHeight w:val="126"/>
        </w:trPr>
        <w:tc>
          <w:tcPr>
            <w:tcW w:w="1400" w:type="dxa"/>
            <w:vAlign w:val="bottom"/>
          </w:tcPr>
          <w:p>
            <w:pPr>
              <w:ind w:left="260"/>
              <w:spacing w:after="0"/>
              <w:rPr>
                <w:sz w:val="20"/>
                <w:szCs w:val="20"/>
                <w:color w:val="auto"/>
              </w:rPr>
            </w:pPr>
            <w:r>
              <w:rPr>
                <w:rFonts w:ascii="Arial" w:cs="Arial" w:eastAsia="Arial" w:hAnsi="Arial"/>
                <w:sz w:val="11"/>
                <w:szCs w:val="11"/>
                <w:color w:val="050505"/>
              </w:rPr>
              <w:t>compensation</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60" w:type="dxa"/>
            <w:vAlign w:val="bottom"/>
          </w:tcPr>
          <w:p>
            <w:pPr>
              <w:spacing w:after="0"/>
              <w:rPr>
                <w:sz w:val="10"/>
                <w:szCs w:val="10"/>
                <w:color w:val="auto"/>
              </w:rPr>
            </w:pPr>
          </w:p>
        </w:tc>
      </w:tr>
      <w:tr>
        <w:trPr>
          <w:trHeight w:val="125"/>
        </w:trPr>
        <w:tc>
          <w:tcPr>
            <w:tcW w:w="1400" w:type="dxa"/>
            <w:vAlign w:val="bottom"/>
          </w:tcPr>
          <w:p>
            <w:pPr>
              <w:ind w:left="260"/>
              <w:spacing w:after="0" w:line="125" w:lineRule="exact"/>
              <w:rPr>
                <w:sz w:val="20"/>
                <w:szCs w:val="20"/>
                <w:color w:val="auto"/>
              </w:rPr>
            </w:pPr>
            <w:r>
              <w:rPr>
                <w:rFonts w:ascii="Arial" w:cs="Arial" w:eastAsia="Arial" w:hAnsi="Arial"/>
                <w:sz w:val="11"/>
                <w:szCs w:val="11"/>
                <w:color w:val="050505"/>
              </w:rPr>
              <w:t>expense</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jc w:val="right"/>
              <w:spacing w:after="0" w:line="125" w:lineRule="exact"/>
              <w:rPr>
                <w:sz w:val="20"/>
                <w:szCs w:val="20"/>
                <w:color w:val="auto"/>
              </w:rPr>
            </w:pPr>
            <w:r>
              <w:rPr>
                <w:rFonts w:ascii="Arial" w:cs="Arial" w:eastAsia="Arial" w:hAnsi="Arial"/>
                <w:sz w:val="11"/>
                <w:szCs w:val="11"/>
                <w:color w:val="050505"/>
              </w:rPr>
              <w:t>2.0</w:t>
            </w: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jc w:val="right"/>
              <w:spacing w:after="0" w:line="125" w:lineRule="exact"/>
              <w:rPr>
                <w:sz w:val="20"/>
                <w:szCs w:val="20"/>
                <w:color w:val="auto"/>
              </w:rPr>
            </w:pPr>
            <w:r>
              <w:rPr>
                <w:rFonts w:ascii="Arial" w:cs="Arial" w:eastAsia="Arial" w:hAnsi="Arial"/>
                <w:sz w:val="11"/>
                <w:szCs w:val="11"/>
                <w:color w:val="050505"/>
              </w:rPr>
              <w:t>1.8</w:t>
            </w: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jc w:val="right"/>
              <w:spacing w:after="0" w:line="125" w:lineRule="exact"/>
              <w:rPr>
                <w:sz w:val="20"/>
                <w:szCs w:val="20"/>
                <w:color w:val="auto"/>
              </w:rPr>
            </w:pPr>
            <w:r>
              <w:rPr>
                <w:rFonts w:ascii="Arial" w:cs="Arial" w:eastAsia="Arial" w:hAnsi="Arial"/>
                <w:sz w:val="11"/>
                <w:szCs w:val="11"/>
                <w:color w:val="050505"/>
              </w:rPr>
              <w:t>1.7</w:t>
            </w: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20" w:type="dxa"/>
            <w:vAlign w:val="bottom"/>
          </w:tcPr>
          <w:p>
            <w:pPr>
              <w:jc w:val="right"/>
              <w:spacing w:after="0" w:line="125" w:lineRule="exact"/>
              <w:rPr>
                <w:sz w:val="20"/>
                <w:szCs w:val="20"/>
                <w:color w:val="auto"/>
              </w:rPr>
            </w:pPr>
            <w:r>
              <w:rPr>
                <w:rFonts w:ascii="Arial" w:cs="Arial" w:eastAsia="Arial" w:hAnsi="Arial"/>
                <w:sz w:val="11"/>
                <w:szCs w:val="11"/>
                <w:color w:val="050505"/>
              </w:rPr>
              <w:t>3.0</w:t>
            </w: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jc w:val="right"/>
              <w:spacing w:after="0" w:line="125" w:lineRule="exact"/>
              <w:rPr>
                <w:sz w:val="20"/>
                <w:szCs w:val="20"/>
                <w:color w:val="auto"/>
              </w:rPr>
            </w:pPr>
            <w:r>
              <w:rPr>
                <w:rFonts w:ascii="Arial" w:cs="Arial" w:eastAsia="Arial" w:hAnsi="Arial"/>
                <w:sz w:val="11"/>
                <w:szCs w:val="11"/>
                <w:color w:val="050505"/>
              </w:rPr>
              <w:t>36.7</w:t>
            </w: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jc w:val="right"/>
              <w:spacing w:after="0" w:line="125" w:lineRule="exact"/>
              <w:rPr>
                <w:sz w:val="20"/>
                <w:szCs w:val="20"/>
                <w:color w:val="auto"/>
              </w:rPr>
            </w:pPr>
            <w:r>
              <w:rPr>
                <w:rFonts w:ascii="Arial" w:cs="Arial" w:eastAsia="Arial" w:hAnsi="Arial"/>
                <w:sz w:val="11"/>
                <w:szCs w:val="11"/>
                <w:color w:val="050505"/>
              </w:rPr>
              <w:t>31.8</w:t>
            </w: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jc w:val="right"/>
              <w:spacing w:after="0" w:line="125" w:lineRule="exact"/>
              <w:rPr>
                <w:sz w:val="20"/>
                <w:szCs w:val="20"/>
                <w:color w:val="auto"/>
              </w:rPr>
            </w:pPr>
            <w:r>
              <w:rPr>
                <w:rFonts w:ascii="Arial" w:cs="Arial" w:eastAsia="Arial" w:hAnsi="Arial"/>
                <w:sz w:val="11"/>
                <w:szCs w:val="11"/>
                <w:color w:val="050505"/>
              </w:rPr>
              <w:t>7.5</w:t>
            </w: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jc w:val="right"/>
              <w:spacing w:after="0" w:line="125" w:lineRule="exact"/>
              <w:rPr>
                <w:sz w:val="20"/>
                <w:szCs w:val="20"/>
                <w:color w:val="auto"/>
              </w:rPr>
            </w:pPr>
            <w:r>
              <w:rPr>
                <w:rFonts w:ascii="Arial" w:cs="Arial" w:eastAsia="Arial" w:hAnsi="Arial"/>
                <w:sz w:val="11"/>
                <w:szCs w:val="11"/>
                <w:color w:val="050505"/>
              </w:rPr>
              <w:t>13.5</w:t>
            </w:r>
          </w:p>
        </w:tc>
        <w:tc>
          <w:tcPr>
            <w:tcW w:w="160" w:type="dxa"/>
            <w:vAlign w:val="bottom"/>
          </w:tcPr>
          <w:p>
            <w:pPr>
              <w:spacing w:after="0"/>
              <w:rPr>
                <w:sz w:val="10"/>
                <w:szCs w:val="10"/>
                <w:color w:val="auto"/>
              </w:rPr>
            </w:pPr>
          </w:p>
        </w:tc>
      </w:tr>
      <w:tr>
        <w:trPr>
          <w:trHeight w:val="126"/>
        </w:trPr>
        <w:tc>
          <w:tcPr>
            <w:tcW w:w="1400" w:type="dxa"/>
            <w:vAlign w:val="bottom"/>
            <w:shd w:val="clear" w:color="auto" w:fill="CCEEFF"/>
          </w:tcPr>
          <w:p>
            <w:pPr>
              <w:ind w:left="160"/>
              <w:spacing w:after="0"/>
              <w:rPr>
                <w:sz w:val="20"/>
                <w:szCs w:val="20"/>
                <w:color w:val="auto"/>
              </w:rPr>
            </w:pPr>
            <w:r>
              <w:rPr>
                <w:rFonts w:ascii="Arial" w:cs="Arial" w:eastAsia="Arial" w:hAnsi="Arial"/>
                <w:sz w:val="11"/>
                <w:szCs w:val="11"/>
                <w:color w:val="050505"/>
              </w:rPr>
              <w:t>Transaction costs</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1"/>
                <w:szCs w:val="11"/>
                <w:color w:val="050505"/>
              </w:rPr>
              <w:t>—</w:t>
            </w: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1"/>
                <w:szCs w:val="11"/>
                <w:color w:val="050505"/>
              </w:rPr>
              <w:t>—</w:t>
            </w: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gridSpan w:val="2"/>
            <w:shd w:val="clear" w:color="auto" w:fill="CCEEFF"/>
          </w:tcPr>
          <w:p>
            <w:pPr>
              <w:jc w:val="right"/>
              <w:ind w:right="200"/>
              <w:spacing w:after="0"/>
              <w:rPr>
                <w:sz w:val="20"/>
                <w:szCs w:val="20"/>
                <w:color w:val="auto"/>
              </w:rPr>
            </w:pPr>
            <w:r>
              <w:rPr>
                <w:rFonts w:ascii="Arial" w:cs="Arial" w:eastAsia="Arial" w:hAnsi="Arial"/>
                <w:sz w:val="11"/>
                <w:szCs w:val="11"/>
                <w:color w:val="050505"/>
              </w:rPr>
              <w:t>—</w:t>
            </w:r>
          </w:p>
        </w:tc>
        <w:tc>
          <w:tcPr>
            <w:tcW w:w="140" w:type="dxa"/>
            <w:vAlign w:val="bottom"/>
            <w:tcBorders>
              <w:right w:val="single" w:sz="8" w:color="CCEEFF"/>
            </w:tcBorders>
            <w:shd w:val="clear" w:color="auto" w:fill="CCEEFF"/>
          </w:tcPr>
          <w:p>
            <w:pPr>
              <w:spacing w:after="0"/>
              <w:rPr>
                <w:sz w:val="10"/>
                <w:szCs w:val="10"/>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1"/>
                <w:szCs w:val="11"/>
                <w:color w:val="050505"/>
              </w:rPr>
              <w:t>0.5</w:t>
            </w:r>
          </w:p>
        </w:tc>
        <w:tc>
          <w:tcPr>
            <w:tcW w:w="2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1"/>
                <w:szCs w:val="11"/>
                <w:color w:val="050505"/>
              </w:rPr>
              <w:t>—</w:t>
            </w: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1"/>
                <w:szCs w:val="11"/>
                <w:color w:val="050505"/>
              </w:rPr>
              <w:t>—</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1"/>
                <w:szCs w:val="11"/>
                <w:color w:val="050505"/>
              </w:rPr>
              <w:t>—</w:t>
            </w: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1"/>
                <w:szCs w:val="11"/>
                <w:color w:val="050505"/>
              </w:rPr>
              <w:t>0.4</w:t>
            </w:r>
          </w:p>
        </w:tc>
        <w:tc>
          <w:tcPr>
            <w:tcW w:w="160" w:type="dxa"/>
            <w:vAlign w:val="bottom"/>
            <w:shd w:val="clear" w:color="auto" w:fill="CCEEFF"/>
          </w:tcPr>
          <w:p>
            <w:pPr>
              <w:spacing w:after="0"/>
              <w:rPr>
                <w:sz w:val="10"/>
                <w:szCs w:val="10"/>
                <w:color w:val="auto"/>
              </w:rPr>
            </w:pPr>
          </w:p>
        </w:tc>
      </w:tr>
      <w:tr>
        <w:trPr>
          <w:trHeight w:val="126"/>
        </w:trPr>
        <w:tc>
          <w:tcPr>
            <w:tcW w:w="1400" w:type="dxa"/>
            <w:vAlign w:val="bottom"/>
          </w:tcPr>
          <w:p>
            <w:pPr>
              <w:ind w:left="160"/>
              <w:spacing w:after="0"/>
              <w:rPr>
                <w:sz w:val="20"/>
                <w:szCs w:val="20"/>
                <w:color w:val="auto"/>
              </w:rPr>
            </w:pPr>
            <w:r>
              <w:rPr>
                <w:rFonts w:ascii="Arial" w:cs="Arial" w:eastAsia="Arial" w:hAnsi="Arial"/>
                <w:sz w:val="11"/>
                <w:szCs w:val="11"/>
                <w:color w:val="050505"/>
              </w:rPr>
              <w:t>Litigation expenses</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jc w:val="right"/>
              <w:spacing w:after="0"/>
              <w:rPr>
                <w:sz w:val="20"/>
                <w:szCs w:val="20"/>
                <w:color w:val="auto"/>
              </w:rPr>
            </w:pPr>
            <w:r>
              <w:rPr>
                <w:rFonts w:ascii="Arial" w:cs="Arial" w:eastAsia="Arial" w:hAnsi="Arial"/>
                <w:sz w:val="11"/>
                <w:szCs w:val="11"/>
                <w:color w:val="050505"/>
              </w:rPr>
              <w:t>0.2</w:t>
            </w: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jc w:val="right"/>
              <w:spacing w:after="0"/>
              <w:rPr>
                <w:sz w:val="20"/>
                <w:szCs w:val="20"/>
                <w:color w:val="auto"/>
              </w:rPr>
            </w:pPr>
            <w:r>
              <w:rPr>
                <w:rFonts w:ascii="Arial" w:cs="Arial" w:eastAsia="Arial" w:hAnsi="Arial"/>
                <w:sz w:val="11"/>
                <w:szCs w:val="11"/>
                <w:color w:val="050505"/>
              </w:rPr>
              <w:t>0.1</w:t>
            </w: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jc w:val="right"/>
              <w:spacing w:after="0"/>
              <w:rPr>
                <w:sz w:val="20"/>
                <w:szCs w:val="20"/>
                <w:color w:val="auto"/>
              </w:rPr>
            </w:pPr>
            <w:r>
              <w:rPr>
                <w:rFonts w:ascii="Arial" w:cs="Arial" w:eastAsia="Arial" w:hAnsi="Arial"/>
                <w:sz w:val="11"/>
                <w:szCs w:val="11"/>
                <w:color w:val="050505"/>
              </w:rPr>
              <w:t>0.6</w:t>
            </w: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20" w:type="dxa"/>
            <w:vAlign w:val="bottom"/>
          </w:tcPr>
          <w:p>
            <w:pPr>
              <w:jc w:val="right"/>
              <w:spacing w:after="0"/>
              <w:rPr>
                <w:sz w:val="20"/>
                <w:szCs w:val="20"/>
                <w:color w:val="auto"/>
              </w:rPr>
            </w:pPr>
            <w:r>
              <w:rPr>
                <w:rFonts w:ascii="Arial" w:cs="Arial" w:eastAsia="Arial" w:hAnsi="Arial"/>
                <w:sz w:val="11"/>
                <w:szCs w:val="11"/>
                <w:color w:val="050505"/>
              </w:rPr>
              <w:t>0.7</w:t>
            </w: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jc w:val="right"/>
              <w:spacing w:after="0"/>
              <w:rPr>
                <w:sz w:val="20"/>
                <w:szCs w:val="20"/>
                <w:color w:val="auto"/>
              </w:rPr>
            </w:pPr>
            <w:r>
              <w:rPr>
                <w:rFonts w:ascii="Arial" w:cs="Arial" w:eastAsia="Arial" w:hAnsi="Arial"/>
                <w:sz w:val="11"/>
                <w:szCs w:val="11"/>
                <w:color w:val="050505"/>
              </w:rPr>
              <w:t>1.2</w:t>
            </w: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jc w:val="right"/>
              <w:spacing w:after="0"/>
              <w:rPr>
                <w:sz w:val="20"/>
                <w:szCs w:val="20"/>
                <w:color w:val="auto"/>
              </w:rPr>
            </w:pPr>
            <w:r>
              <w:rPr>
                <w:rFonts w:ascii="Arial" w:cs="Arial" w:eastAsia="Arial" w:hAnsi="Arial"/>
                <w:sz w:val="11"/>
                <w:szCs w:val="11"/>
                <w:color w:val="050505"/>
              </w:rPr>
              <w:t>2.8</w:t>
            </w: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jc w:val="right"/>
              <w:spacing w:after="0"/>
              <w:rPr>
                <w:sz w:val="20"/>
                <w:szCs w:val="20"/>
                <w:color w:val="auto"/>
              </w:rPr>
            </w:pPr>
            <w:r>
              <w:rPr>
                <w:rFonts w:ascii="Arial" w:cs="Arial" w:eastAsia="Arial" w:hAnsi="Arial"/>
                <w:sz w:val="11"/>
                <w:szCs w:val="11"/>
                <w:color w:val="050505"/>
              </w:rPr>
              <w:t>5.8</w:t>
            </w: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jc w:val="right"/>
              <w:spacing w:after="0"/>
              <w:rPr>
                <w:sz w:val="20"/>
                <w:szCs w:val="20"/>
                <w:color w:val="auto"/>
              </w:rPr>
            </w:pPr>
            <w:r>
              <w:rPr>
                <w:rFonts w:ascii="Arial" w:cs="Arial" w:eastAsia="Arial" w:hAnsi="Arial"/>
                <w:sz w:val="11"/>
                <w:szCs w:val="11"/>
                <w:color w:val="050505"/>
              </w:rPr>
              <w:t>2.3</w:t>
            </w:r>
          </w:p>
        </w:tc>
        <w:tc>
          <w:tcPr>
            <w:tcW w:w="160" w:type="dxa"/>
            <w:vAlign w:val="bottom"/>
          </w:tcPr>
          <w:p>
            <w:pPr>
              <w:spacing w:after="0"/>
              <w:rPr>
                <w:sz w:val="10"/>
                <w:szCs w:val="10"/>
                <w:color w:val="auto"/>
              </w:rPr>
            </w:pPr>
          </w:p>
        </w:tc>
      </w:tr>
      <w:tr>
        <w:trPr>
          <w:trHeight w:val="127"/>
        </w:trPr>
        <w:tc>
          <w:tcPr>
            <w:tcW w:w="1400" w:type="dxa"/>
            <w:vAlign w:val="bottom"/>
            <w:shd w:val="clear" w:color="auto" w:fill="CCEEFF"/>
          </w:tcPr>
          <w:p>
            <w:pPr>
              <w:ind w:left="160"/>
              <w:spacing w:after="0"/>
              <w:rPr>
                <w:sz w:val="20"/>
                <w:szCs w:val="20"/>
                <w:color w:val="auto"/>
              </w:rPr>
            </w:pPr>
            <w:r>
              <w:rPr>
                <w:rFonts w:ascii="Arial" w:cs="Arial" w:eastAsia="Arial" w:hAnsi="Arial"/>
                <w:sz w:val="11"/>
                <w:szCs w:val="11"/>
                <w:color w:val="050505"/>
              </w:rPr>
              <w:t>Ground lease expense</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40" w:type="dxa"/>
            <w:vAlign w:val="bottom"/>
            <w:tcBorders>
              <w:right w:val="single" w:sz="8" w:color="CCEEFF"/>
            </w:tcBorders>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r>
      <w:tr>
        <w:trPr>
          <w:trHeight w:val="126"/>
        </w:trPr>
        <w:tc>
          <w:tcPr>
            <w:tcW w:w="1400" w:type="dxa"/>
            <w:vAlign w:val="bottom"/>
            <w:shd w:val="clear" w:color="auto" w:fill="CCEEFF"/>
          </w:tcPr>
          <w:p>
            <w:pPr>
              <w:ind w:left="260"/>
              <w:spacing w:after="0"/>
              <w:rPr>
                <w:sz w:val="20"/>
                <w:szCs w:val="20"/>
                <w:color w:val="auto"/>
              </w:rPr>
            </w:pPr>
            <w:r>
              <w:rPr>
                <w:rFonts w:ascii="Arial" w:cs="Arial" w:eastAsia="Arial" w:hAnsi="Arial"/>
                <w:sz w:val="11"/>
                <w:szCs w:val="11"/>
                <w:color w:val="050505"/>
              </w:rPr>
              <w:t>related to build-to-suit</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40" w:type="dxa"/>
            <w:vAlign w:val="bottom"/>
            <w:tcBorders>
              <w:right w:val="single" w:sz="8" w:color="CCEEFF"/>
            </w:tcBorders>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r>
      <w:tr>
        <w:trPr>
          <w:trHeight w:val="125"/>
        </w:trPr>
        <w:tc>
          <w:tcPr>
            <w:tcW w:w="1400" w:type="dxa"/>
            <w:vAlign w:val="bottom"/>
            <w:shd w:val="clear" w:color="auto" w:fill="CCEEFF"/>
          </w:tcPr>
          <w:p>
            <w:pPr>
              <w:ind w:left="260"/>
              <w:spacing w:after="0" w:line="125" w:lineRule="exact"/>
              <w:rPr>
                <w:sz w:val="20"/>
                <w:szCs w:val="20"/>
                <w:color w:val="auto"/>
              </w:rPr>
            </w:pPr>
            <w:r>
              <w:rPr>
                <w:rFonts w:ascii="Arial" w:cs="Arial" w:eastAsia="Arial" w:hAnsi="Arial"/>
                <w:sz w:val="11"/>
                <w:szCs w:val="11"/>
                <w:color w:val="050505"/>
              </w:rPr>
              <w:t>obligations</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jc w:val="right"/>
              <w:spacing w:after="0" w:line="125" w:lineRule="exact"/>
              <w:rPr>
                <w:sz w:val="20"/>
                <w:szCs w:val="20"/>
                <w:color w:val="auto"/>
              </w:rPr>
            </w:pPr>
            <w:r>
              <w:rPr>
                <w:rFonts w:ascii="Arial" w:cs="Arial" w:eastAsia="Arial" w:hAnsi="Arial"/>
                <w:sz w:val="11"/>
                <w:szCs w:val="11"/>
                <w:color w:val="050505"/>
              </w:rPr>
              <w:t>—</w:t>
            </w:r>
          </w:p>
        </w:tc>
        <w:tc>
          <w:tcPr>
            <w:tcW w:w="2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gridSpan w:val="2"/>
            <w:shd w:val="clear" w:color="auto" w:fill="CCEEFF"/>
          </w:tcPr>
          <w:p>
            <w:pPr>
              <w:jc w:val="right"/>
              <w:ind w:right="200"/>
              <w:spacing w:after="0" w:line="125" w:lineRule="exact"/>
              <w:rPr>
                <w:sz w:val="20"/>
                <w:szCs w:val="20"/>
                <w:color w:val="auto"/>
              </w:rPr>
            </w:pPr>
            <w:r>
              <w:rPr>
                <w:rFonts w:ascii="Arial" w:cs="Arial" w:eastAsia="Arial" w:hAnsi="Arial"/>
                <w:sz w:val="11"/>
                <w:szCs w:val="11"/>
                <w:color w:val="050505"/>
              </w:rPr>
              <w:t>—</w:t>
            </w: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gridSpan w:val="2"/>
            <w:shd w:val="clear" w:color="auto" w:fill="CCEEFF"/>
          </w:tcPr>
          <w:p>
            <w:pPr>
              <w:jc w:val="right"/>
              <w:ind w:right="200"/>
              <w:spacing w:after="0" w:line="125" w:lineRule="exact"/>
              <w:rPr>
                <w:sz w:val="20"/>
                <w:szCs w:val="20"/>
                <w:color w:val="auto"/>
              </w:rPr>
            </w:pPr>
            <w:r>
              <w:rPr>
                <w:rFonts w:ascii="Arial" w:cs="Arial" w:eastAsia="Arial" w:hAnsi="Arial"/>
                <w:sz w:val="11"/>
                <w:szCs w:val="11"/>
                <w:color w:val="050505"/>
              </w:rPr>
              <w:t>—</w:t>
            </w:r>
          </w:p>
        </w:tc>
        <w:tc>
          <w:tcPr>
            <w:tcW w:w="140" w:type="dxa"/>
            <w:vAlign w:val="bottom"/>
            <w:tcBorders>
              <w:right w:val="single" w:sz="8" w:color="CCEEFF"/>
            </w:tcBorders>
            <w:shd w:val="clear" w:color="auto" w:fill="CCEEFF"/>
          </w:tcPr>
          <w:p>
            <w:pPr>
              <w:spacing w:after="0"/>
              <w:rPr>
                <w:sz w:val="10"/>
                <w:szCs w:val="10"/>
                <w:color w:val="auto"/>
              </w:rPr>
            </w:pPr>
          </w:p>
        </w:tc>
        <w:tc>
          <w:tcPr>
            <w:tcW w:w="620" w:type="dxa"/>
            <w:vAlign w:val="bottom"/>
            <w:gridSpan w:val="2"/>
            <w:shd w:val="clear" w:color="auto" w:fill="CCEEFF"/>
          </w:tcPr>
          <w:p>
            <w:pPr>
              <w:jc w:val="right"/>
              <w:ind w:right="200"/>
              <w:spacing w:after="0" w:line="125" w:lineRule="exact"/>
              <w:rPr>
                <w:sz w:val="20"/>
                <w:szCs w:val="20"/>
                <w:color w:val="auto"/>
              </w:rPr>
            </w:pPr>
            <w:r>
              <w:rPr>
                <w:rFonts w:ascii="Arial" w:cs="Arial" w:eastAsia="Arial" w:hAnsi="Arial"/>
                <w:sz w:val="11"/>
                <w:szCs w:val="11"/>
                <w:color w:val="050505"/>
              </w:rPr>
              <w:t>—</w:t>
            </w: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gridSpan w:val="2"/>
            <w:shd w:val="clear" w:color="auto" w:fill="CCEEFF"/>
          </w:tcPr>
          <w:p>
            <w:pPr>
              <w:jc w:val="right"/>
              <w:ind w:right="200"/>
              <w:spacing w:after="0" w:line="125" w:lineRule="exact"/>
              <w:rPr>
                <w:sz w:val="20"/>
                <w:szCs w:val="20"/>
                <w:color w:val="auto"/>
              </w:rPr>
            </w:pPr>
            <w:r>
              <w:rPr>
                <w:rFonts w:ascii="Arial" w:cs="Arial" w:eastAsia="Arial" w:hAnsi="Arial"/>
                <w:sz w:val="11"/>
                <w:szCs w:val="11"/>
                <w:color w:val="050505"/>
              </w:rPr>
              <w:t>—</w:t>
            </w: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0" w:type="dxa"/>
            <w:vAlign w:val="bottom"/>
            <w:shd w:val="clear" w:color="auto" w:fill="CCEEFF"/>
          </w:tcPr>
          <w:p>
            <w:pPr>
              <w:jc w:val="right"/>
              <w:spacing w:after="0" w:line="125" w:lineRule="exact"/>
              <w:rPr>
                <w:sz w:val="20"/>
                <w:szCs w:val="20"/>
                <w:color w:val="auto"/>
              </w:rPr>
            </w:pPr>
            <w:r>
              <w:rPr>
                <w:rFonts w:ascii="Arial" w:cs="Arial" w:eastAsia="Arial" w:hAnsi="Arial"/>
                <w:sz w:val="11"/>
                <w:szCs w:val="11"/>
                <w:color w:val="050505"/>
              </w:rPr>
              <w:t>1.7</w:t>
            </w:r>
          </w:p>
        </w:tc>
        <w:tc>
          <w:tcPr>
            <w:tcW w:w="1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jc w:val="right"/>
              <w:spacing w:after="0" w:line="125" w:lineRule="exact"/>
              <w:rPr>
                <w:sz w:val="20"/>
                <w:szCs w:val="20"/>
                <w:color w:val="auto"/>
              </w:rPr>
            </w:pPr>
            <w:r>
              <w:rPr>
                <w:rFonts w:ascii="Arial" w:cs="Arial" w:eastAsia="Arial" w:hAnsi="Arial"/>
                <w:sz w:val="11"/>
                <w:szCs w:val="11"/>
                <w:color w:val="050505"/>
              </w:rPr>
              <w:t>2.6</w:t>
            </w:r>
          </w:p>
        </w:tc>
        <w:tc>
          <w:tcPr>
            <w:tcW w:w="2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0" w:type="dxa"/>
            <w:vAlign w:val="bottom"/>
            <w:shd w:val="clear" w:color="auto" w:fill="CCEEFF"/>
          </w:tcPr>
          <w:p>
            <w:pPr>
              <w:jc w:val="right"/>
              <w:spacing w:after="0" w:line="125" w:lineRule="exact"/>
              <w:rPr>
                <w:sz w:val="20"/>
                <w:szCs w:val="20"/>
                <w:color w:val="auto"/>
              </w:rPr>
            </w:pPr>
            <w:r>
              <w:rPr>
                <w:rFonts w:ascii="Arial" w:cs="Arial" w:eastAsia="Arial" w:hAnsi="Arial"/>
                <w:sz w:val="11"/>
                <w:szCs w:val="11"/>
                <w:color w:val="050505"/>
              </w:rPr>
              <w:t>2.9</w:t>
            </w:r>
          </w:p>
        </w:tc>
        <w:tc>
          <w:tcPr>
            <w:tcW w:w="160" w:type="dxa"/>
            <w:vAlign w:val="bottom"/>
            <w:shd w:val="clear" w:color="auto" w:fill="CCEEFF"/>
          </w:tcPr>
          <w:p>
            <w:pPr>
              <w:spacing w:after="0"/>
              <w:rPr>
                <w:sz w:val="10"/>
                <w:szCs w:val="10"/>
                <w:color w:val="auto"/>
              </w:rPr>
            </w:pPr>
          </w:p>
        </w:tc>
      </w:tr>
      <w:tr>
        <w:trPr>
          <w:trHeight w:val="20"/>
        </w:trPr>
        <w:tc>
          <w:tcPr>
            <w:tcW w:w="1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24"/>
        </w:trPr>
        <w:tc>
          <w:tcPr>
            <w:tcW w:w="1400" w:type="dxa"/>
            <w:vAlign w:val="bottom"/>
          </w:tcPr>
          <w:p>
            <w:pPr>
              <w:ind w:left="40"/>
              <w:spacing w:after="0" w:line="124" w:lineRule="exact"/>
              <w:rPr>
                <w:sz w:val="20"/>
                <w:szCs w:val="20"/>
                <w:color w:val="auto"/>
              </w:rPr>
            </w:pPr>
            <w:r>
              <w:rPr>
                <w:rFonts w:ascii="Arial" w:cs="Arial" w:eastAsia="Arial" w:hAnsi="Arial"/>
                <w:sz w:val="11"/>
                <w:szCs w:val="11"/>
                <w:color w:val="050505"/>
              </w:rPr>
              <w:t>Adjusted EBITDA</w:t>
            </w:r>
          </w:p>
        </w:tc>
        <w:tc>
          <w:tcPr>
            <w:tcW w:w="160" w:type="dxa"/>
            <w:vAlign w:val="bottom"/>
            <w:gridSpan w:val="2"/>
          </w:tcPr>
          <w:p>
            <w:pPr>
              <w:jc w:val="right"/>
              <w:spacing w:after="0" w:line="124" w:lineRule="exact"/>
              <w:rPr>
                <w:sz w:val="20"/>
                <w:szCs w:val="20"/>
                <w:color w:val="auto"/>
              </w:rPr>
            </w:pPr>
            <w:r>
              <w:rPr>
                <w:rFonts w:ascii="Arial" w:cs="Arial" w:eastAsia="Arial" w:hAnsi="Arial"/>
                <w:sz w:val="11"/>
                <w:szCs w:val="11"/>
                <w:color w:val="050505"/>
              </w:rPr>
              <w:t>$</w:t>
            </w:r>
          </w:p>
        </w:tc>
        <w:tc>
          <w:tcPr>
            <w:tcW w:w="600" w:type="dxa"/>
            <w:vAlign w:val="bottom"/>
            <w:gridSpan w:val="2"/>
          </w:tcPr>
          <w:p>
            <w:pPr>
              <w:jc w:val="right"/>
              <w:ind w:right="180"/>
              <w:spacing w:after="0" w:line="124" w:lineRule="exact"/>
              <w:rPr>
                <w:sz w:val="20"/>
                <w:szCs w:val="20"/>
                <w:color w:val="auto"/>
              </w:rPr>
            </w:pPr>
            <w:r>
              <w:rPr>
                <w:rFonts w:ascii="Arial" w:cs="Arial" w:eastAsia="Arial" w:hAnsi="Arial"/>
                <w:sz w:val="11"/>
                <w:szCs w:val="11"/>
                <w:color w:val="050505"/>
              </w:rPr>
              <w:t>(13.6)</w:t>
            </w:r>
          </w:p>
        </w:tc>
        <w:tc>
          <w:tcPr>
            <w:tcW w:w="140" w:type="dxa"/>
            <w:vAlign w:val="bottom"/>
            <w:gridSpan w:val="2"/>
          </w:tcPr>
          <w:p>
            <w:pPr>
              <w:jc w:val="right"/>
              <w:spacing w:after="0" w:line="124" w:lineRule="exact"/>
              <w:rPr>
                <w:sz w:val="20"/>
                <w:szCs w:val="20"/>
                <w:color w:val="auto"/>
              </w:rPr>
            </w:pPr>
            <w:r>
              <w:rPr>
                <w:rFonts w:ascii="Arial" w:cs="Arial" w:eastAsia="Arial" w:hAnsi="Arial"/>
                <w:sz w:val="11"/>
                <w:szCs w:val="11"/>
                <w:color w:val="050505"/>
              </w:rPr>
              <w:t>$</w:t>
            </w:r>
          </w:p>
        </w:tc>
        <w:tc>
          <w:tcPr>
            <w:tcW w:w="600" w:type="dxa"/>
            <w:vAlign w:val="bottom"/>
            <w:gridSpan w:val="2"/>
          </w:tcPr>
          <w:p>
            <w:pPr>
              <w:jc w:val="right"/>
              <w:ind w:right="160"/>
              <w:spacing w:after="0" w:line="124" w:lineRule="exact"/>
              <w:rPr>
                <w:sz w:val="20"/>
                <w:szCs w:val="20"/>
                <w:color w:val="auto"/>
              </w:rPr>
            </w:pPr>
            <w:r>
              <w:rPr>
                <w:rFonts w:ascii="Arial" w:cs="Arial" w:eastAsia="Arial" w:hAnsi="Arial"/>
                <w:sz w:val="11"/>
                <w:szCs w:val="11"/>
                <w:color w:val="050505"/>
              </w:rPr>
              <w:t>(0.8)</w:t>
            </w:r>
          </w:p>
        </w:tc>
        <w:tc>
          <w:tcPr>
            <w:tcW w:w="160" w:type="dxa"/>
            <w:vAlign w:val="bottom"/>
            <w:gridSpan w:val="2"/>
          </w:tcPr>
          <w:p>
            <w:pPr>
              <w:jc w:val="right"/>
              <w:spacing w:after="0" w:line="124" w:lineRule="exact"/>
              <w:rPr>
                <w:sz w:val="20"/>
                <w:szCs w:val="20"/>
                <w:color w:val="auto"/>
              </w:rPr>
            </w:pPr>
            <w:r>
              <w:rPr>
                <w:rFonts w:ascii="Arial" w:cs="Arial" w:eastAsia="Arial" w:hAnsi="Arial"/>
                <w:sz w:val="11"/>
                <w:szCs w:val="11"/>
                <w:color w:val="050505"/>
              </w:rPr>
              <w:t>$</w:t>
            </w:r>
          </w:p>
        </w:tc>
        <w:tc>
          <w:tcPr>
            <w:tcW w:w="580" w:type="dxa"/>
            <w:vAlign w:val="bottom"/>
            <w:gridSpan w:val="2"/>
          </w:tcPr>
          <w:p>
            <w:pPr>
              <w:jc w:val="right"/>
              <w:ind w:right="160"/>
              <w:spacing w:after="0" w:line="124" w:lineRule="exact"/>
              <w:rPr>
                <w:sz w:val="20"/>
                <w:szCs w:val="20"/>
                <w:color w:val="auto"/>
              </w:rPr>
            </w:pPr>
            <w:r>
              <w:rPr>
                <w:rFonts w:ascii="Arial" w:cs="Arial" w:eastAsia="Arial" w:hAnsi="Arial"/>
                <w:sz w:val="11"/>
                <w:szCs w:val="11"/>
                <w:color w:val="050505"/>
              </w:rPr>
              <w:t>(11.6)</w:t>
            </w:r>
          </w:p>
        </w:tc>
        <w:tc>
          <w:tcPr>
            <w:tcW w:w="140" w:type="dxa"/>
            <w:vAlign w:val="bottom"/>
          </w:tcPr>
          <w:p>
            <w:pPr>
              <w:jc w:val="right"/>
              <w:spacing w:after="0" w:line="124" w:lineRule="exact"/>
              <w:rPr>
                <w:sz w:val="20"/>
                <w:szCs w:val="20"/>
                <w:color w:val="auto"/>
              </w:rPr>
            </w:pPr>
            <w:r>
              <w:rPr>
                <w:rFonts w:ascii="Arial" w:cs="Arial" w:eastAsia="Arial" w:hAnsi="Arial"/>
                <w:sz w:val="11"/>
                <w:szCs w:val="11"/>
                <w:color w:val="050505"/>
              </w:rPr>
              <w:t>$</w:t>
            </w:r>
          </w:p>
        </w:tc>
        <w:tc>
          <w:tcPr>
            <w:tcW w:w="620" w:type="dxa"/>
            <w:vAlign w:val="bottom"/>
            <w:gridSpan w:val="2"/>
          </w:tcPr>
          <w:p>
            <w:pPr>
              <w:jc w:val="right"/>
              <w:ind w:right="160"/>
              <w:spacing w:after="0" w:line="124" w:lineRule="exact"/>
              <w:rPr>
                <w:sz w:val="20"/>
                <w:szCs w:val="20"/>
                <w:color w:val="auto"/>
              </w:rPr>
            </w:pPr>
            <w:r>
              <w:rPr>
                <w:rFonts w:ascii="Arial" w:cs="Arial" w:eastAsia="Arial" w:hAnsi="Arial"/>
                <w:sz w:val="11"/>
                <w:szCs w:val="11"/>
                <w:color w:val="050505"/>
              </w:rPr>
              <w:t>(4.3)</w:t>
            </w:r>
          </w:p>
        </w:tc>
        <w:tc>
          <w:tcPr>
            <w:tcW w:w="140" w:type="dxa"/>
            <w:vAlign w:val="bottom"/>
            <w:gridSpan w:val="2"/>
          </w:tcPr>
          <w:p>
            <w:pPr>
              <w:jc w:val="right"/>
              <w:spacing w:after="0" w:line="124" w:lineRule="exact"/>
              <w:rPr>
                <w:sz w:val="20"/>
                <w:szCs w:val="20"/>
                <w:color w:val="auto"/>
              </w:rPr>
            </w:pPr>
            <w:r>
              <w:rPr>
                <w:rFonts w:ascii="Arial" w:cs="Arial" w:eastAsia="Arial" w:hAnsi="Arial"/>
                <w:sz w:val="11"/>
                <w:szCs w:val="11"/>
                <w:color w:val="050505"/>
              </w:rPr>
              <w:t>$</w:t>
            </w:r>
          </w:p>
        </w:tc>
        <w:tc>
          <w:tcPr>
            <w:tcW w:w="600" w:type="dxa"/>
            <w:vAlign w:val="bottom"/>
            <w:gridSpan w:val="2"/>
          </w:tcPr>
          <w:p>
            <w:pPr>
              <w:jc w:val="right"/>
              <w:ind w:right="160"/>
              <w:spacing w:after="0" w:line="124" w:lineRule="exact"/>
              <w:rPr>
                <w:sz w:val="20"/>
                <w:szCs w:val="20"/>
                <w:color w:val="auto"/>
              </w:rPr>
            </w:pPr>
            <w:r>
              <w:rPr>
                <w:rFonts w:ascii="Arial" w:cs="Arial" w:eastAsia="Arial" w:hAnsi="Arial"/>
                <w:sz w:val="11"/>
                <w:szCs w:val="11"/>
                <w:color w:val="050505"/>
              </w:rPr>
              <w:t>(13.5)</w:t>
            </w:r>
          </w:p>
        </w:tc>
        <w:tc>
          <w:tcPr>
            <w:tcW w:w="160" w:type="dxa"/>
            <w:vAlign w:val="bottom"/>
            <w:gridSpan w:val="2"/>
          </w:tcPr>
          <w:p>
            <w:pPr>
              <w:jc w:val="right"/>
              <w:spacing w:after="0" w:line="124" w:lineRule="exact"/>
              <w:rPr>
                <w:sz w:val="20"/>
                <w:szCs w:val="20"/>
                <w:color w:val="auto"/>
              </w:rPr>
            </w:pPr>
            <w:r>
              <w:rPr>
                <w:rFonts w:ascii="Arial" w:cs="Arial" w:eastAsia="Arial" w:hAnsi="Arial"/>
                <w:sz w:val="11"/>
                <w:szCs w:val="11"/>
                <w:color w:val="050505"/>
              </w:rPr>
              <w:t>$</w:t>
            </w:r>
          </w:p>
        </w:tc>
        <w:tc>
          <w:tcPr>
            <w:tcW w:w="580" w:type="dxa"/>
            <w:vAlign w:val="bottom"/>
            <w:gridSpan w:val="2"/>
          </w:tcPr>
          <w:p>
            <w:pPr>
              <w:jc w:val="right"/>
              <w:ind w:right="160"/>
              <w:spacing w:after="0" w:line="124" w:lineRule="exact"/>
              <w:rPr>
                <w:sz w:val="20"/>
                <w:szCs w:val="20"/>
                <w:color w:val="auto"/>
              </w:rPr>
            </w:pPr>
            <w:r>
              <w:rPr>
                <w:rFonts w:ascii="Arial" w:cs="Arial" w:eastAsia="Arial" w:hAnsi="Arial"/>
                <w:sz w:val="11"/>
                <w:szCs w:val="11"/>
                <w:color w:val="050505"/>
              </w:rPr>
              <w:t>(14.6)</w:t>
            </w:r>
          </w:p>
        </w:tc>
        <w:tc>
          <w:tcPr>
            <w:tcW w:w="160" w:type="dxa"/>
            <w:vAlign w:val="bottom"/>
            <w:gridSpan w:val="2"/>
          </w:tcPr>
          <w:p>
            <w:pPr>
              <w:jc w:val="right"/>
              <w:spacing w:after="0" w:line="124" w:lineRule="exact"/>
              <w:rPr>
                <w:sz w:val="20"/>
                <w:szCs w:val="20"/>
                <w:color w:val="auto"/>
              </w:rPr>
            </w:pPr>
            <w:r>
              <w:rPr>
                <w:rFonts w:ascii="Arial" w:cs="Arial" w:eastAsia="Arial" w:hAnsi="Arial"/>
                <w:sz w:val="11"/>
                <w:szCs w:val="11"/>
                <w:color w:val="050505"/>
              </w:rPr>
              <w:t>$</w:t>
            </w:r>
          </w:p>
        </w:tc>
        <w:tc>
          <w:tcPr>
            <w:tcW w:w="600" w:type="dxa"/>
            <w:vAlign w:val="bottom"/>
            <w:gridSpan w:val="2"/>
          </w:tcPr>
          <w:p>
            <w:pPr>
              <w:jc w:val="right"/>
              <w:ind w:right="160"/>
              <w:spacing w:after="0" w:line="124" w:lineRule="exact"/>
              <w:rPr>
                <w:sz w:val="20"/>
                <w:szCs w:val="20"/>
                <w:color w:val="auto"/>
              </w:rPr>
            </w:pPr>
            <w:r>
              <w:rPr>
                <w:rFonts w:ascii="Arial" w:cs="Arial" w:eastAsia="Arial" w:hAnsi="Arial"/>
                <w:sz w:val="11"/>
                <w:szCs w:val="11"/>
                <w:color w:val="050505"/>
              </w:rPr>
              <w:t>(19.7)</w:t>
            </w:r>
          </w:p>
        </w:tc>
        <w:tc>
          <w:tcPr>
            <w:tcW w:w="160" w:type="dxa"/>
            <w:vAlign w:val="bottom"/>
            <w:gridSpan w:val="2"/>
          </w:tcPr>
          <w:p>
            <w:pPr>
              <w:jc w:val="right"/>
              <w:spacing w:after="0" w:line="124" w:lineRule="exact"/>
              <w:rPr>
                <w:sz w:val="20"/>
                <w:szCs w:val="20"/>
                <w:color w:val="auto"/>
              </w:rPr>
            </w:pPr>
            <w:r>
              <w:rPr>
                <w:rFonts w:ascii="Arial" w:cs="Arial" w:eastAsia="Arial" w:hAnsi="Arial"/>
                <w:sz w:val="11"/>
                <w:szCs w:val="11"/>
                <w:color w:val="050505"/>
              </w:rPr>
              <w:t>$</w:t>
            </w:r>
          </w:p>
        </w:tc>
        <w:tc>
          <w:tcPr>
            <w:tcW w:w="560" w:type="dxa"/>
            <w:vAlign w:val="bottom"/>
            <w:gridSpan w:val="2"/>
          </w:tcPr>
          <w:p>
            <w:pPr>
              <w:jc w:val="right"/>
              <w:ind w:right="140"/>
              <w:spacing w:after="0" w:line="124" w:lineRule="exact"/>
              <w:rPr>
                <w:sz w:val="20"/>
                <w:szCs w:val="20"/>
                <w:color w:val="auto"/>
              </w:rPr>
            </w:pPr>
            <w:r>
              <w:rPr>
                <w:rFonts w:ascii="Arial" w:cs="Arial" w:eastAsia="Arial" w:hAnsi="Arial"/>
                <w:sz w:val="11"/>
                <w:szCs w:val="11"/>
                <w:color w:val="050505"/>
              </w:rPr>
              <w:t>(23.6)</w:t>
            </w:r>
          </w:p>
        </w:tc>
      </w:tr>
      <w:tr>
        <w:trPr>
          <w:trHeight w:val="32"/>
        </w:trPr>
        <w:tc>
          <w:tcPr>
            <w:tcW w:w="14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r>
      <w:tr>
        <w:trPr>
          <w:trHeight w:val="131"/>
        </w:trPr>
        <w:tc>
          <w:tcPr>
            <w:tcW w:w="1400" w:type="dxa"/>
            <w:vAlign w:val="bottom"/>
            <w:shd w:val="clear" w:color="auto" w:fill="CCEEFF"/>
          </w:tcPr>
          <w:p>
            <w:pPr>
              <w:ind w:left="40"/>
              <w:spacing w:after="0"/>
              <w:rPr>
                <w:sz w:val="20"/>
                <w:szCs w:val="20"/>
                <w:color w:val="auto"/>
              </w:rPr>
            </w:pPr>
            <w:r>
              <w:rPr>
                <w:rFonts w:ascii="Arial" w:cs="Arial" w:eastAsia="Arial" w:hAnsi="Arial"/>
                <w:sz w:val="11"/>
                <w:szCs w:val="11"/>
                <w:color w:val="050505"/>
              </w:rPr>
              <w:t>Adjusted EBITDA margin</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050505"/>
              </w:rPr>
              <w:t>(24.2)%</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050505"/>
              </w:rPr>
              <w:t>(0.6)%</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050505"/>
              </w:rPr>
              <w:t>(8.2)%</w:t>
            </w:r>
          </w:p>
        </w:tc>
        <w:tc>
          <w:tcPr>
            <w:tcW w:w="140" w:type="dxa"/>
            <w:vAlign w:val="bottom"/>
            <w:tcBorders>
              <w:right w:val="single" w:sz="8" w:color="CCEEFF"/>
            </w:tcBorders>
            <w:shd w:val="clear" w:color="auto" w:fill="CCEEFF"/>
          </w:tcPr>
          <w:p>
            <w:pPr>
              <w:spacing w:after="0"/>
              <w:rPr>
                <w:sz w:val="11"/>
                <w:szCs w:val="11"/>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050505"/>
              </w:rPr>
              <w:t>(4.0)%</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050505"/>
              </w:rPr>
              <w:t>(12.0)%</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050505"/>
              </w:rPr>
              <w:t>(5.6)%</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050505"/>
              </w:rPr>
              <w:t>(6.2)%</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050505"/>
              </w:rPr>
              <w:t>(10.6)%</w:t>
            </w:r>
          </w:p>
        </w:tc>
      </w:tr>
      <w:tr>
        <w:trPr>
          <w:trHeight w:val="27"/>
        </w:trPr>
        <w:tc>
          <w:tcPr>
            <w:tcW w:w="14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1310640</wp:posOffset>
            </wp:positionH>
            <wp:positionV relativeFrom="paragraph">
              <wp:posOffset>62865</wp:posOffset>
            </wp:positionV>
            <wp:extent cx="1212215" cy="571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212215" cy="5715"/>
                    </a:xfrm>
                    <a:prstGeom prst="rect">
                      <a:avLst/>
                    </a:prstGeom>
                    <a:noFill/>
                  </pic:spPr>
                </pic:pic>
              </a:graphicData>
            </a:graphic>
          </wp:anchor>
        </w:drawing>
      </w:r>
    </w:p>
    <w:p>
      <w:pPr>
        <w:spacing w:after="0" w:line="111" w:lineRule="exact"/>
        <w:rPr>
          <w:sz w:val="20"/>
          <w:szCs w:val="20"/>
          <w:color w:val="auto"/>
        </w:rPr>
      </w:pPr>
    </w:p>
    <w:p>
      <w:pPr>
        <w:ind w:left="2280" w:hanging="221"/>
        <w:spacing w:after="0"/>
        <w:tabs>
          <w:tab w:leader="none" w:pos="2280" w:val="left"/>
        </w:tabs>
        <w:numPr>
          <w:ilvl w:val="0"/>
          <w:numId w:val="49"/>
        </w:numPr>
        <w:rPr>
          <w:rFonts w:ascii="Arial" w:cs="Arial" w:eastAsia="Arial" w:hAnsi="Arial"/>
          <w:sz w:val="8"/>
          <w:szCs w:val="8"/>
          <w:color w:val="050505"/>
        </w:rPr>
      </w:pPr>
      <w:r>
        <w:rPr>
          <w:rFonts w:ascii="Arial" w:cs="Arial" w:eastAsia="Arial" w:hAnsi="Arial"/>
          <w:sz w:val="8"/>
          <w:szCs w:val="8"/>
          <w:color w:val="050505"/>
        </w:rPr>
        <w:t>Included in net loss are content costs for past use as follows:</w:t>
      </w:r>
    </w:p>
    <w:p>
      <w:pPr>
        <w:spacing w:after="0" w:line="90" w:lineRule="exact"/>
        <w:rPr>
          <w:sz w:val="20"/>
          <w:szCs w:val="20"/>
          <w:color w:val="auto"/>
        </w:rPr>
      </w:pPr>
    </w:p>
    <w:tbl>
      <w:tblPr>
        <w:tblLayout w:type="fixed"/>
        <w:tblInd w:w="2060" w:type="dxa"/>
        <w:tblCellMar>
          <w:top w:w="0" w:type="dxa"/>
          <w:left w:w="0" w:type="dxa"/>
          <w:bottom w:w="0" w:type="dxa"/>
          <w:right w:w="0" w:type="dxa"/>
        </w:tblCellMar>
      </w:tblPr>
      <w:tr>
        <w:trPr>
          <w:trHeight w:val="137"/>
        </w:trPr>
        <w:tc>
          <w:tcPr>
            <w:tcW w:w="17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220" w:type="dxa"/>
            <w:vAlign w:val="bottom"/>
            <w:tcBorders>
              <w:bottom w:val="single" w:sz="8" w:color="auto"/>
            </w:tcBorders>
            <w:gridSpan w:val="3"/>
          </w:tcPr>
          <w:p>
            <w:pPr>
              <w:jc w:val="center"/>
              <w:ind w:right="86"/>
              <w:spacing w:after="0"/>
              <w:rPr>
                <w:sz w:val="20"/>
                <w:szCs w:val="20"/>
                <w:color w:val="auto"/>
              </w:rPr>
            </w:pPr>
            <w:r>
              <w:rPr>
                <w:rFonts w:ascii="Arial" w:cs="Arial" w:eastAsia="Arial" w:hAnsi="Arial"/>
                <w:sz w:val="11"/>
                <w:szCs w:val="11"/>
                <w:b w:val="1"/>
                <w:bCs w:val="1"/>
                <w:color w:val="050505"/>
                <w:w w:val="99"/>
              </w:rPr>
              <w:t>Three Months Ended</w:t>
            </w:r>
          </w:p>
        </w:tc>
        <w:tc>
          <w:tcPr>
            <w:tcW w:w="20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40" w:type="dxa"/>
            <w:vAlign w:val="bottom"/>
          </w:tcPr>
          <w:p>
            <w:pPr>
              <w:spacing w:after="0"/>
              <w:rPr>
                <w:sz w:val="11"/>
                <w:szCs w:val="11"/>
                <w:color w:val="auto"/>
              </w:rPr>
            </w:pPr>
          </w:p>
        </w:tc>
      </w:tr>
      <w:tr>
        <w:trPr>
          <w:trHeight w:val="104"/>
        </w:trPr>
        <w:tc>
          <w:tcPr>
            <w:tcW w:w="1700" w:type="dxa"/>
            <w:vAlign w:val="bottom"/>
          </w:tcPr>
          <w:p>
            <w:pPr>
              <w:spacing w:after="0"/>
              <w:rPr>
                <w:sz w:val="9"/>
                <w:szCs w:val="9"/>
                <w:color w:val="auto"/>
              </w:rPr>
            </w:pPr>
          </w:p>
        </w:tc>
        <w:tc>
          <w:tcPr>
            <w:tcW w:w="300" w:type="dxa"/>
            <w:vAlign w:val="bottom"/>
          </w:tcPr>
          <w:p>
            <w:pPr>
              <w:spacing w:after="0"/>
              <w:rPr>
                <w:sz w:val="9"/>
                <w:szCs w:val="9"/>
                <w:color w:val="auto"/>
              </w:rPr>
            </w:pPr>
          </w:p>
        </w:tc>
        <w:tc>
          <w:tcPr>
            <w:tcW w:w="580" w:type="dxa"/>
            <w:vAlign w:val="bottom"/>
            <w:gridSpan w:val="2"/>
          </w:tcPr>
          <w:p>
            <w:pPr>
              <w:jc w:val="center"/>
              <w:ind w:right="46"/>
              <w:spacing w:after="0" w:line="105" w:lineRule="exact"/>
              <w:rPr>
                <w:sz w:val="20"/>
                <w:szCs w:val="20"/>
                <w:color w:val="auto"/>
              </w:rPr>
            </w:pPr>
            <w:r>
              <w:rPr>
                <w:rFonts w:ascii="Arial" w:cs="Arial" w:eastAsia="Arial" w:hAnsi="Arial"/>
                <w:sz w:val="11"/>
                <w:szCs w:val="11"/>
                <w:b w:val="1"/>
                <w:bCs w:val="1"/>
                <w:color w:val="050505"/>
                <w:w w:val="96"/>
              </w:rPr>
              <w:t>Sep. 30,</w:t>
            </w:r>
          </w:p>
        </w:tc>
        <w:tc>
          <w:tcPr>
            <w:tcW w:w="680" w:type="dxa"/>
            <w:vAlign w:val="bottom"/>
            <w:gridSpan w:val="2"/>
          </w:tcPr>
          <w:p>
            <w:pPr>
              <w:jc w:val="center"/>
              <w:spacing w:after="0" w:line="105" w:lineRule="exact"/>
              <w:rPr>
                <w:sz w:val="20"/>
                <w:szCs w:val="20"/>
                <w:color w:val="auto"/>
              </w:rPr>
            </w:pPr>
            <w:r>
              <w:rPr>
                <w:rFonts w:ascii="Arial" w:cs="Arial" w:eastAsia="Arial" w:hAnsi="Arial"/>
                <w:sz w:val="11"/>
                <w:szCs w:val="11"/>
                <w:b w:val="1"/>
                <w:bCs w:val="1"/>
                <w:color w:val="050505"/>
              </w:rPr>
              <w:t>Dec. 31,</w:t>
            </w:r>
          </w:p>
        </w:tc>
        <w:tc>
          <w:tcPr>
            <w:tcW w:w="700" w:type="dxa"/>
            <w:vAlign w:val="bottom"/>
            <w:gridSpan w:val="2"/>
          </w:tcPr>
          <w:p>
            <w:pPr>
              <w:jc w:val="center"/>
              <w:spacing w:after="0" w:line="105" w:lineRule="exact"/>
              <w:rPr>
                <w:sz w:val="20"/>
                <w:szCs w:val="20"/>
                <w:color w:val="auto"/>
              </w:rPr>
            </w:pPr>
            <w:r>
              <w:rPr>
                <w:rFonts w:ascii="Arial" w:cs="Arial" w:eastAsia="Arial" w:hAnsi="Arial"/>
                <w:sz w:val="11"/>
                <w:szCs w:val="11"/>
                <w:b w:val="1"/>
                <w:bCs w:val="1"/>
                <w:color w:val="050505"/>
                <w:w w:val="92"/>
              </w:rPr>
              <w:t>Mar. 31,</w:t>
            </w:r>
          </w:p>
        </w:tc>
        <w:tc>
          <w:tcPr>
            <w:tcW w:w="680" w:type="dxa"/>
            <w:vAlign w:val="bottom"/>
            <w:gridSpan w:val="2"/>
          </w:tcPr>
          <w:p>
            <w:pPr>
              <w:jc w:val="center"/>
              <w:spacing w:after="0" w:line="105" w:lineRule="exact"/>
              <w:rPr>
                <w:sz w:val="20"/>
                <w:szCs w:val="20"/>
                <w:color w:val="auto"/>
              </w:rPr>
            </w:pPr>
            <w:r>
              <w:rPr>
                <w:rFonts w:ascii="Arial" w:cs="Arial" w:eastAsia="Arial" w:hAnsi="Arial"/>
                <w:sz w:val="11"/>
                <w:szCs w:val="11"/>
                <w:b w:val="1"/>
                <w:bCs w:val="1"/>
                <w:color w:val="050505"/>
                <w:w w:val="97"/>
              </w:rPr>
              <w:t>Jun. 30,</w:t>
            </w:r>
          </w:p>
        </w:tc>
        <w:tc>
          <w:tcPr>
            <w:tcW w:w="700" w:type="dxa"/>
            <w:vAlign w:val="bottom"/>
            <w:gridSpan w:val="2"/>
          </w:tcPr>
          <w:p>
            <w:pPr>
              <w:jc w:val="center"/>
              <w:spacing w:after="0" w:line="105" w:lineRule="exact"/>
              <w:rPr>
                <w:sz w:val="20"/>
                <w:szCs w:val="20"/>
                <w:color w:val="auto"/>
              </w:rPr>
            </w:pPr>
            <w:r>
              <w:rPr>
                <w:rFonts w:ascii="Arial" w:cs="Arial" w:eastAsia="Arial" w:hAnsi="Arial"/>
                <w:sz w:val="11"/>
                <w:szCs w:val="11"/>
                <w:b w:val="1"/>
                <w:bCs w:val="1"/>
                <w:color w:val="050505"/>
              </w:rPr>
              <w:t>Sep. 30,</w:t>
            </w:r>
          </w:p>
        </w:tc>
        <w:tc>
          <w:tcPr>
            <w:tcW w:w="680" w:type="dxa"/>
            <w:vAlign w:val="bottom"/>
            <w:gridSpan w:val="2"/>
          </w:tcPr>
          <w:p>
            <w:pPr>
              <w:jc w:val="center"/>
              <w:spacing w:after="0" w:line="105" w:lineRule="exact"/>
              <w:rPr>
                <w:sz w:val="20"/>
                <w:szCs w:val="20"/>
                <w:color w:val="auto"/>
              </w:rPr>
            </w:pPr>
            <w:r>
              <w:rPr>
                <w:rFonts w:ascii="Arial" w:cs="Arial" w:eastAsia="Arial" w:hAnsi="Arial"/>
                <w:sz w:val="11"/>
                <w:szCs w:val="11"/>
                <w:b w:val="1"/>
                <w:bCs w:val="1"/>
                <w:color w:val="050505"/>
                <w:w w:val="96"/>
              </w:rPr>
              <w:t>Dec. 31,</w:t>
            </w:r>
          </w:p>
        </w:tc>
        <w:tc>
          <w:tcPr>
            <w:tcW w:w="700" w:type="dxa"/>
            <w:vAlign w:val="bottom"/>
            <w:gridSpan w:val="2"/>
          </w:tcPr>
          <w:p>
            <w:pPr>
              <w:jc w:val="center"/>
              <w:spacing w:after="0" w:line="105" w:lineRule="exact"/>
              <w:rPr>
                <w:sz w:val="20"/>
                <w:szCs w:val="20"/>
                <w:color w:val="auto"/>
              </w:rPr>
            </w:pPr>
            <w:r>
              <w:rPr>
                <w:rFonts w:ascii="Arial" w:cs="Arial" w:eastAsia="Arial" w:hAnsi="Arial"/>
                <w:sz w:val="11"/>
                <w:szCs w:val="11"/>
                <w:b w:val="1"/>
                <w:bCs w:val="1"/>
                <w:color w:val="050505"/>
                <w:w w:val="97"/>
              </w:rPr>
              <w:t>Mar. 31,</w:t>
            </w:r>
          </w:p>
        </w:tc>
        <w:tc>
          <w:tcPr>
            <w:tcW w:w="600" w:type="dxa"/>
            <w:vAlign w:val="bottom"/>
            <w:gridSpan w:val="2"/>
          </w:tcPr>
          <w:p>
            <w:pPr>
              <w:jc w:val="center"/>
              <w:ind w:left="46"/>
              <w:spacing w:after="0" w:line="105" w:lineRule="exact"/>
              <w:rPr>
                <w:sz w:val="20"/>
                <w:szCs w:val="20"/>
                <w:color w:val="auto"/>
              </w:rPr>
            </w:pPr>
            <w:r>
              <w:rPr>
                <w:rFonts w:ascii="Arial" w:cs="Arial" w:eastAsia="Arial" w:hAnsi="Arial"/>
                <w:sz w:val="11"/>
                <w:szCs w:val="11"/>
                <w:b w:val="1"/>
                <w:bCs w:val="1"/>
                <w:color w:val="050505"/>
              </w:rPr>
              <w:t>Jun. 30,</w:t>
            </w:r>
          </w:p>
        </w:tc>
        <w:tc>
          <w:tcPr>
            <w:tcW w:w="40" w:type="dxa"/>
            <w:vAlign w:val="bottom"/>
          </w:tcPr>
          <w:p>
            <w:pPr>
              <w:spacing w:after="0"/>
              <w:rPr>
                <w:sz w:val="9"/>
                <w:szCs w:val="9"/>
                <w:color w:val="auto"/>
              </w:rPr>
            </w:pPr>
          </w:p>
        </w:tc>
      </w:tr>
      <w:tr>
        <w:trPr>
          <w:trHeight w:val="137"/>
        </w:trPr>
        <w:tc>
          <w:tcPr>
            <w:tcW w:w="17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jc w:val="right"/>
              <w:ind w:right="166"/>
              <w:spacing w:after="0"/>
              <w:rPr>
                <w:sz w:val="20"/>
                <w:szCs w:val="20"/>
                <w:color w:val="auto"/>
              </w:rPr>
            </w:pPr>
            <w:r>
              <w:rPr>
                <w:rFonts w:ascii="Arial" w:cs="Arial" w:eastAsia="Arial" w:hAnsi="Arial"/>
                <w:sz w:val="11"/>
                <w:szCs w:val="11"/>
                <w:b w:val="1"/>
                <w:bCs w:val="1"/>
                <w:color w:val="050505"/>
                <w:w w:val="97"/>
              </w:rPr>
              <w:t>2017</w:t>
            </w:r>
          </w:p>
        </w:tc>
        <w:tc>
          <w:tcPr>
            <w:tcW w:w="20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jc w:val="right"/>
              <w:ind w:right="166"/>
              <w:spacing w:after="0"/>
              <w:rPr>
                <w:sz w:val="20"/>
                <w:szCs w:val="20"/>
                <w:color w:val="auto"/>
              </w:rPr>
            </w:pPr>
            <w:r>
              <w:rPr>
                <w:rFonts w:ascii="Arial" w:cs="Arial" w:eastAsia="Arial" w:hAnsi="Arial"/>
                <w:sz w:val="11"/>
                <w:szCs w:val="11"/>
                <w:b w:val="1"/>
                <w:bCs w:val="1"/>
                <w:color w:val="050505"/>
                <w:w w:val="97"/>
              </w:rPr>
              <w:t>2017</w:t>
            </w:r>
          </w:p>
        </w:tc>
        <w:tc>
          <w:tcPr>
            <w:tcW w:w="20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jc w:val="right"/>
              <w:ind w:right="166"/>
              <w:spacing w:after="0"/>
              <w:rPr>
                <w:sz w:val="20"/>
                <w:szCs w:val="20"/>
                <w:color w:val="auto"/>
              </w:rPr>
            </w:pPr>
            <w:r>
              <w:rPr>
                <w:rFonts w:ascii="Arial" w:cs="Arial" w:eastAsia="Arial" w:hAnsi="Arial"/>
                <w:sz w:val="11"/>
                <w:szCs w:val="11"/>
                <w:b w:val="1"/>
                <w:bCs w:val="1"/>
                <w:color w:val="050505"/>
              </w:rPr>
              <w:t>2018</w:t>
            </w:r>
          </w:p>
        </w:tc>
        <w:tc>
          <w:tcPr>
            <w:tcW w:w="16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jc w:val="right"/>
              <w:ind w:right="166"/>
              <w:spacing w:after="0"/>
              <w:rPr>
                <w:sz w:val="20"/>
                <w:szCs w:val="20"/>
                <w:color w:val="auto"/>
              </w:rPr>
            </w:pPr>
            <w:r>
              <w:rPr>
                <w:rFonts w:ascii="Arial" w:cs="Arial" w:eastAsia="Arial" w:hAnsi="Arial"/>
                <w:sz w:val="11"/>
                <w:szCs w:val="11"/>
                <w:b w:val="1"/>
                <w:bCs w:val="1"/>
                <w:color w:val="050505"/>
              </w:rPr>
              <w:t>2018</w:t>
            </w:r>
          </w:p>
        </w:tc>
        <w:tc>
          <w:tcPr>
            <w:tcW w:w="700" w:type="dxa"/>
            <w:vAlign w:val="bottom"/>
            <w:tcBorders>
              <w:bottom w:val="single" w:sz="8" w:color="auto"/>
            </w:tcBorders>
            <w:gridSpan w:val="2"/>
          </w:tcPr>
          <w:p>
            <w:pPr>
              <w:jc w:val="right"/>
              <w:ind w:right="186"/>
              <w:spacing w:after="0"/>
              <w:rPr>
                <w:sz w:val="20"/>
                <w:szCs w:val="20"/>
                <w:color w:val="auto"/>
              </w:rPr>
            </w:pPr>
            <w:r>
              <w:rPr>
                <w:rFonts w:ascii="Arial" w:cs="Arial" w:eastAsia="Arial" w:hAnsi="Arial"/>
                <w:sz w:val="11"/>
                <w:szCs w:val="11"/>
                <w:b w:val="1"/>
                <w:bCs w:val="1"/>
                <w:color w:val="050505"/>
              </w:rPr>
              <w:t>2018</w:t>
            </w:r>
          </w:p>
        </w:tc>
        <w:tc>
          <w:tcPr>
            <w:tcW w:w="20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jc w:val="right"/>
              <w:ind w:right="166"/>
              <w:spacing w:after="0"/>
              <w:rPr>
                <w:sz w:val="20"/>
                <w:szCs w:val="20"/>
                <w:color w:val="auto"/>
              </w:rPr>
            </w:pPr>
            <w:r>
              <w:rPr>
                <w:rFonts w:ascii="Arial" w:cs="Arial" w:eastAsia="Arial" w:hAnsi="Arial"/>
                <w:sz w:val="11"/>
                <w:szCs w:val="11"/>
                <w:b w:val="1"/>
                <w:bCs w:val="1"/>
                <w:color w:val="050505"/>
                <w:w w:val="97"/>
              </w:rPr>
              <w:t>2018</w:t>
            </w:r>
          </w:p>
        </w:tc>
        <w:tc>
          <w:tcPr>
            <w:tcW w:w="20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jc w:val="right"/>
              <w:ind w:right="166"/>
              <w:spacing w:after="0"/>
              <w:rPr>
                <w:sz w:val="20"/>
                <w:szCs w:val="20"/>
                <w:color w:val="auto"/>
              </w:rPr>
            </w:pPr>
            <w:r>
              <w:rPr>
                <w:rFonts w:ascii="Arial" w:cs="Arial" w:eastAsia="Arial" w:hAnsi="Arial"/>
                <w:sz w:val="11"/>
                <w:szCs w:val="11"/>
                <w:b w:val="1"/>
                <w:bCs w:val="1"/>
                <w:color w:val="050505"/>
              </w:rPr>
              <w:t>2019</w:t>
            </w:r>
          </w:p>
        </w:tc>
        <w:tc>
          <w:tcPr>
            <w:tcW w:w="20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b w:val="1"/>
                <w:bCs w:val="1"/>
                <w:color w:val="050505"/>
                <w:w w:val="97"/>
              </w:rPr>
              <w:t>2019</w:t>
            </w:r>
          </w:p>
        </w:tc>
        <w:tc>
          <w:tcPr>
            <w:tcW w:w="40" w:type="dxa"/>
            <w:vAlign w:val="bottom"/>
          </w:tcPr>
          <w:p>
            <w:pPr>
              <w:spacing w:after="0"/>
              <w:rPr>
                <w:sz w:val="11"/>
                <w:szCs w:val="11"/>
                <w:color w:val="auto"/>
              </w:rPr>
            </w:pPr>
          </w:p>
        </w:tc>
      </w:tr>
      <w:tr>
        <w:trPr>
          <w:trHeight w:val="104"/>
        </w:trPr>
        <w:tc>
          <w:tcPr>
            <w:tcW w:w="17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60" w:type="dxa"/>
            <w:vAlign w:val="bottom"/>
          </w:tcPr>
          <w:p>
            <w:pPr>
              <w:spacing w:after="0"/>
              <w:rPr>
                <w:sz w:val="9"/>
                <w:szCs w:val="9"/>
                <w:color w:val="auto"/>
              </w:rPr>
            </w:pPr>
          </w:p>
        </w:tc>
        <w:tc>
          <w:tcPr>
            <w:tcW w:w="900" w:type="dxa"/>
            <w:vAlign w:val="bottom"/>
            <w:gridSpan w:val="2"/>
          </w:tcPr>
          <w:p>
            <w:pPr>
              <w:jc w:val="center"/>
              <w:ind w:left="126"/>
              <w:spacing w:after="0" w:line="105" w:lineRule="exact"/>
              <w:rPr>
                <w:sz w:val="20"/>
                <w:szCs w:val="20"/>
                <w:color w:val="auto"/>
              </w:rPr>
            </w:pPr>
            <w:r>
              <w:rPr>
                <w:rFonts w:ascii="Arial" w:cs="Arial" w:eastAsia="Arial" w:hAnsi="Arial"/>
                <w:sz w:val="11"/>
                <w:szCs w:val="11"/>
                <w:b w:val="1"/>
                <w:bCs w:val="1"/>
                <w:color w:val="050505"/>
              </w:rPr>
              <w:t>(unaudited)</w:t>
            </w:r>
          </w:p>
        </w:tc>
        <w:tc>
          <w:tcPr>
            <w:tcW w:w="320" w:type="dxa"/>
            <w:vAlign w:val="bottom"/>
          </w:tcPr>
          <w:p>
            <w:pPr>
              <w:spacing w:after="0"/>
              <w:rPr>
                <w:sz w:val="9"/>
                <w:szCs w:val="9"/>
                <w:color w:val="auto"/>
              </w:rPr>
            </w:pPr>
          </w:p>
        </w:tc>
        <w:tc>
          <w:tcPr>
            <w:tcW w:w="20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0" w:type="dxa"/>
            <w:vAlign w:val="bottom"/>
          </w:tcPr>
          <w:p>
            <w:pPr>
              <w:spacing w:after="0"/>
              <w:rPr>
                <w:sz w:val="9"/>
                <w:szCs w:val="9"/>
                <w:color w:val="auto"/>
              </w:rPr>
            </w:pPr>
          </w:p>
        </w:tc>
        <w:tc>
          <w:tcPr>
            <w:tcW w:w="500" w:type="dxa"/>
            <w:vAlign w:val="bottom"/>
          </w:tcPr>
          <w:p>
            <w:pPr>
              <w:spacing w:after="0"/>
              <w:rPr>
                <w:sz w:val="9"/>
                <w:szCs w:val="9"/>
                <w:color w:val="auto"/>
              </w:rPr>
            </w:pPr>
          </w:p>
        </w:tc>
        <w:tc>
          <w:tcPr>
            <w:tcW w:w="200" w:type="dxa"/>
            <w:vAlign w:val="bottom"/>
          </w:tcPr>
          <w:p>
            <w:pPr>
              <w:spacing w:after="0"/>
              <w:rPr>
                <w:sz w:val="9"/>
                <w:szCs w:val="9"/>
                <w:color w:val="auto"/>
              </w:rPr>
            </w:pPr>
          </w:p>
        </w:tc>
        <w:tc>
          <w:tcPr>
            <w:tcW w:w="400" w:type="dxa"/>
            <w:vAlign w:val="bottom"/>
          </w:tcPr>
          <w:p>
            <w:pPr>
              <w:spacing w:after="0"/>
              <w:rPr>
                <w:sz w:val="9"/>
                <w:szCs w:val="9"/>
                <w:color w:val="auto"/>
              </w:rPr>
            </w:pPr>
          </w:p>
        </w:tc>
        <w:tc>
          <w:tcPr>
            <w:tcW w:w="40" w:type="dxa"/>
            <w:vAlign w:val="bottom"/>
          </w:tcPr>
          <w:p>
            <w:pPr>
              <w:spacing w:after="0"/>
              <w:rPr>
                <w:sz w:val="9"/>
                <w:szCs w:val="9"/>
                <w:color w:val="auto"/>
              </w:rPr>
            </w:pPr>
          </w:p>
        </w:tc>
      </w:tr>
      <w:tr>
        <w:trPr>
          <w:trHeight w:val="137"/>
        </w:trPr>
        <w:tc>
          <w:tcPr>
            <w:tcW w:w="17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gridSpan w:val="2"/>
          </w:tcPr>
          <w:p>
            <w:pPr>
              <w:jc w:val="center"/>
              <w:ind w:left="126"/>
              <w:spacing w:after="0"/>
              <w:rPr>
                <w:sz w:val="20"/>
                <w:szCs w:val="20"/>
                <w:color w:val="auto"/>
              </w:rPr>
            </w:pPr>
            <w:r>
              <w:rPr>
                <w:rFonts w:ascii="Arial" w:cs="Arial" w:eastAsia="Arial" w:hAnsi="Arial"/>
                <w:sz w:val="11"/>
                <w:szCs w:val="11"/>
                <w:b w:val="1"/>
                <w:bCs w:val="1"/>
                <w:color w:val="050505"/>
                <w:w w:val="97"/>
              </w:rPr>
              <w:t>(in millions)</w:t>
            </w:r>
          </w:p>
        </w:tc>
        <w:tc>
          <w:tcPr>
            <w:tcW w:w="3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126"/>
        </w:trPr>
        <w:tc>
          <w:tcPr>
            <w:tcW w:w="1700" w:type="dxa"/>
            <w:vAlign w:val="bottom"/>
            <w:shd w:val="clear" w:color="auto" w:fill="CCEEFF"/>
          </w:tcPr>
          <w:p>
            <w:pPr>
              <w:ind w:left="40"/>
              <w:spacing w:after="0" w:line="126" w:lineRule="exact"/>
              <w:rPr>
                <w:sz w:val="20"/>
                <w:szCs w:val="20"/>
                <w:color w:val="auto"/>
              </w:rPr>
            </w:pPr>
            <w:r>
              <w:rPr>
                <w:rFonts w:ascii="Arial" w:cs="Arial" w:eastAsia="Arial" w:hAnsi="Arial"/>
                <w:sz w:val="9"/>
                <w:szCs w:val="9"/>
                <w:color w:val="050505"/>
              </w:rPr>
              <w:t>Content costs for past use</w:t>
            </w:r>
            <w:r>
              <w:rPr>
                <w:rFonts w:ascii="Arial" w:cs="Arial" w:eastAsia="Arial" w:hAnsi="Arial"/>
                <w:sz w:val="14"/>
                <w:szCs w:val="14"/>
                <w:color w:val="050505"/>
                <w:vertAlign w:val="superscript"/>
              </w:rPr>
              <w:t>(1)</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050505"/>
              </w:rPr>
              <w:t>$</w:t>
            </w:r>
          </w:p>
        </w:tc>
        <w:tc>
          <w:tcPr>
            <w:tcW w:w="480" w:type="dxa"/>
            <w:vAlign w:val="bottom"/>
            <w:shd w:val="clear" w:color="auto" w:fill="CCEEFF"/>
          </w:tcPr>
          <w:p>
            <w:pPr>
              <w:jc w:val="right"/>
              <w:ind w:right="46"/>
              <w:spacing w:after="0"/>
              <w:rPr>
                <w:sz w:val="20"/>
                <w:szCs w:val="20"/>
                <w:color w:val="auto"/>
              </w:rPr>
            </w:pPr>
            <w:r>
              <w:rPr>
                <w:rFonts w:ascii="Arial" w:cs="Arial" w:eastAsia="Arial" w:hAnsi="Arial"/>
                <w:sz w:val="11"/>
                <w:szCs w:val="11"/>
                <w:color w:val="050505"/>
              </w:rPr>
              <w:t>3.5</w:t>
            </w:r>
          </w:p>
        </w:tc>
        <w:tc>
          <w:tcPr>
            <w:tcW w:w="200" w:type="dxa"/>
            <w:vAlign w:val="bottom"/>
            <w:shd w:val="clear" w:color="auto" w:fill="CCEEFF"/>
          </w:tcPr>
          <w:p>
            <w:pPr>
              <w:jc w:val="right"/>
              <w:spacing w:after="0"/>
              <w:rPr>
                <w:sz w:val="20"/>
                <w:szCs w:val="20"/>
                <w:color w:val="auto"/>
              </w:rPr>
            </w:pPr>
            <w:r>
              <w:rPr>
                <w:rFonts w:ascii="Arial" w:cs="Arial" w:eastAsia="Arial" w:hAnsi="Arial"/>
                <w:sz w:val="11"/>
                <w:szCs w:val="11"/>
                <w:color w:val="050505"/>
              </w:rPr>
              <w:t>$</w:t>
            </w:r>
          </w:p>
        </w:tc>
        <w:tc>
          <w:tcPr>
            <w:tcW w:w="480" w:type="dxa"/>
            <w:vAlign w:val="bottom"/>
            <w:shd w:val="clear" w:color="auto" w:fill="CCEEFF"/>
          </w:tcPr>
          <w:p>
            <w:pPr>
              <w:jc w:val="right"/>
              <w:ind w:right="46"/>
              <w:spacing w:after="0"/>
              <w:rPr>
                <w:sz w:val="20"/>
                <w:szCs w:val="20"/>
                <w:color w:val="auto"/>
              </w:rPr>
            </w:pPr>
            <w:r>
              <w:rPr>
                <w:rFonts w:ascii="Arial" w:cs="Arial" w:eastAsia="Arial" w:hAnsi="Arial"/>
                <w:sz w:val="11"/>
                <w:szCs w:val="11"/>
                <w:color w:val="050505"/>
              </w:rPr>
              <w:t>1.9</w:t>
            </w:r>
          </w:p>
        </w:tc>
        <w:tc>
          <w:tcPr>
            <w:tcW w:w="200" w:type="dxa"/>
            <w:vAlign w:val="bottom"/>
            <w:shd w:val="clear" w:color="auto" w:fill="CCEEFF"/>
          </w:tcPr>
          <w:p>
            <w:pPr>
              <w:jc w:val="right"/>
              <w:spacing w:after="0"/>
              <w:rPr>
                <w:sz w:val="20"/>
                <w:szCs w:val="20"/>
                <w:color w:val="auto"/>
              </w:rPr>
            </w:pPr>
            <w:r>
              <w:rPr>
                <w:rFonts w:ascii="Arial" w:cs="Arial" w:eastAsia="Arial" w:hAnsi="Arial"/>
                <w:sz w:val="11"/>
                <w:szCs w:val="11"/>
                <w:color w:val="050505"/>
              </w:rPr>
              <w:t>$</w:t>
            </w:r>
          </w:p>
        </w:tc>
        <w:tc>
          <w:tcPr>
            <w:tcW w:w="500" w:type="dxa"/>
            <w:vAlign w:val="bottom"/>
            <w:shd w:val="clear" w:color="auto" w:fill="CCEEFF"/>
          </w:tcPr>
          <w:p>
            <w:pPr>
              <w:jc w:val="right"/>
              <w:ind w:right="46"/>
              <w:spacing w:after="0"/>
              <w:rPr>
                <w:sz w:val="20"/>
                <w:szCs w:val="20"/>
                <w:color w:val="auto"/>
              </w:rPr>
            </w:pPr>
            <w:r>
              <w:rPr>
                <w:rFonts w:ascii="Arial" w:cs="Arial" w:eastAsia="Arial" w:hAnsi="Arial"/>
                <w:sz w:val="11"/>
                <w:szCs w:val="11"/>
                <w:color w:val="050505"/>
              </w:rPr>
              <w:t>6.5</w:t>
            </w:r>
          </w:p>
        </w:tc>
        <w:tc>
          <w:tcPr>
            <w:tcW w:w="160" w:type="dxa"/>
            <w:vAlign w:val="bottom"/>
            <w:shd w:val="clear" w:color="auto" w:fill="CCEEFF"/>
          </w:tcPr>
          <w:p>
            <w:pPr>
              <w:jc w:val="right"/>
              <w:spacing w:after="0"/>
              <w:rPr>
                <w:sz w:val="20"/>
                <w:szCs w:val="20"/>
                <w:color w:val="auto"/>
              </w:rPr>
            </w:pPr>
            <w:r>
              <w:rPr>
                <w:rFonts w:ascii="Arial" w:cs="Arial" w:eastAsia="Arial" w:hAnsi="Arial"/>
                <w:sz w:val="11"/>
                <w:szCs w:val="11"/>
                <w:color w:val="050505"/>
              </w:rPr>
              <w:t>$</w:t>
            </w:r>
          </w:p>
        </w:tc>
        <w:tc>
          <w:tcPr>
            <w:tcW w:w="520" w:type="dxa"/>
            <w:vAlign w:val="bottom"/>
            <w:shd w:val="clear" w:color="auto" w:fill="CCEEFF"/>
          </w:tcPr>
          <w:p>
            <w:pPr>
              <w:jc w:val="right"/>
              <w:ind w:right="46"/>
              <w:spacing w:after="0"/>
              <w:rPr>
                <w:sz w:val="20"/>
                <w:szCs w:val="20"/>
                <w:color w:val="auto"/>
              </w:rPr>
            </w:pPr>
            <w:r>
              <w:rPr>
                <w:rFonts w:ascii="Arial" w:cs="Arial" w:eastAsia="Arial" w:hAnsi="Arial"/>
                <w:sz w:val="11"/>
                <w:szCs w:val="11"/>
                <w:color w:val="050505"/>
              </w:rPr>
              <w:t>2.6</w:t>
            </w:r>
          </w:p>
        </w:tc>
        <w:tc>
          <w:tcPr>
            <w:tcW w:w="380" w:type="dxa"/>
            <w:vAlign w:val="bottom"/>
            <w:shd w:val="clear" w:color="auto" w:fill="CCEEFF"/>
          </w:tcPr>
          <w:p>
            <w:pPr>
              <w:jc w:val="right"/>
              <w:ind w:right="166"/>
              <w:spacing w:after="0"/>
              <w:rPr>
                <w:sz w:val="20"/>
                <w:szCs w:val="20"/>
                <w:color w:val="auto"/>
              </w:rPr>
            </w:pPr>
            <w:r>
              <w:rPr>
                <w:rFonts w:ascii="Arial" w:cs="Arial" w:eastAsia="Arial" w:hAnsi="Arial"/>
                <w:sz w:val="11"/>
                <w:szCs w:val="11"/>
                <w:color w:val="050505"/>
              </w:rPr>
              <w:t>$</w:t>
            </w:r>
          </w:p>
        </w:tc>
        <w:tc>
          <w:tcPr>
            <w:tcW w:w="320" w:type="dxa"/>
            <w:vAlign w:val="bottom"/>
            <w:shd w:val="clear" w:color="auto" w:fill="CCEEFF"/>
          </w:tcPr>
          <w:p>
            <w:pPr>
              <w:jc w:val="right"/>
              <w:ind w:right="46"/>
              <w:spacing w:after="0"/>
              <w:rPr>
                <w:sz w:val="20"/>
                <w:szCs w:val="20"/>
                <w:color w:val="auto"/>
              </w:rPr>
            </w:pPr>
            <w:r>
              <w:rPr>
                <w:rFonts w:ascii="Arial" w:cs="Arial" w:eastAsia="Arial" w:hAnsi="Arial"/>
                <w:sz w:val="11"/>
                <w:szCs w:val="11"/>
                <w:color w:val="050505"/>
              </w:rPr>
              <w:t>2.9</w:t>
            </w:r>
          </w:p>
        </w:tc>
        <w:tc>
          <w:tcPr>
            <w:tcW w:w="200" w:type="dxa"/>
            <w:vAlign w:val="bottom"/>
            <w:shd w:val="clear" w:color="auto" w:fill="CCEEFF"/>
          </w:tcPr>
          <w:p>
            <w:pPr>
              <w:jc w:val="right"/>
              <w:spacing w:after="0"/>
              <w:rPr>
                <w:sz w:val="20"/>
                <w:szCs w:val="20"/>
                <w:color w:val="auto"/>
              </w:rPr>
            </w:pPr>
            <w:r>
              <w:rPr>
                <w:rFonts w:ascii="Arial" w:cs="Arial" w:eastAsia="Arial" w:hAnsi="Arial"/>
                <w:sz w:val="11"/>
                <w:szCs w:val="11"/>
                <w:color w:val="050505"/>
              </w:rPr>
              <w:t>$</w:t>
            </w:r>
          </w:p>
        </w:tc>
        <w:tc>
          <w:tcPr>
            <w:tcW w:w="480" w:type="dxa"/>
            <w:vAlign w:val="bottom"/>
            <w:shd w:val="clear" w:color="auto" w:fill="CCEEFF"/>
          </w:tcPr>
          <w:p>
            <w:pPr>
              <w:jc w:val="right"/>
              <w:ind w:right="46"/>
              <w:spacing w:after="0"/>
              <w:rPr>
                <w:sz w:val="20"/>
                <w:szCs w:val="20"/>
                <w:color w:val="auto"/>
              </w:rPr>
            </w:pPr>
            <w:r>
              <w:rPr>
                <w:rFonts w:ascii="Arial" w:cs="Arial" w:eastAsia="Arial" w:hAnsi="Arial"/>
                <w:sz w:val="11"/>
                <w:szCs w:val="11"/>
                <w:color w:val="050505"/>
              </w:rPr>
              <w:t>2.3</w:t>
            </w:r>
          </w:p>
        </w:tc>
        <w:tc>
          <w:tcPr>
            <w:tcW w:w="200" w:type="dxa"/>
            <w:vAlign w:val="bottom"/>
            <w:shd w:val="clear" w:color="auto" w:fill="CCEEFF"/>
          </w:tcPr>
          <w:p>
            <w:pPr>
              <w:jc w:val="right"/>
              <w:spacing w:after="0"/>
              <w:rPr>
                <w:sz w:val="20"/>
                <w:szCs w:val="20"/>
                <w:color w:val="auto"/>
              </w:rPr>
            </w:pPr>
            <w:r>
              <w:rPr>
                <w:rFonts w:ascii="Arial" w:cs="Arial" w:eastAsia="Arial" w:hAnsi="Arial"/>
                <w:sz w:val="11"/>
                <w:szCs w:val="11"/>
                <w:color w:val="050505"/>
              </w:rPr>
              <w:t>$</w:t>
            </w:r>
          </w:p>
        </w:tc>
        <w:tc>
          <w:tcPr>
            <w:tcW w:w="500" w:type="dxa"/>
            <w:vAlign w:val="bottom"/>
            <w:shd w:val="clear" w:color="auto" w:fill="CCEEFF"/>
          </w:tcPr>
          <w:p>
            <w:pPr>
              <w:jc w:val="right"/>
              <w:ind w:right="46"/>
              <w:spacing w:after="0"/>
              <w:rPr>
                <w:sz w:val="20"/>
                <w:szCs w:val="20"/>
                <w:color w:val="auto"/>
              </w:rPr>
            </w:pPr>
            <w:r>
              <w:rPr>
                <w:rFonts w:ascii="Arial" w:cs="Arial" w:eastAsia="Arial" w:hAnsi="Arial"/>
                <w:sz w:val="11"/>
                <w:szCs w:val="11"/>
                <w:color w:val="050505"/>
              </w:rPr>
              <w:t>11.3</w:t>
            </w:r>
          </w:p>
        </w:tc>
        <w:tc>
          <w:tcPr>
            <w:tcW w:w="200" w:type="dxa"/>
            <w:vAlign w:val="bottom"/>
            <w:shd w:val="clear" w:color="auto" w:fill="CCEEFF"/>
          </w:tcPr>
          <w:p>
            <w:pPr>
              <w:jc w:val="right"/>
              <w:spacing w:after="0"/>
              <w:rPr>
                <w:sz w:val="20"/>
                <w:szCs w:val="20"/>
                <w:color w:val="auto"/>
              </w:rPr>
            </w:pPr>
            <w:r>
              <w:rPr>
                <w:rFonts w:ascii="Arial" w:cs="Arial" w:eastAsia="Arial" w:hAnsi="Arial"/>
                <w:sz w:val="11"/>
                <w:szCs w:val="11"/>
                <w:color w:val="050505"/>
              </w:rPr>
              <w:t>$</w:t>
            </w:r>
          </w:p>
        </w:tc>
        <w:tc>
          <w:tcPr>
            <w:tcW w:w="440" w:type="dxa"/>
            <w:vAlign w:val="bottom"/>
            <w:gridSpan w:val="2"/>
            <w:shd w:val="clear" w:color="auto" w:fill="CCEEFF"/>
          </w:tcPr>
          <w:p>
            <w:pPr>
              <w:ind w:left="280"/>
              <w:spacing w:after="0"/>
              <w:rPr>
                <w:sz w:val="20"/>
                <w:szCs w:val="20"/>
                <w:color w:val="auto"/>
              </w:rPr>
            </w:pPr>
            <w:r>
              <w:rPr>
                <w:rFonts w:ascii="Arial" w:cs="Arial" w:eastAsia="Arial" w:hAnsi="Arial"/>
                <w:sz w:val="11"/>
                <w:szCs w:val="11"/>
                <w:color w:val="050505"/>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1310640</wp:posOffset>
            </wp:positionH>
            <wp:positionV relativeFrom="paragraph">
              <wp:posOffset>57150</wp:posOffset>
            </wp:positionV>
            <wp:extent cx="1212215" cy="571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212215" cy="5715"/>
                    </a:xfrm>
                    <a:prstGeom prst="rect">
                      <a:avLst/>
                    </a:prstGeom>
                    <a:noFill/>
                  </pic:spPr>
                </pic:pic>
              </a:graphicData>
            </a:graphic>
          </wp:anchor>
        </w:drawing>
      </w:r>
    </w:p>
    <w:p>
      <w:pPr>
        <w:spacing w:after="0" w:line="93" w:lineRule="exact"/>
        <w:rPr>
          <w:sz w:val="20"/>
          <w:szCs w:val="20"/>
          <w:color w:val="auto"/>
        </w:rPr>
      </w:pPr>
    </w:p>
    <w:p>
      <w:pPr>
        <w:jc w:val="both"/>
        <w:ind w:left="2280" w:right="839" w:hanging="221"/>
        <w:spacing w:after="0" w:line="245" w:lineRule="auto"/>
        <w:tabs>
          <w:tab w:leader="none" w:pos="2280" w:val="left"/>
        </w:tabs>
        <w:numPr>
          <w:ilvl w:val="0"/>
          <w:numId w:val="50"/>
        </w:numPr>
        <w:rPr>
          <w:rFonts w:ascii="Arial" w:cs="Arial" w:eastAsia="Arial" w:hAnsi="Arial"/>
          <w:sz w:val="8"/>
          <w:szCs w:val="8"/>
          <w:color w:val="050505"/>
        </w:rPr>
      </w:pPr>
      <w:r>
        <w:rPr>
          <w:rFonts w:ascii="Arial" w:cs="Arial" w:eastAsia="Arial" w:hAnsi="Arial"/>
          <w:sz w:val="8"/>
          <w:szCs w:val="8"/>
          <w:color w:val="050505"/>
        </w:rPr>
        <w:t>From time-to-time, we execute music royalty agreements with various music rights holders. As part of these go-forward license agreements, we may also enter into agreements whereby we are released from all potential licensor claims regarding our alleged past use of copyrighted material in our content in exchange for a mutually-agreed payment. We refer to these payments as content costs for past use.</w:t>
      </w:r>
    </w:p>
    <w:p>
      <w:pPr>
        <w:spacing w:after="0" w:line="138" w:lineRule="exact"/>
        <w:rPr>
          <w:sz w:val="20"/>
          <w:szCs w:val="20"/>
          <w:color w:val="auto"/>
        </w:rPr>
      </w:pPr>
    </w:p>
    <w:p>
      <w:pPr>
        <w:jc w:val="both"/>
        <w:ind w:left="2060" w:right="839"/>
        <w:spacing w:after="0" w:line="241" w:lineRule="auto"/>
        <w:rPr>
          <w:sz w:val="20"/>
          <w:szCs w:val="20"/>
          <w:color w:val="auto"/>
        </w:rPr>
      </w:pPr>
      <w:r>
        <w:rPr>
          <w:rFonts w:ascii="Arial" w:cs="Arial" w:eastAsia="Arial" w:hAnsi="Arial"/>
          <w:sz w:val="11"/>
          <w:szCs w:val="11"/>
          <w:color w:val="050505"/>
        </w:rPr>
        <w:t>Starting in the quarter ended March 31, 2018, we began to incur significant costs related to certain growth initiatives including the introduction of our Tread, international expansion, and content investments which had an adverse impact on our Adjusted EBITDA. To support our growth, we have also begun to make investments in supply chain, product development, and a new headquarters in New York City which we expect will continue to impact our Adjusted EBITDA</w:t>
      </w:r>
    </w:p>
    <w:p>
      <w:pPr>
        <w:spacing w:after="0" w:line="95" w:lineRule="exact"/>
        <w:rPr>
          <w:sz w:val="20"/>
          <w:szCs w:val="20"/>
          <w:color w:val="auto"/>
        </w:rPr>
      </w:pPr>
    </w:p>
    <w:p>
      <w:pPr>
        <w:ind w:left="5680"/>
        <w:spacing w:after="0"/>
        <w:rPr>
          <w:sz w:val="20"/>
          <w:szCs w:val="20"/>
          <w:color w:val="auto"/>
        </w:rPr>
      </w:pPr>
      <w:r>
        <w:rPr>
          <w:rFonts w:ascii="Arial" w:cs="Arial" w:eastAsia="Arial" w:hAnsi="Arial"/>
          <w:sz w:val="11"/>
          <w:szCs w:val="11"/>
          <w:color w:val="050505"/>
        </w:rPr>
        <w:t>80</w:t>
      </w:r>
    </w:p>
    <w:p>
      <w:pPr>
        <w:sectPr>
          <w:pgSz w:w="11900" w:h="16838" w:orient="portrait"/>
          <w:cols w:equalWidth="0" w:num="1">
            <w:col w:w="10239"/>
          </w:cols>
          <w:pgMar w:left="220" w:top="354" w:right="1440" w:bottom="1440" w:gutter="0" w:footer="0" w:header="0"/>
        </w:sectPr>
      </w:pPr>
    </w:p>
    <w:bookmarkStart w:id="85" w:name="page86"/>
    <w:bookmarkEnd w:id="85"/>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hyperlink w:anchor="page5">
        <w:r>
          <w:rPr>
            <w:rFonts w:ascii="Arial" w:cs="Arial" w:eastAsia="Arial" w:hAnsi="Arial"/>
            <w:sz w:val="12"/>
            <w:szCs w:val="12"/>
            <w:b w:val="1"/>
            <w:bCs w:val="1"/>
            <w:u w:val="single" w:color="auto"/>
            <w:color w:val="0000EE"/>
          </w:rPr>
          <w:t>Table of Contents</w:t>
        </w:r>
      </w:hyperlink>
    </w:p>
    <w:p>
      <w:pPr>
        <w:spacing w:after="0" w:line="216" w:lineRule="exact"/>
        <w:rPr>
          <w:sz w:val="20"/>
          <w:szCs w:val="20"/>
          <w:color w:val="auto"/>
        </w:rPr>
      </w:pPr>
    </w:p>
    <w:p>
      <w:pPr>
        <w:ind w:left="2060"/>
        <w:spacing w:after="0"/>
        <w:rPr>
          <w:sz w:val="20"/>
          <w:szCs w:val="20"/>
          <w:color w:val="auto"/>
        </w:rPr>
      </w:pPr>
      <w:r>
        <w:rPr>
          <w:rFonts w:ascii="Arial" w:cs="Arial" w:eastAsia="Arial" w:hAnsi="Arial"/>
          <w:sz w:val="11"/>
          <w:szCs w:val="11"/>
          <w:color w:val="050505"/>
        </w:rPr>
        <w:t>Margin. Adjusted EBITDA was also more adversely impacted in certain quarters presented due to the variable nature of our content costs for past use.</w:t>
      </w:r>
    </w:p>
    <w:p>
      <w:pPr>
        <w:ind w:left="2060"/>
        <w:spacing w:after="0"/>
        <w:rPr>
          <w:sz w:val="20"/>
          <w:szCs w:val="20"/>
          <w:color w:val="auto"/>
        </w:rPr>
      </w:pPr>
      <w:r>
        <w:rPr>
          <w:rFonts w:ascii="Arial" w:cs="Arial" w:eastAsia="Arial" w:hAnsi="Arial"/>
          <w:sz w:val="11"/>
          <w:szCs w:val="11"/>
          <w:color w:val="050505"/>
        </w:rPr>
        <w:t>See the section titled “—Content Costs for Past Use” for additional information.</w:t>
      </w:r>
    </w:p>
    <w:p>
      <w:pPr>
        <w:spacing w:after="0" w:line="134" w:lineRule="exact"/>
        <w:rPr>
          <w:sz w:val="20"/>
          <w:szCs w:val="20"/>
          <w:color w:val="auto"/>
        </w:rPr>
      </w:pPr>
    </w:p>
    <w:p>
      <w:pPr>
        <w:ind w:left="2060"/>
        <w:spacing w:after="0"/>
        <w:rPr>
          <w:sz w:val="20"/>
          <w:szCs w:val="20"/>
          <w:color w:val="auto"/>
        </w:rPr>
      </w:pPr>
      <w:r>
        <w:rPr>
          <w:rFonts w:ascii="Arial" w:cs="Arial" w:eastAsia="Arial" w:hAnsi="Arial"/>
          <w:sz w:val="11"/>
          <w:szCs w:val="11"/>
          <w:i w:val="1"/>
          <w:iCs w:val="1"/>
          <w:color w:val="auto"/>
        </w:rPr>
        <w:t>Subscription Contribution and Subscription Contribution Margin</w:t>
      </w:r>
    </w:p>
    <w:p>
      <w:pPr>
        <w:spacing w:after="0" w:line="10" w:lineRule="exact"/>
        <w:rPr>
          <w:sz w:val="20"/>
          <w:szCs w:val="20"/>
          <w:color w:val="auto"/>
        </w:rPr>
      </w:pPr>
    </w:p>
    <w:p>
      <w:pPr>
        <w:ind w:left="2060"/>
        <w:spacing w:after="0"/>
        <w:rPr>
          <w:sz w:val="20"/>
          <w:szCs w:val="20"/>
          <w:color w:val="auto"/>
        </w:rPr>
      </w:pPr>
      <w:r>
        <w:rPr>
          <w:rFonts w:ascii="Arial" w:cs="Arial" w:eastAsia="Arial" w:hAnsi="Arial"/>
          <w:sz w:val="11"/>
          <w:szCs w:val="11"/>
          <w:color w:val="050505"/>
        </w:rPr>
        <w:t>Set forth below is a reconciliation of subscription gross profit to Subscription Contribution for the periods presented:</w:t>
      </w:r>
    </w:p>
    <w:p>
      <w:pPr>
        <w:spacing w:after="0" w:line="87" w:lineRule="exact"/>
        <w:rPr>
          <w:sz w:val="20"/>
          <w:szCs w:val="20"/>
          <w:color w:val="auto"/>
        </w:rPr>
      </w:pPr>
    </w:p>
    <w:tbl>
      <w:tblPr>
        <w:tblLayout w:type="fixed"/>
        <w:tblInd w:w="2060" w:type="dxa"/>
        <w:tblCellMar>
          <w:top w:w="0" w:type="dxa"/>
          <w:left w:w="0" w:type="dxa"/>
          <w:bottom w:w="0" w:type="dxa"/>
          <w:right w:w="0" w:type="dxa"/>
        </w:tblCellMar>
      </w:tblPr>
      <w:tr>
        <w:trPr>
          <w:trHeight w:val="137"/>
        </w:trPr>
        <w:tc>
          <w:tcPr>
            <w:tcW w:w="1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300" w:type="dxa"/>
            <w:vAlign w:val="bottom"/>
            <w:tcBorders>
              <w:bottom w:val="single" w:sz="8" w:color="auto"/>
            </w:tcBorders>
            <w:gridSpan w:val="6"/>
          </w:tcPr>
          <w:p>
            <w:pPr>
              <w:jc w:val="center"/>
              <w:ind w:right="220"/>
              <w:spacing w:after="0"/>
              <w:rPr>
                <w:sz w:val="20"/>
                <w:szCs w:val="20"/>
                <w:color w:val="auto"/>
              </w:rPr>
            </w:pPr>
            <w:r>
              <w:rPr>
                <w:rFonts w:ascii="Arial" w:cs="Arial" w:eastAsia="Arial" w:hAnsi="Arial"/>
                <w:sz w:val="11"/>
                <w:szCs w:val="11"/>
                <w:b w:val="1"/>
                <w:bCs w:val="1"/>
                <w:color w:val="050505"/>
                <w:w w:val="99"/>
              </w:rPr>
              <w:t>Three Months Ended</w:t>
            </w:r>
          </w:p>
        </w:tc>
        <w:tc>
          <w:tcPr>
            <w:tcW w:w="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r>
      <w:tr>
        <w:trPr>
          <w:trHeight w:val="104"/>
        </w:trPr>
        <w:tc>
          <w:tcPr>
            <w:tcW w:w="1660" w:type="dxa"/>
            <w:vAlign w:val="bottom"/>
          </w:tcPr>
          <w:p>
            <w:pPr>
              <w:spacing w:after="0"/>
              <w:rPr>
                <w:sz w:val="9"/>
                <w:szCs w:val="9"/>
                <w:color w:val="auto"/>
              </w:rPr>
            </w:pPr>
          </w:p>
        </w:tc>
        <w:tc>
          <w:tcPr>
            <w:tcW w:w="60" w:type="dxa"/>
            <w:vAlign w:val="bottom"/>
          </w:tcPr>
          <w:p>
            <w:pPr>
              <w:spacing w:after="0"/>
              <w:rPr>
                <w:sz w:val="9"/>
                <w:szCs w:val="9"/>
                <w:color w:val="auto"/>
              </w:rPr>
            </w:pPr>
          </w:p>
        </w:tc>
        <w:tc>
          <w:tcPr>
            <w:tcW w:w="640" w:type="dxa"/>
            <w:vAlign w:val="bottom"/>
            <w:gridSpan w:val="3"/>
          </w:tcPr>
          <w:p>
            <w:pPr>
              <w:jc w:val="right"/>
              <w:ind w:right="200"/>
              <w:spacing w:after="0" w:line="105" w:lineRule="exact"/>
              <w:rPr>
                <w:sz w:val="20"/>
                <w:szCs w:val="20"/>
                <w:color w:val="auto"/>
              </w:rPr>
            </w:pPr>
            <w:r>
              <w:rPr>
                <w:rFonts w:ascii="Arial" w:cs="Arial" w:eastAsia="Arial" w:hAnsi="Arial"/>
                <w:sz w:val="11"/>
                <w:szCs w:val="11"/>
                <w:b w:val="1"/>
                <w:bCs w:val="1"/>
                <w:color w:val="050505"/>
              </w:rPr>
              <w:t>Sep. 30,</w:t>
            </w:r>
          </w:p>
        </w:tc>
        <w:tc>
          <w:tcPr>
            <w:tcW w:w="60" w:type="dxa"/>
            <w:vAlign w:val="bottom"/>
          </w:tcPr>
          <w:p>
            <w:pPr>
              <w:spacing w:after="0"/>
              <w:rPr>
                <w:sz w:val="9"/>
                <w:szCs w:val="9"/>
                <w:color w:val="auto"/>
              </w:rPr>
            </w:pPr>
          </w:p>
        </w:tc>
        <w:tc>
          <w:tcPr>
            <w:tcW w:w="640" w:type="dxa"/>
            <w:vAlign w:val="bottom"/>
            <w:gridSpan w:val="3"/>
          </w:tcPr>
          <w:p>
            <w:pPr>
              <w:jc w:val="right"/>
              <w:ind w:right="200"/>
              <w:spacing w:after="0" w:line="105" w:lineRule="exact"/>
              <w:rPr>
                <w:sz w:val="20"/>
                <w:szCs w:val="20"/>
                <w:color w:val="auto"/>
              </w:rPr>
            </w:pPr>
            <w:r>
              <w:rPr>
                <w:rFonts w:ascii="Arial" w:cs="Arial" w:eastAsia="Arial" w:hAnsi="Arial"/>
                <w:sz w:val="11"/>
                <w:szCs w:val="11"/>
                <w:b w:val="1"/>
                <w:bCs w:val="1"/>
                <w:color w:val="050505"/>
              </w:rPr>
              <w:t>Dec. 31,</w:t>
            </w:r>
          </w:p>
        </w:tc>
        <w:tc>
          <w:tcPr>
            <w:tcW w:w="80" w:type="dxa"/>
            <w:vAlign w:val="bottom"/>
          </w:tcPr>
          <w:p>
            <w:pPr>
              <w:spacing w:after="0"/>
              <w:rPr>
                <w:sz w:val="9"/>
                <w:szCs w:val="9"/>
                <w:color w:val="auto"/>
              </w:rPr>
            </w:pPr>
          </w:p>
        </w:tc>
        <w:tc>
          <w:tcPr>
            <w:tcW w:w="640" w:type="dxa"/>
            <w:vAlign w:val="bottom"/>
            <w:gridSpan w:val="3"/>
          </w:tcPr>
          <w:p>
            <w:pPr>
              <w:jc w:val="right"/>
              <w:ind w:right="200"/>
              <w:spacing w:after="0" w:line="105" w:lineRule="exact"/>
              <w:rPr>
                <w:sz w:val="20"/>
                <w:szCs w:val="20"/>
                <w:color w:val="auto"/>
              </w:rPr>
            </w:pPr>
            <w:r>
              <w:rPr>
                <w:rFonts w:ascii="Arial" w:cs="Arial" w:eastAsia="Arial" w:hAnsi="Arial"/>
                <w:sz w:val="11"/>
                <w:szCs w:val="11"/>
                <w:b w:val="1"/>
                <w:bCs w:val="1"/>
                <w:color w:val="050505"/>
              </w:rPr>
              <w:t>Mar. 31,</w:t>
            </w:r>
          </w:p>
        </w:tc>
        <w:tc>
          <w:tcPr>
            <w:tcW w:w="60" w:type="dxa"/>
            <w:vAlign w:val="bottom"/>
          </w:tcPr>
          <w:p>
            <w:pPr>
              <w:spacing w:after="0"/>
              <w:rPr>
                <w:sz w:val="9"/>
                <w:szCs w:val="9"/>
                <w:color w:val="auto"/>
              </w:rPr>
            </w:pPr>
          </w:p>
        </w:tc>
        <w:tc>
          <w:tcPr>
            <w:tcW w:w="660" w:type="dxa"/>
            <w:vAlign w:val="bottom"/>
            <w:gridSpan w:val="3"/>
          </w:tcPr>
          <w:p>
            <w:pPr>
              <w:jc w:val="right"/>
              <w:ind w:right="220"/>
              <w:spacing w:after="0" w:line="105" w:lineRule="exact"/>
              <w:rPr>
                <w:sz w:val="20"/>
                <w:szCs w:val="20"/>
                <w:color w:val="auto"/>
              </w:rPr>
            </w:pPr>
            <w:r>
              <w:rPr>
                <w:rFonts w:ascii="Arial" w:cs="Arial" w:eastAsia="Arial" w:hAnsi="Arial"/>
                <w:sz w:val="11"/>
                <w:szCs w:val="11"/>
                <w:b w:val="1"/>
                <w:bCs w:val="1"/>
                <w:color w:val="050505"/>
              </w:rPr>
              <w:t>Jun. 30,</w:t>
            </w:r>
          </w:p>
        </w:tc>
        <w:tc>
          <w:tcPr>
            <w:tcW w:w="80" w:type="dxa"/>
            <w:vAlign w:val="bottom"/>
          </w:tcPr>
          <w:p>
            <w:pPr>
              <w:spacing w:after="0"/>
              <w:rPr>
                <w:sz w:val="9"/>
                <w:szCs w:val="9"/>
                <w:color w:val="auto"/>
              </w:rPr>
            </w:pPr>
          </w:p>
        </w:tc>
        <w:tc>
          <w:tcPr>
            <w:tcW w:w="640" w:type="dxa"/>
            <w:vAlign w:val="bottom"/>
            <w:gridSpan w:val="3"/>
          </w:tcPr>
          <w:p>
            <w:pPr>
              <w:jc w:val="right"/>
              <w:ind w:right="200"/>
              <w:spacing w:after="0" w:line="105" w:lineRule="exact"/>
              <w:rPr>
                <w:sz w:val="20"/>
                <w:szCs w:val="20"/>
                <w:color w:val="auto"/>
              </w:rPr>
            </w:pPr>
            <w:r>
              <w:rPr>
                <w:rFonts w:ascii="Arial" w:cs="Arial" w:eastAsia="Arial" w:hAnsi="Arial"/>
                <w:sz w:val="11"/>
                <w:szCs w:val="11"/>
                <w:b w:val="1"/>
                <w:bCs w:val="1"/>
                <w:color w:val="050505"/>
              </w:rPr>
              <w:t>Sep. 30,</w:t>
            </w:r>
          </w:p>
        </w:tc>
        <w:tc>
          <w:tcPr>
            <w:tcW w:w="80" w:type="dxa"/>
            <w:vAlign w:val="bottom"/>
          </w:tcPr>
          <w:p>
            <w:pPr>
              <w:spacing w:after="0"/>
              <w:rPr>
                <w:sz w:val="9"/>
                <w:szCs w:val="9"/>
                <w:color w:val="auto"/>
              </w:rPr>
            </w:pPr>
          </w:p>
        </w:tc>
        <w:tc>
          <w:tcPr>
            <w:tcW w:w="640" w:type="dxa"/>
            <w:vAlign w:val="bottom"/>
            <w:gridSpan w:val="3"/>
          </w:tcPr>
          <w:p>
            <w:pPr>
              <w:jc w:val="right"/>
              <w:ind w:right="200"/>
              <w:spacing w:after="0" w:line="105" w:lineRule="exact"/>
              <w:rPr>
                <w:sz w:val="20"/>
                <w:szCs w:val="20"/>
                <w:color w:val="auto"/>
              </w:rPr>
            </w:pPr>
            <w:r>
              <w:rPr>
                <w:rFonts w:ascii="Arial" w:cs="Arial" w:eastAsia="Arial" w:hAnsi="Arial"/>
                <w:sz w:val="11"/>
                <w:szCs w:val="11"/>
                <w:b w:val="1"/>
                <w:bCs w:val="1"/>
                <w:color w:val="050505"/>
              </w:rPr>
              <w:t>Dec. 31,</w:t>
            </w:r>
          </w:p>
        </w:tc>
        <w:tc>
          <w:tcPr>
            <w:tcW w:w="80" w:type="dxa"/>
            <w:vAlign w:val="bottom"/>
          </w:tcPr>
          <w:p>
            <w:pPr>
              <w:spacing w:after="0"/>
              <w:rPr>
                <w:sz w:val="9"/>
                <w:szCs w:val="9"/>
                <w:color w:val="auto"/>
              </w:rPr>
            </w:pPr>
          </w:p>
        </w:tc>
        <w:tc>
          <w:tcPr>
            <w:tcW w:w="640" w:type="dxa"/>
            <w:vAlign w:val="bottom"/>
            <w:gridSpan w:val="3"/>
          </w:tcPr>
          <w:p>
            <w:pPr>
              <w:jc w:val="right"/>
              <w:ind w:right="220"/>
              <w:spacing w:after="0" w:line="105" w:lineRule="exact"/>
              <w:rPr>
                <w:sz w:val="20"/>
                <w:szCs w:val="20"/>
                <w:color w:val="auto"/>
              </w:rPr>
            </w:pPr>
            <w:r>
              <w:rPr>
                <w:rFonts w:ascii="Arial" w:cs="Arial" w:eastAsia="Arial" w:hAnsi="Arial"/>
                <w:sz w:val="11"/>
                <w:szCs w:val="11"/>
                <w:b w:val="1"/>
                <w:bCs w:val="1"/>
                <w:color w:val="050505"/>
                <w:w w:val="97"/>
              </w:rPr>
              <w:t>Mar. 31,</w:t>
            </w:r>
          </w:p>
        </w:tc>
        <w:tc>
          <w:tcPr>
            <w:tcW w:w="80" w:type="dxa"/>
            <w:vAlign w:val="bottom"/>
          </w:tcPr>
          <w:p>
            <w:pPr>
              <w:spacing w:after="0"/>
              <w:rPr>
                <w:sz w:val="9"/>
                <w:szCs w:val="9"/>
                <w:color w:val="auto"/>
              </w:rPr>
            </w:pPr>
          </w:p>
        </w:tc>
        <w:tc>
          <w:tcPr>
            <w:tcW w:w="480" w:type="dxa"/>
            <w:vAlign w:val="bottom"/>
            <w:gridSpan w:val="2"/>
          </w:tcPr>
          <w:p>
            <w:pPr>
              <w:jc w:val="right"/>
              <w:spacing w:after="0" w:line="105" w:lineRule="exact"/>
              <w:rPr>
                <w:sz w:val="20"/>
                <w:szCs w:val="20"/>
                <w:color w:val="auto"/>
              </w:rPr>
            </w:pPr>
            <w:r>
              <w:rPr>
                <w:rFonts w:ascii="Arial" w:cs="Arial" w:eastAsia="Arial" w:hAnsi="Arial"/>
                <w:sz w:val="11"/>
                <w:szCs w:val="11"/>
                <w:b w:val="1"/>
                <w:bCs w:val="1"/>
                <w:color w:val="050505"/>
              </w:rPr>
              <w:t>Jun. 30,</w:t>
            </w:r>
          </w:p>
        </w:tc>
        <w:tc>
          <w:tcPr>
            <w:tcW w:w="140" w:type="dxa"/>
            <w:vAlign w:val="bottom"/>
          </w:tcPr>
          <w:p>
            <w:pPr>
              <w:spacing w:after="0"/>
              <w:rPr>
                <w:sz w:val="9"/>
                <w:szCs w:val="9"/>
                <w:color w:val="auto"/>
              </w:rPr>
            </w:pPr>
          </w:p>
        </w:tc>
      </w:tr>
      <w:tr>
        <w:trPr>
          <w:trHeight w:val="137"/>
        </w:trPr>
        <w:tc>
          <w:tcPr>
            <w:tcW w:w="1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jc w:val="right"/>
              <w:ind w:right="66"/>
              <w:spacing w:after="0"/>
              <w:rPr>
                <w:sz w:val="20"/>
                <w:szCs w:val="20"/>
                <w:color w:val="auto"/>
              </w:rPr>
            </w:pPr>
            <w:r>
              <w:rPr>
                <w:rFonts w:ascii="Arial" w:cs="Arial" w:eastAsia="Arial" w:hAnsi="Arial"/>
                <w:sz w:val="11"/>
                <w:szCs w:val="11"/>
                <w:b w:val="1"/>
                <w:bCs w:val="1"/>
                <w:color w:val="050505"/>
              </w:rPr>
              <w:t>2017</w:t>
            </w:r>
          </w:p>
        </w:tc>
        <w:tc>
          <w:tcPr>
            <w:tcW w:w="16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b w:val="1"/>
                <w:bCs w:val="1"/>
                <w:color w:val="050505"/>
                <w:w w:val="97"/>
              </w:rPr>
              <w:t>2017</w:t>
            </w:r>
          </w:p>
        </w:tc>
        <w:tc>
          <w:tcPr>
            <w:tcW w:w="14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jc w:val="right"/>
              <w:ind w:right="66"/>
              <w:spacing w:after="0"/>
              <w:rPr>
                <w:sz w:val="20"/>
                <w:szCs w:val="20"/>
                <w:color w:val="auto"/>
              </w:rPr>
            </w:pPr>
            <w:r>
              <w:rPr>
                <w:rFonts w:ascii="Arial" w:cs="Arial" w:eastAsia="Arial" w:hAnsi="Arial"/>
                <w:sz w:val="11"/>
                <w:szCs w:val="11"/>
                <w:b w:val="1"/>
                <w:bCs w:val="1"/>
                <w:color w:val="050505"/>
              </w:rPr>
              <w:t>2018</w:t>
            </w:r>
          </w:p>
        </w:tc>
        <w:tc>
          <w:tcPr>
            <w:tcW w:w="16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b w:val="1"/>
                <w:bCs w:val="1"/>
                <w:color w:val="050505"/>
              </w:rPr>
              <w:t>2018</w:t>
            </w:r>
          </w:p>
        </w:tc>
        <w:tc>
          <w:tcPr>
            <w:tcW w:w="16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b w:val="1"/>
                <w:bCs w:val="1"/>
                <w:color w:val="050505"/>
                <w:w w:val="97"/>
              </w:rPr>
              <w:t>2018</w:t>
            </w:r>
          </w:p>
        </w:tc>
        <w:tc>
          <w:tcPr>
            <w:tcW w:w="16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b w:val="1"/>
                <w:bCs w:val="1"/>
                <w:color w:val="050505"/>
                <w:w w:val="97"/>
              </w:rPr>
              <w:t>2018</w:t>
            </w:r>
          </w:p>
        </w:tc>
        <w:tc>
          <w:tcPr>
            <w:tcW w:w="16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jc w:val="right"/>
              <w:ind w:right="66"/>
              <w:spacing w:after="0"/>
              <w:rPr>
                <w:sz w:val="20"/>
                <w:szCs w:val="20"/>
                <w:color w:val="auto"/>
              </w:rPr>
            </w:pPr>
            <w:r>
              <w:rPr>
                <w:rFonts w:ascii="Arial" w:cs="Arial" w:eastAsia="Arial" w:hAnsi="Arial"/>
                <w:sz w:val="11"/>
                <w:szCs w:val="11"/>
                <w:b w:val="1"/>
                <w:bCs w:val="1"/>
                <w:color w:val="050505"/>
              </w:rPr>
              <w:t>2019</w:t>
            </w:r>
          </w:p>
        </w:tc>
        <w:tc>
          <w:tcPr>
            <w:tcW w:w="16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jc w:val="right"/>
              <w:ind w:right="66"/>
              <w:spacing w:after="0"/>
              <w:rPr>
                <w:sz w:val="20"/>
                <w:szCs w:val="20"/>
                <w:color w:val="auto"/>
              </w:rPr>
            </w:pPr>
            <w:r>
              <w:rPr>
                <w:rFonts w:ascii="Arial" w:cs="Arial" w:eastAsia="Arial" w:hAnsi="Arial"/>
                <w:sz w:val="11"/>
                <w:szCs w:val="11"/>
                <w:b w:val="1"/>
                <w:bCs w:val="1"/>
                <w:color w:val="050505"/>
              </w:rPr>
              <w:t>2019</w:t>
            </w:r>
          </w:p>
        </w:tc>
        <w:tc>
          <w:tcPr>
            <w:tcW w:w="140" w:type="dxa"/>
            <w:vAlign w:val="bottom"/>
          </w:tcPr>
          <w:p>
            <w:pPr>
              <w:spacing w:after="0"/>
              <w:rPr>
                <w:sz w:val="11"/>
                <w:szCs w:val="11"/>
                <w:color w:val="auto"/>
              </w:rPr>
            </w:pPr>
          </w:p>
        </w:tc>
      </w:tr>
      <w:tr>
        <w:trPr>
          <w:trHeight w:val="104"/>
        </w:trPr>
        <w:tc>
          <w:tcPr>
            <w:tcW w:w="166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1300" w:type="dxa"/>
            <w:vAlign w:val="bottom"/>
            <w:gridSpan w:val="6"/>
          </w:tcPr>
          <w:p>
            <w:pPr>
              <w:jc w:val="center"/>
              <w:ind w:right="220"/>
              <w:spacing w:after="0" w:line="105" w:lineRule="exact"/>
              <w:rPr>
                <w:sz w:val="20"/>
                <w:szCs w:val="20"/>
                <w:color w:val="auto"/>
              </w:rPr>
            </w:pPr>
            <w:r>
              <w:rPr>
                <w:rFonts w:ascii="Arial" w:cs="Arial" w:eastAsia="Arial" w:hAnsi="Arial"/>
                <w:sz w:val="11"/>
                <w:szCs w:val="11"/>
                <w:b w:val="1"/>
                <w:bCs w:val="1"/>
                <w:color w:val="050505"/>
              </w:rPr>
              <w:t>(unaudited)</w:t>
            </w: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40" w:type="dxa"/>
            <w:vAlign w:val="bottom"/>
          </w:tcPr>
          <w:p>
            <w:pPr>
              <w:spacing w:after="0"/>
              <w:rPr>
                <w:sz w:val="9"/>
                <w:szCs w:val="9"/>
                <w:color w:val="auto"/>
              </w:rPr>
            </w:pPr>
          </w:p>
        </w:tc>
      </w:tr>
      <w:tr>
        <w:trPr>
          <w:trHeight w:val="137"/>
        </w:trPr>
        <w:tc>
          <w:tcPr>
            <w:tcW w:w="1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00" w:type="dxa"/>
            <w:vAlign w:val="bottom"/>
            <w:gridSpan w:val="6"/>
          </w:tcPr>
          <w:p>
            <w:pPr>
              <w:jc w:val="center"/>
              <w:ind w:right="220"/>
              <w:spacing w:after="0"/>
              <w:rPr>
                <w:sz w:val="20"/>
                <w:szCs w:val="20"/>
                <w:color w:val="auto"/>
              </w:rPr>
            </w:pPr>
            <w:r>
              <w:rPr>
                <w:rFonts w:ascii="Arial" w:cs="Arial" w:eastAsia="Arial" w:hAnsi="Arial"/>
                <w:sz w:val="11"/>
                <w:szCs w:val="11"/>
                <w:b w:val="1"/>
                <w:bCs w:val="1"/>
                <w:color w:val="050505"/>
                <w:w w:val="99"/>
              </w:rPr>
              <w:t>(dollars in millions)</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r>
      <w:tr>
        <w:trPr>
          <w:trHeight w:val="126"/>
        </w:trPr>
        <w:tc>
          <w:tcPr>
            <w:tcW w:w="1660" w:type="dxa"/>
            <w:vAlign w:val="bottom"/>
            <w:shd w:val="clear" w:color="auto" w:fill="CCEEFF"/>
          </w:tcPr>
          <w:p>
            <w:pPr>
              <w:spacing w:after="0"/>
              <w:rPr>
                <w:sz w:val="20"/>
                <w:szCs w:val="20"/>
                <w:color w:val="auto"/>
              </w:rPr>
            </w:pPr>
            <w:r>
              <w:rPr>
                <w:rFonts w:ascii="Arial" w:cs="Arial" w:eastAsia="Arial" w:hAnsi="Arial"/>
                <w:sz w:val="11"/>
                <w:szCs w:val="11"/>
                <w:color w:val="050505"/>
              </w:rPr>
              <w:t>Subscription revenue</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050505"/>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1"/>
                <w:szCs w:val="11"/>
                <w:color w:val="050505"/>
              </w:rPr>
              <w:t>14.3</w:t>
            </w:r>
          </w:p>
        </w:tc>
        <w:tc>
          <w:tcPr>
            <w:tcW w:w="160" w:type="dxa"/>
            <w:vAlign w:val="bottom"/>
            <w:shd w:val="clear" w:color="auto" w:fill="CCEEFF"/>
          </w:tcPr>
          <w:p>
            <w:pPr>
              <w:spacing w:after="0"/>
              <w:rPr>
                <w:sz w:val="10"/>
                <w:szCs w:val="10"/>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050505"/>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1"/>
                <w:szCs w:val="11"/>
                <w:color w:val="050505"/>
              </w:rPr>
              <w:t>16.5</w:t>
            </w:r>
          </w:p>
        </w:tc>
        <w:tc>
          <w:tcPr>
            <w:tcW w:w="140" w:type="dxa"/>
            <w:vAlign w:val="bottom"/>
            <w:shd w:val="clear" w:color="auto" w:fill="CCEEFF"/>
          </w:tcPr>
          <w:p>
            <w:pPr>
              <w:spacing w:after="0"/>
              <w:rPr>
                <w:sz w:val="10"/>
                <w:szCs w:val="10"/>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050505"/>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1"/>
                <w:szCs w:val="11"/>
                <w:color w:val="050505"/>
              </w:rPr>
              <w:t>22.5</w:t>
            </w:r>
          </w:p>
        </w:tc>
        <w:tc>
          <w:tcPr>
            <w:tcW w:w="160" w:type="dxa"/>
            <w:vAlign w:val="bottom"/>
            <w:shd w:val="clear" w:color="auto" w:fill="CCEEFF"/>
          </w:tcPr>
          <w:p>
            <w:pPr>
              <w:spacing w:after="0"/>
              <w:rPr>
                <w:sz w:val="10"/>
                <w:szCs w:val="10"/>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050505"/>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1"/>
                <w:szCs w:val="11"/>
                <w:color w:val="050505"/>
              </w:rPr>
              <w:t>27.0</w:t>
            </w:r>
          </w:p>
        </w:tc>
        <w:tc>
          <w:tcPr>
            <w:tcW w:w="160" w:type="dxa"/>
            <w:vAlign w:val="bottom"/>
            <w:shd w:val="clear" w:color="auto" w:fill="CCEEFF"/>
          </w:tcPr>
          <w:p>
            <w:pPr>
              <w:spacing w:after="0"/>
              <w:rPr>
                <w:sz w:val="10"/>
                <w:szCs w:val="10"/>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050505"/>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1"/>
                <w:szCs w:val="11"/>
                <w:color w:val="050505"/>
              </w:rPr>
              <w:t>31.7</w:t>
            </w:r>
          </w:p>
        </w:tc>
        <w:tc>
          <w:tcPr>
            <w:tcW w:w="160" w:type="dxa"/>
            <w:vAlign w:val="bottom"/>
            <w:shd w:val="clear" w:color="auto" w:fill="CCEEFF"/>
          </w:tcPr>
          <w:p>
            <w:pPr>
              <w:spacing w:after="0"/>
              <w:rPr>
                <w:sz w:val="10"/>
                <w:szCs w:val="10"/>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050505"/>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1"/>
                <w:szCs w:val="11"/>
                <w:color w:val="050505"/>
              </w:rPr>
              <w:t>37.3</w:t>
            </w:r>
          </w:p>
        </w:tc>
        <w:tc>
          <w:tcPr>
            <w:tcW w:w="160" w:type="dxa"/>
            <w:vAlign w:val="bottom"/>
            <w:shd w:val="clear" w:color="auto" w:fill="CCEEFF"/>
          </w:tcPr>
          <w:p>
            <w:pPr>
              <w:spacing w:after="0"/>
              <w:rPr>
                <w:sz w:val="10"/>
                <w:szCs w:val="10"/>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050505"/>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1"/>
                <w:szCs w:val="11"/>
                <w:color w:val="050505"/>
              </w:rPr>
              <w:t>51.1</w:t>
            </w:r>
          </w:p>
        </w:tc>
        <w:tc>
          <w:tcPr>
            <w:tcW w:w="160" w:type="dxa"/>
            <w:vAlign w:val="bottom"/>
            <w:shd w:val="clear" w:color="auto" w:fill="CCEEFF"/>
          </w:tcPr>
          <w:p>
            <w:pPr>
              <w:spacing w:after="0"/>
              <w:rPr>
                <w:sz w:val="10"/>
                <w:szCs w:val="10"/>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050505"/>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1"/>
                <w:szCs w:val="11"/>
                <w:color w:val="050505"/>
              </w:rPr>
              <w:t>61.0</w:t>
            </w:r>
          </w:p>
        </w:tc>
        <w:tc>
          <w:tcPr>
            <w:tcW w:w="140" w:type="dxa"/>
            <w:vAlign w:val="bottom"/>
            <w:shd w:val="clear" w:color="auto" w:fill="CCEEFF"/>
          </w:tcPr>
          <w:p>
            <w:pPr>
              <w:spacing w:after="0"/>
              <w:rPr>
                <w:sz w:val="10"/>
                <w:szCs w:val="10"/>
                <w:color w:val="auto"/>
              </w:rPr>
            </w:pPr>
          </w:p>
        </w:tc>
      </w:tr>
      <w:tr>
        <w:trPr>
          <w:trHeight w:val="126"/>
        </w:trPr>
        <w:tc>
          <w:tcPr>
            <w:tcW w:w="1660" w:type="dxa"/>
            <w:vAlign w:val="bottom"/>
          </w:tcPr>
          <w:p>
            <w:pPr>
              <w:spacing w:after="0" w:line="126" w:lineRule="exact"/>
              <w:rPr>
                <w:sz w:val="20"/>
                <w:szCs w:val="20"/>
                <w:color w:val="auto"/>
              </w:rPr>
            </w:pPr>
            <w:r>
              <w:rPr>
                <w:rFonts w:ascii="Arial" w:cs="Arial" w:eastAsia="Arial" w:hAnsi="Arial"/>
                <w:sz w:val="9"/>
                <w:szCs w:val="9"/>
                <w:color w:val="050505"/>
              </w:rPr>
              <w:t>Less: Cost of subscription</w:t>
            </w:r>
            <w:r>
              <w:rPr>
                <w:rFonts w:ascii="Arial" w:cs="Arial" w:eastAsia="Arial" w:hAnsi="Arial"/>
                <w:sz w:val="14"/>
                <w:szCs w:val="14"/>
                <w:color w:val="050505"/>
                <w:vertAlign w:val="superscript"/>
              </w:rPr>
              <w:t>(1)</w:t>
            </w:r>
          </w:p>
        </w:tc>
        <w:tc>
          <w:tcPr>
            <w:tcW w:w="6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050505"/>
              </w:rPr>
              <w:t>9.5</w:t>
            </w: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050505"/>
              </w:rPr>
              <w:t>8.2</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050505"/>
              </w:rPr>
              <w:t>14.6</w:t>
            </w: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050505"/>
              </w:rPr>
              <w:t>13.2</w:t>
            </w: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050505"/>
              </w:rPr>
              <w:t>16.3</w:t>
            </w: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050505"/>
              </w:rPr>
              <w:t>20.3</w:t>
            </w: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050505"/>
              </w:rPr>
              <w:t>38.0</w:t>
            </w: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050505"/>
              </w:rPr>
              <w:t>29.1</w:t>
            </w:r>
          </w:p>
        </w:tc>
        <w:tc>
          <w:tcPr>
            <w:tcW w:w="140" w:type="dxa"/>
            <w:vAlign w:val="bottom"/>
          </w:tcPr>
          <w:p>
            <w:pPr>
              <w:spacing w:after="0"/>
              <w:rPr>
                <w:sz w:val="10"/>
                <w:szCs w:val="10"/>
                <w:color w:val="auto"/>
              </w:rPr>
            </w:pPr>
          </w:p>
        </w:tc>
      </w:tr>
      <w:tr>
        <w:trPr>
          <w:trHeight w:val="124"/>
        </w:trPr>
        <w:tc>
          <w:tcPr>
            <w:tcW w:w="1660" w:type="dxa"/>
            <w:vAlign w:val="bottom"/>
            <w:shd w:val="clear" w:color="auto" w:fill="CCEEFF"/>
          </w:tcPr>
          <w:p>
            <w:pPr>
              <w:ind w:left="40"/>
              <w:spacing w:after="0" w:line="124" w:lineRule="exact"/>
              <w:rPr>
                <w:sz w:val="20"/>
                <w:szCs w:val="20"/>
                <w:color w:val="auto"/>
              </w:rPr>
            </w:pPr>
            <w:r>
              <w:rPr>
                <w:rFonts w:ascii="Arial" w:cs="Arial" w:eastAsia="Arial" w:hAnsi="Arial"/>
                <w:sz w:val="11"/>
                <w:szCs w:val="11"/>
                <w:color w:val="050505"/>
              </w:rPr>
              <w:t>Subscription gross profit</w:t>
            </w:r>
          </w:p>
        </w:tc>
        <w:tc>
          <w:tcPr>
            <w:tcW w:w="140" w:type="dxa"/>
            <w:vAlign w:val="bottom"/>
            <w:gridSpan w:val="2"/>
            <w:shd w:val="clear" w:color="auto" w:fill="CCEEFF"/>
          </w:tcPr>
          <w:p>
            <w:pPr>
              <w:jc w:val="right"/>
              <w:spacing w:after="0" w:line="124" w:lineRule="exact"/>
              <w:rPr>
                <w:sz w:val="20"/>
                <w:szCs w:val="20"/>
                <w:color w:val="auto"/>
              </w:rPr>
            </w:pPr>
            <w:r>
              <w:rPr>
                <w:rFonts w:ascii="Arial" w:cs="Arial" w:eastAsia="Arial" w:hAnsi="Arial"/>
                <w:sz w:val="11"/>
                <w:szCs w:val="11"/>
                <w:color w:val="050505"/>
              </w:rPr>
              <w:t>$</w:t>
            </w:r>
          </w:p>
        </w:tc>
        <w:tc>
          <w:tcPr>
            <w:tcW w:w="400" w:type="dxa"/>
            <w:vAlign w:val="bottom"/>
            <w:shd w:val="clear" w:color="auto" w:fill="CCEEFF"/>
          </w:tcPr>
          <w:p>
            <w:pPr>
              <w:jc w:val="right"/>
              <w:spacing w:after="0" w:line="124" w:lineRule="exact"/>
              <w:rPr>
                <w:sz w:val="20"/>
                <w:szCs w:val="20"/>
                <w:color w:val="auto"/>
              </w:rPr>
            </w:pPr>
            <w:r>
              <w:rPr>
                <w:rFonts w:ascii="Arial" w:cs="Arial" w:eastAsia="Arial" w:hAnsi="Arial"/>
                <w:sz w:val="11"/>
                <w:szCs w:val="11"/>
                <w:color w:val="050505"/>
              </w:rPr>
              <w:t>4.8</w:t>
            </w:r>
          </w:p>
        </w:tc>
        <w:tc>
          <w:tcPr>
            <w:tcW w:w="160" w:type="dxa"/>
            <w:vAlign w:val="bottom"/>
            <w:shd w:val="clear" w:color="auto" w:fill="CCEEFF"/>
          </w:tcPr>
          <w:p>
            <w:pPr>
              <w:spacing w:after="0"/>
              <w:rPr>
                <w:sz w:val="10"/>
                <w:szCs w:val="10"/>
                <w:color w:val="auto"/>
              </w:rPr>
            </w:pPr>
          </w:p>
        </w:tc>
        <w:tc>
          <w:tcPr>
            <w:tcW w:w="160" w:type="dxa"/>
            <w:vAlign w:val="bottom"/>
            <w:gridSpan w:val="2"/>
            <w:shd w:val="clear" w:color="auto" w:fill="CCEEFF"/>
          </w:tcPr>
          <w:p>
            <w:pPr>
              <w:jc w:val="right"/>
              <w:spacing w:after="0" w:line="124" w:lineRule="exact"/>
              <w:rPr>
                <w:sz w:val="20"/>
                <w:szCs w:val="20"/>
                <w:color w:val="auto"/>
              </w:rPr>
            </w:pPr>
            <w:r>
              <w:rPr>
                <w:rFonts w:ascii="Arial" w:cs="Arial" w:eastAsia="Arial" w:hAnsi="Arial"/>
                <w:sz w:val="11"/>
                <w:szCs w:val="11"/>
                <w:color w:val="050505"/>
              </w:rPr>
              <w:t>$</w:t>
            </w:r>
          </w:p>
        </w:tc>
        <w:tc>
          <w:tcPr>
            <w:tcW w:w="400" w:type="dxa"/>
            <w:vAlign w:val="bottom"/>
            <w:shd w:val="clear" w:color="auto" w:fill="CCEEFF"/>
          </w:tcPr>
          <w:p>
            <w:pPr>
              <w:jc w:val="right"/>
              <w:spacing w:after="0" w:line="124" w:lineRule="exact"/>
              <w:rPr>
                <w:sz w:val="20"/>
                <w:szCs w:val="20"/>
                <w:color w:val="auto"/>
              </w:rPr>
            </w:pPr>
            <w:r>
              <w:rPr>
                <w:rFonts w:ascii="Arial" w:cs="Arial" w:eastAsia="Arial" w:hAnsi="Arial"/>
                <w:sz w:val="11"/>
                <w:szCs w:val="11"/>
                <w:color w:val="050505"/>
              </w:rPr>
              <w:t>8.3</w:t>
            </w:r>
          </w:p>
        </w:tc>
        <w:tc>
          <w:tcPr>
            <w:tcW w:w="140" w:type="dxa"/>
            <w:vAlign w:val="bottom"/>
            <w:shd w:val="clear" w:color="auto" w:fill="CCEEFF"/>
          </w:tcPr>
          <w:p>
            <w:pPr>
              <w:spacing w:after="0"/>
              <w:rPr>
                <w:sz w:val="10"/>
                <w:szCs w:val="10"/>
                <w:color w:val="auto"/>
              </w:rPr>
            </w:pPr>
          </w:p>
        </w:tc>
        <w:tc>
          <w:tcPr>
            <w:tcW w:w="160" w:type="dxa"/>
            <w:vAlign w:val="bottom"/>
            <w:gridSpan w:val="2"/>
            <w:shd w:val="clear" w:color="auto" w:fill="CCEEFF"/>
          </w:tcPr>
          <w:p>
            <w:pPr>
              <w:jc w:val="right"/>
              <w:spacing w:after="0" w:line="124" w:lineRule="exact"/>
              <w:rPr>
                <w:sz w:val="20"/>
                <w:szCs w:val="20"/>
                <w:color w:val="auto"/>
              </w:rPr>
            </w:pPr>
            <w:r>
              <w:rPr>
                <w:rFonts w:ascii="Arial" w:cs="Arial" w:eastAsia="Arial" w:hAnsi="Arial"/>
                <w:sz w:val="11"/>
                <w:szCs w:val="11"/>
                <w:color w:val="050505"/>
              </w:rPr>
              <w:t>$</w:t>
            </w:r>
          </w:p>
        </w:tc>
        <w:tc>
          <w:tcPr>
            <w:tcW w:w="400" w:type="dxa"/>
            <w:vAlign w:val="bottom"/>
            <w:shd w:val="clear" w:color="auto" w:fill="CCEEFF"/>
          </w:tcPr>
          <w:p>
            <w:pPr>
              <w:jc w:val="right"/>
              <w:spacing w:after="0" w:line="124" w:lineRule="exact"/>
              <w:rPr>
                <w:sz w:val="20"/>
                <w:szCs w:val="20"/>
                <w:color w:val="auto"/>
              </w:rPr>
            </w:pPr>
            <w:r>
              <w:rPr>
                <w:rFonts w:ascii="Arial" w:cs="Arial" w:eastAsia="Arial" w:hAnsi="Arial"/>
                <w:sz w:val="11"/>
                <w:szCs w:val="11"/>
                <w:color w:val="050505"/>
              </w:rPr>
              <w:t>7.9</w:t>
            </w:r>
          </w:p>
        </w:tc>
        <w:tc>
          <w:tcPr>
            <w:tcW w:w="160" w:type="dxa"/>
            <w:vAlign w:val="bottom"/>
            <w:shd w:val="clear" w:color="auto" w:fill="CCEEFF"/>
          </w:tcPr>
          <w:p>
            <w:pPr>
              <w:spacing w:after="0"/>
              <w:rPr>
                <w:sz w:val="10"/>
                <w:szCs w:val="10"/>
                <w:color w:val="auto"/>
              </w:rPr>
            </w:pPr>
          </w:p>
        </w:tc>
        <w:tc>
          <w:tcPr>
            <w:tcW w:w="140" w:type="dxa"/>
            <w:vAlign w:val="bottom"/>
            <w:gridSpan w:val="2"/>
            <w:shd w:val="clear" w:color="auto" w:fill="CCEEFF"/>
          </w:tcPr>
          <w:p>
            <w:pPr>
              <w:jc w:val="right"/>
              <w:spacing w:after="0" w:line="124" w:lineRule="exact"/>
              <w:rPr>
                <w:sz w:val="20"/>
                <w:szCs w:val="20"/>
                <w:color w:val="auto"/>
              </w:rPr>
            </w:pPr>
            <w:r>
              <w:rPr>
                <w:rFonts w:ascii="Arial" w:cs="Arial" w:eastAsia="Arial" w:hAnsi="Arial"/>
                <w:sz w:val="11"/>
                <w:szCs w:val="11"/>
                <w:color w:val="050505"/>
              </w:rPr>
              <w:t>$</w:t>
            </w:r>
          </w:p>
        </w:tc>
        <w:tc>
          <w:tcPr>
            <w:tcW w:w="420" w:type="dxa"/>
            <w:vAlign w:val="bottom"/>
            <w:shd w:val="clear" w:color="auto" w:fill="CCEEFF"/>
          </w:tcPr>
          <w:p>
            <w:pPr>
              <w:jc w:val="right"/>
              <w:spacing w:after="0" w:line="124" w:lineRule="exact"/>
              <w:rPr>
                <w:sz w:val="20"/>
                <w:szCs w:val="20"/>
                <w:color w:val="auto"/>
              </w:rPr>
            </w:pPr>
            <w:r>
              <w:rPr>
                <w:rFonts w:ascii="Arial" w:cs="Arial" w:eastAsia="Arial" w:hAnsi="Arial"/>
                <w:sz w:val="11"/>
                <w:szCs w:val="11"/>
                <w:color w:val="050505"/>
              </w:rPr>
              <w:t>13.8</w:t>
            </w:r>
          </w:p>
        </w:tc>
        <w:tc>
          <w:tcPr>
            <w:tcW w:w="160" w:type="dxa"/>
            <w:vAlign w:val="bottom"/>
            <w:shd w:val="clear" w:color="auto" w:fill="CCEEFF"/>
          </w:tcPr>
          <w:p>
            <w:pPr>
              <w:spacing w:after="0"/>
              <w:rPr>
                <w:sz w:val="10"/>
                <w:szCs w:val="10"/>
                <w:color w:val="auto"/>
              </w:rPr>
            </w:pPr>
          </w:p>
        </w:tc>
        <w:tc>
          <w:tcPr>
            <w:tcW w:w="160" w:type="dxa"/>
            <w:vAlign w:val="bottom"/>
            <w:gridSpan w:val="2"/>
            <w:shd w:val="clear" w:color="auto" w:fill="CCEEFF"/>
          </w:tcPr>
          <w:p>
            <w:pPr>
              <w:jc w:val="right"/>
              <w:spacing w:after="0" w:line="124" w:lineRule="exact"/>
              <w:rPr>
                <w:sz w:val="20"/>
                <w:szCs w:val="20"/>
                <w:color w:val="auto"/>
              </w:rPr>
            </w:pPr>
            <w:r>
              <w:rPr>
                <w:rFonts w:ascii="Arial" w:cs="Arial" w:eastAsia="Arial" w:hAnsi="Arial"/>
                <w:sz w:val="11"/>
                <w:szCs w:val="11"/>
                <w:color w:val="050505"/>
              </w:rPr>
              <w:t>$</w:t>
            </w:r>
          </w:p>
        </w:tc>
        <w:tc>
          <w:tcPr>
            <w:tcW w:w="400" w:type="dxa"/>
            <w:vAlign w:val="bottom"/>
            <w:shd w:val="clear" w:color="auto" w:fill="CCEEFF"/>
          </w:tcPr>
          <w:p>
            <w:pPr>
              <w:jc w:val="right"/>
              <w:spacing w:after="0" w:line="124" w:lineRule="exact"/>
              <w:rPr>
                <w:sz w:val="20"/>
                <w:szCs w:val="20"/>
                <w:color w:val="auto"/>
              </w:rPr>
            </w:pPr>
            <w:r>
              <w:rPr>
                <w:rFonts w:ascii="Arial" w:cs="Arial" w:eastAsia="Arial" w:hAnsi="Arial"/>
                <w:sz w:val="11"/>
                <w:szCs w:val="11"/>
                <w:color w:val="050505"/>
              </w:rPr>
              <w:t>15.4</w:t>
            </w:r>
          </w:p>
        </w:tc>
        <w:tc>
          <w:tcPr>
            <w:tcW w:w="160" w:type="dxa"/>
            <w:vAlign w:val="bottom"/>
            <w:shd w:val="clear" w:color="auto" w:fill="CCEEFF"/>
          </w:tcPr>
          <w:p>
            <w:pPr>
              <w:spacing w:after="0"/>
              <w:rPr>
                <w:sz w:val="10"/>
                <w:szCs w:val="10"/>
                <w:color w:val="auto"/>
              </w:rPr>
            </w:pPr>
          </w:p>
        </w:tc>
        <w:tc>
          <w:tcPr>
            <w:tcW w:w="160" w:type="dxa"/>
            <w:vAlign w:val="bottom"/>
            <w:gridSpan w:val="2"/>
            <w:shd w:val="clear" w:color="auto" w:fill="CCEEFF"/>
          </w:tcPr>
          <w:p>
            <w:pPr>
              <w:jc w:val="right"/>
              <w:spacing w:after="0" w:line="124" w:lineRule="exact"/>
              <w:rPr>
                <w:sz w:val="20"/>
                <w:szCs w:val="20"/>
                <w:color w:val="auto"/>
              </w:rPr>
            </w:pPr>
            <w:r>
              <w:rPr>
                <w:rFonts w:ascii="Arial" w:cs="Arial" w:eastAsia="Arial" w:hAnsi="Arial"/>
                <w:sz w:val="11"/>
                <w:szCs w:val="11"/>
                <w:color w:val="050505"/>
              </w:rPr>
              <w:t>$</w:t>
            </w:r>
          </w:p>
        </w:tc>
        <w:tc>
          <w:tcPr>
            <w:tcW w:w="400" w:type="dxa"/>
            <w:vAlign w:val="bottom"/>
            <w:shd w:val="clear" w:color="auto" w:fill="CCEEFF"/>
          </w:tcPr>
          <w:p>
            <w:pPr>
              <w:jc w:val="right"/>
              <w:spacing w:after="0" w:line="124" w:lineRule="exact"/>
              <w:rPr>
                <w:sz w:val="20"/>
                <w:szCs w:val="20"/>
                <w:color w:val="auto"/>
              </w:rPr>
            </w:pPr>
            <w:r>
              <w:rPr>
                <w:rFonts w:ascii="Arial" w:cs="Arial" w:eastAsia="Arial" w:hAnsi="Arial"/>
                <w:sz w:val="11"/>
                <w:szCs w:val="11"/>
                <w:color w:val="050505"/>
              </w:rPr>
              <w:t>17.0</w:t>
            </w:r>
          </w:p>
        </w:tc>
        <w:tc>
          <w:tcPr>
            <w:tcW w:w="160" w:type="dxa"/>
            <w:vAlign w:val="bottom"/>
            <w:shd w:val="clear" w:color="auto" w:fill="CCEEFF"/>
          </w:tcPr>
          <w:p>
            <w:pPr>
              <w:spacing w:after="0"/>
              <w:rPr>
                <w:sz w:val="10"/>
                <w:szCs w:val="10"/>
                <w:color w:val="auto"/>
              </w:rPr>
            </w:pPr>
          </w:p>
        </w:tc>
        <w:tc>
          <w:tcPr>
            <w:tcW w:w="160" w:type="dxa"/>
            <w:vAlign w:val="bottom"/>
            <w:gridSpan w:val="2"/>
            <w:shd w:val="clear" w:color="auto" w:fill="CCEEFF"/>
          </w:tcPr>
          <w:p>
            <w:pPr>
              <w:jc w:val="right"/>
              <w:spacing w:after="0" w:line="124" w:lineRule="exact"/>
              <w:rPr>
                <w:sz w:val="20"/>
                <w:szCs w:val="20"/>
                <w:color w:val="auto"/>
              </w:rPr>
            </w:pPr>
            <w:r>
              <w:rPr>
                <w:rFonts w:ascii="Arial" w:cs="Arial" w:eastAsia="Arial" w:hAnsi="Arial"/>
                <w:sz w:val="11"/>
                <w:szCs w:val="11"/>
                <w:color w:val="050505"/>
              </w:rPr>
              <w:t>$</w:t>
            </w:r>
          </w:p>
        </w:tc>
        <w:tc>
          <w:tcPr>
            <w:tcW w:w="400" w:type="dxa"/>
            <w:vAlign w:val="bottom"/>
            <w:shd w:val="clear" w:color="auto" w:fill="CCEEFF"/>
          </w:tcPr>
          <w:p>
            <w:pPr>
              <w:jc w:val="right"/>
              <w:spacing w:after="0" w:line="124" w:lineRule="exact"/>
              <w:rPr>
                <w:sz w:val="20"/>
                <w:szCs w:val="20"/>
                <w:color w:val="auto"/>
              </w:rPr>
            </w:pPr>
            <w:r>
              <w:rPr>
                <w:rFonts w:ascii="Arial" w:cs="Arial" w:eastAsia="Arial" w:hAnsi="Arial"/>
                <w:sz w:val="11"/>
                <w:szCs w:val="11"/>
                <w:color w:val="050505"/>
              </w:rPr>
              <w:t>13.1</w:t>
            </w:r>
          </w:p>
        </w:tc>
        <w:tc>
          <w:tcPr>
            <w:tcW w:w="160" w:type="dxa"/>
            <w:vAlign w:val="bottom"/>
            <w:shd w:val="clear" w:color="auto" w:fill="CCEEFF"/>
          </w:tcPr>
          <w:p>
            <w:pPr>
              <w:spacing w:after="0"/>
              <w:rPr>
                <w:sz w:val="10"/>
                <w:szCs w:val="10"/>
                <w:color w:val="auto"/>
              </w:rPr>
            </w:pPr>
          </w:p>
        </w:tc>
        <w:tc>
          <w:tcPr>
            <w:tcW w:w="160" w:type="dxa"/>
            <w:vAlign w:val="bottom"/>
            <w:gridSpan w:val="2"/>
            <w:shd w:val="clear" w:color="auto" w:fill="CCEEFF"/>
          </w:tcPr>
          <w:p>
            <w:pPr>
              <w:jc w:val="right"/>
              <w:spacing w:after="0" w:line="124" w:lineRule="exact"/>
              <w:rPr>
                <w:sz w:val="20"/>
                <w:szCs w:val="20"/>
                <w:color w:val="auto"/>
              </w:rPr>
            </w:pPr>
            <w:r>
              <w:rPr>
                <w:rFonts w:ascii="Arial" w:cs="Arial" w:eastAsia="Arial" w:hAnsi="Arial"/>
                <w:sz w:val="11"/>
                <w:szCs w:val="11"/>
                <w:color w:val="050505"/>
              </w:rPr>
              <w:t>$</w:t>
            </w:r>
          </w:p>
        </w:tc>
        <w:tc>
          <w:tcPr>
            <w:tcW w:w="400" w:type="dxa"/>
            <w:vAlign w:val="bottom"/>
            <w:shd w:val="clear" w:color="auto" w:fill="CCEEFF"/>
          </w:tcPr>
          <w:p>
            <w:pPr>
              <w:jc w:val="right"/>
              <w:spacing w:after="0" w:line="124" w:lineRule="exact"/>
              <w:rPr>
                <w:sz w:val="20"/>
                <w:szCs w:val="20"/>
                <w:color w:val="auto"/>
              </w:rPr>
            </w:pPr>
            <w:r>
              <w:rPr>
                <w:rFonts w:ascii="Arial" w:cs="Arial" w:eastAsia="Arial" w:hAnsi="Arial"/>
                <w:sz w:val="11"/>
                <w:szCs w:val="11"/>
                <w:color w:val="050505"/>
              </w:rPr>
              <w:t>31.9</w:t>
            </w:r>
          </w:p>
        </w:tc>
        <w:tc>
          <w:tcPr>
            <w:tcW w:w="140" w:type="dxa"/>
            <w:vAlign w:val="bottom"/>
            <w:shd w:val="clear" w:color="auto" w:fill="CCEEFF"/>
          </w:tcPr>
          <w:p>
            <w:pPr>
              <w:spacing w:after="0"/>
              <w:rPr>
                <w:sz w:val="10"/>
                <w:szCs w:val="10"/>
                <w:color w:val="auto"/>
              </w:rPr>
            </w:pPr>
          </w:p>
        </w:tc>
      </w:tr>
      <w:tr>
        <w:trPr>
          <w:trHeight w:val="27"/>
        </w:trPr>
        <w:tc>
          <w:tcPr>
            <w:tcW w:w="166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r>
      <w:tr>
        <w:trPr>
          <w:trHeight w:val="147"/>
        </w:trPr>
        <w:tc>
          <w:tcPr>
            <w:tcW w:w="1660" w:type="dxa"/>
            <w:vAlign w:val="bottom"/>
          </w:tcPr>
          <w:p>
            <w:pPr>
              <w:ind w:left="40"/>
              <w:spacing w:after="0"/>
              <w:rPr>
                <w:sz w:val="20"/>
                <w:szCs w:val="20"/>
                <w:color w:val="auto"/>
              </w:rPr>
            </w:pPr>
            <w:r>
              <w:rPr>
                <w:rFonts w:ascii="Arial" w:cs="Arial" w:eastAsia="Arial" w:hAnsi="Arial"/>
                <w:sz w:val="11"/>
                <w:szCs w:val="11"/>
                <w:color w:val="050505"/>
              </w:rPr>
              <w:t>Subscription gross margin</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1"/>
                <w:szCs w:val="11"/>
                <w:color w:val="050505"/>
              </w:rPr>
              <w:t>33.4%</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1"/>
                <w:szCs w:val="11"/>
                <w:color w:val="050505"/>
              </w:rPr>
              <w:t>50.4%</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1"/>
                <w:szCs w:val="11"/>
                <w:color w:val="050505"/>
              </w:rPr>
              <w:t>35.0%</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1"/>
                <w:szCs w:val="11"/>
                <w:color w:val="050505"/>
              </w:rPr>
              <w:t>51.0%</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1"/>
                <w:szCs w:val="11"/>
                <w:color w:val="050505"/>
              </w:rPr>
              <w:t>48.7%</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1"/>
                <w:szCs w:val="11"/>
                <w:color w:val="050505"/>
              </w:rPr>
              <w:t>45.5%</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1"/>
                <w:szCs w:val="11"/>
                <w:color w:val="050505"/>
              </w:rPr>
              <w:t>25.6%</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1"/>
                <w:szCs w:val="11"/>
                <w:color w:val="050505"/>
              </w:rPr>
              <w:t>52.3%</w:t>
            </w:r>
          </w:p>
        </w:tc>
      </w:tr>
      <w:tr>
        <w:trPr>
          <w:trHeight w:val="131"/>
        </w:trPr>
        <w:tc>
          <w:tcPr>
            <w:tcW w:w="1660" w:type="dxa"/>
            <w:vAlign w:val="bottom"/>
            <w:shd w:val="clear" w:color="auto" w:fill="CCEEFF"/>
          </w:tcPr>
          <w:p>
            <w:pPr>
              <w:ind w:left="40"/>
              <w:spacing w:after="0"/>
              <w:rPr>
                <w:sz w:val="20"/>
                <w:szCs w:val="20"/>
                <w:color w:val="auto"/>
              </w:rPr>
            </w:pPr>
            <w:r>
              <w:rPr>
                <w:rFonts w:ascii="Arial" w:cs="Arial" w:eastAsia="Arial" w:hAnsi="Arial"/>
                <w:sz w:val="11"/>
                <w:szCs w:val="11"/>
                <w:color w:val="050505"/>
              </w:rPr>
              <w:t>Add back:</w:t>
            </w:r>
          </w:p>
        </w:tc>
        <w:tc>
          <w:tcPr>
            <w:tcW w:w="60" w:type="dxa"/>
            <w:vAlign w:val="bottom"/>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400" w:type="dxa"/>
            <w:vAlign w:val="bottom"/>
            <w:tcBorders>
              <w:top w:val="single" w:sz="8" w:color="auto"/>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400" w:type="dxa"/>
            <w:vAlign w:val="bottom"/>
            <w:tcBorders>
              <w:top w:val="single" w:sz="8" w:color="auto"/>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400" w:type="dxa"/>
            <w:vAlign w:val="bottom"/>
            <w:tcBorders>
              <w:top w:val="single" w:sz="8" w:color="auto"/>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420" w:type="dxa"/>
            <w:vAlign w:val="bottom"/>
            <w:tcBorders>
              <w:top w:val="single" w:sz="8" w:color="auto"/>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400" w:type="dxa"/>
            <w:vAlign w:val="bottom"/>
            <w:tcBorders>
              <w:top w:val="single" w:sz="8" w:color="auto"/>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400" w:type="dxa"/>
            <w:vAlign w:val="bottom"/>
            <w:tcBorders>
              <w:top w:val="single" w:sz="8" w:color="auto"/>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400" w:type="dxa"/>
            <w:vAlign w:val="bottom"/>
            <w:tcBorders>
              <w:top w:val="single" w:sz="8" w:color="auto"/>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400" w:type="dxa"/>
            <w:vAlign w:val="bottom"/>
            <w:tcBorders>
              <w:top w:val="single" w:sz="8" w:color="auto"/>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r>
      <w:tr>
        <w:trPr>
          <w:trHeight w:val="127"/>
        </w:trPr>
        <w:tc>
          <w:tcPr>
            <w:tcW w:w="1660" w:type="dxa"/>
            <w:vAlign w:val="bottom"/>
          </w:tcPr>
          <w:p>
            <w:pPr>
              <w:ind w:left="160"/>
              <w:spacing w:after="0"/>
              <w:rPr>
                <w:sz w:val="20"/>
                <w:szCs w:val="20"/>
                <w:color w:val="auto"/>
              </w:rPr>
            </w:pPr>
            <w:r>
              <w:rPr>
                <w:rFonts w:ascii="Arial" w:cs="Arial" w:eastAsia="Arial" w:hAnsi="Arial"/>
                <w:sz w:val="11"/>
                <w:szCs w:val="11"/>
                <w:color w:val="050505"/>
              </w:rPr>
              <w:t>Depreciation and amortization</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r>
      <w:tr>
        <w:trPr>
          <w:trHeight w:val="125"/>
        </w:trPr>
        <w:tc>
          <w:tcPr>
            <w:tcW w:w="1660" w:type="dxa"/>
            <w:vAlign w:val="bottom"/>
          </w:tcPr>
          <w:p>
            <w:pPr>
              <w:ind w:left="260"/>
              <w:spacing w:after="0" w:line="125" w:lineRule="exact"/>
              <w:rPr>
                <w:sz w:val="20"/>
                <w:szCs w:val="20"/>
                <w:color w:val="auto"/>
              </w:rPr>
            </w:pPr>
            <w:r>
              <w:rPr>
                <w:rFonts w:ascii="Arial" w:cs="Arial" w:eastAsia="Arial" w:hAnsi="Arial"/>
                <w:sz w:val="11"/>
                <w:szCs w:val="11"/>
                <w:color w:val="050505"/>
              </w:rPr>
              <w:t>expense</w:t>
            </w:r>
          </w:p>
        </w:tc>
        <w:tc>
          <w:tcPr>
            <w:tcW w:w="140" w:type="dxa"/>
            <w:vAlign w:val="bottom"/>
            <w:gridSpan w:val="2"/>
          </w:tcPr>
          <w:p>
            <w:pPr>
              <w:jc w:val="right"/>
              <w:spacing w:after="0" w:line="125" w:lineRule="exact"/>
              <w:rPr>
                <w:sz w:val="20"/>
                <w:szCs w:val="20"/>
                <w:color w:val="auto"/>
              </w:rPr>
            </w:pPr>
            <w:r>
              <w:rPr>
                <w:rFonts w:ascii="Arial" w:cs="Arial" w:eastAsia="Arial" w:hAnsi="Arial"/>
                <w:sz w:val="11"/>
                <w:szCs w:val="11"/>
                <w:color w:val="050505"/>
              </w:rPr>
              <w:t>$</w:t>
            </w:r>
          </w:p>
        </w:tc>
        <w:tc>
          <w:tcPr>
            <w:tcW w:w="400" w:type="dxa"/>
            <w:vAlign w:val="bottom"/>
          </w:tcPr>
          <w:p>
            <w:pPr>
              <w:jc w:val="right"/>
              <w:spacing w:after="0" w:line="125" w:lineRule="exact"/>
              <w:rPr>
                <w:sz w:val="20"/>
                <w:szCs w:val="20"/>
                <w:color w:val="auto"/>
              </w:rPr>
            </w:pPr>
            <w:r>
              <w:rPr>
                <w:rFonts w:ascii="Arial" w:cs="Arial" w:eastAsia="Arial" w:hAnsi="Arial"/>
                <w:sz w:val="11"/>
                <w:szCs w:val="11"/>
                <w:color w:val="050505"/>
              </w:rPr>
              <w:t>0.4</w:t>
            </w:r>
          </w:p>
        </w:tc>
        <w:tc>
          <w:tcPr>
            <w:tcW w:w="160" w:type="dxa"/>
            <w:vAlign w:val="bottom"/>
          </w:tcPr>
          <w:p>
            <w:pPr>
              <w:spacing w:after="0"/>
              <w:rPr>
                <w:sz w:val="10"/>
                <w:szCs w:val="10"/>
                <w:color w:val="auto"/>
              </w:rPr>
            </w:pPr>
          </w:p>
        </w:tc>
        <w:tc>
          <w:tcPr>
            <w:tcW w:w="160" w:type="dxa"/>
            <w:vAlign w:val="bottom"/>
            <w:gridSpan w:val="2"/>
          </w:tcPr>
          <w:p>
            <w:pPr>
              <w:jc w:val="right"/>
              <w:spacing w:after="0" w:line="125" w:lineRule="exact"/>
              <w:rPr>
                <w:sz w:val="20"/>
                <w:szCs w:val="20"/>
                <w:color w:val="auto"/>
              </w:rPr>
            </w:pPr>
            <w:r>
              <w:rPr>
                <w:rFonts w:ascii="Arial" w:cs="Arial" w:eastAsia="Arial" w:hAnsi="Arial"/>
                <w:sz w:val="11"/>
                <w:szCs w:val="11"/>
                <w:color w:val="050505"/>
              </w:rPr>
              <w:t>$</w:t>
            </w:r>
          </w:p>
        </w:tc>
        <w:tc>
          <w:tcPr>
            <w:tcW w:w="400" w:type="dxa"/>
            <w:vAlign w:val="bottom"/>
          </w:tcPr>
          <w:p>
            <w:pPr>
              <w:jc w:val="right"/>
              <w:spacing w:after="0" w:line="125" w:lineRule="exact"/>
              <w:rPr>
                <w:sz w:val="20"/>
                <w:szCs w:val="20"/>
                <w:color w:val="auto"/>
              </w:rPr>
            </w:pPr>
            <w:r>
              <w:rPr>
                <w:rFonts w:ascii="Arial" w:cs="Arial" w:eastAsia="Arial" w:hAnsi="Arial"/>
                <w:sz w:val="11"/>
                <w:szCs w:val="11"/>
                <w:color w:val="050505"/>
              </w:rPr>
              <w:t>0.4</w:t>
            </w:r>
          </w:p>
        </w:tc>
        <w:tc>
          <w:tcPr>
            <w:tcW w:w="140" w:type="dxa"/>
            <w:vAlign w:val="bottom"/>
          </w:tcPr>
          <w:p>
            <w:pPr>
              <w:spacing w:after="0"/>
              <w:rPr>
                <w:sz w:val="10"/>
                <w:szCs w:val="10"/>
                <w:color w:val="auto"/>
              </w:rPr>
            </w:pPr>
          </w:p>
        </w:tc>
        <w:tc>
          <w:tcPr>
            <w:tcW w:w="160" w:type="dxa"/>
            <w:vAlign w:val="bottom"/>
            <w:gridSpan w:val="2"/>
          </w:tcPr>
          <w:p>
            <w:pPr>
              <w:jc w:val="right"/>
              <w:spacing w:after="0" w:line="125" w:lineRule="exact"/>
              <w:rPr>
                <w:sz w:val="20"/>
                <w:szCs w:val="20"/>
                <w:color w:val="auto"/>
              </w:rPr>
            </w:pPr>
            <w:r>
              <w:rPr>
                <w:rFonts w:ascii="Arial" w:cs="Arial" w:eastAsia="Arial" w:hAnsi="Arial"/>
                <w:sz w:val="11"/>
                <w:szCs w:val="11"/>
                <w:color w:val="050505"/>
              </w:rPr>
              <w:t>$</w:t>
            </w:r>
          </w:p>
        </w:tc>
        <w:tc>
          <w:tcPr>
            <w:tcW w:w="400" w:type="dxa"/>
            <w:vAlign w:val="bottom"/>
          </w:tcPr>
          <w:p>
            <w:pPr>
              <w:jc w:val="right"/>
              <w:spacing w:after="0" w:line="125" w:lineRule="exact"/>
              <w:rPr>
                <w:sz w:val="20"/>
                <w:szCs w:val="20"/>
                <w:color w:val="auto"/>
              </w:rPr>
            </w:pPr>
            <w:r>
              <w:rPr>
                <w:rFonts w:ascii="Arial" w:cs="Arial" w:eastAsia="Arial" w:hAnsi="Arial"/>
                <w:sz w:val="11"/>
                <w:szCs w:val="11"/>
                <w:color w:val="050505"/>
              </w:rPr>
              <w:t>0.5</w:t>
            </w:r>
          </w:p>
        </w:tc>
        <w:tc>
          <w:tcPr>
            <w:tcW w:w="160" w:type="dxa"/>
            <w:vAlign w:val="bottom"/>
          </w:tcPr>
          <w:p>
            <w:pPr>
              <w:spacing w:after="0"/>
              <w:rPr>
                <w:sz w:val="10"/>
                <w:szCs w:val="10"/>
                <w:color w:val="auto"/>
              </w:rPr>
            </w:pPr>
          </w:p>
        </w:tc>
        <w:tc>
          <w:tcPr>
            <w:tcW w:w="140" w:type="dxa"/>
            <w:vAlign w:val="bottom"/>
            <w:gridSpan w:val="2"/>
          </w:tcPr>
          <w:p>
            <w:pPr>
              <w:jc w:val="right"/>
              <w:spacing w:after="0" w:line="125" w:lineRule="exact"/>
              <w:rPr>
                <w:sz w:val="20"/>
                <w:szCs w:val="20"/>
                <w:color w:val="auto"/>
              </w:rPr>
            </w:pPr>
            <w:r>
              <w:rPr>
                <w:rFonts w:ascii="Arial" w:cs="Arial" w:eastAsia="Arial" w:hAnsi="Arial"/>
                <w:sz w:val="11"/>
                <w:szCs w:val="11"/>
                <w:color w:val="050505"/>
              </w:rPr>
              <w:t>$</w:t>
            </w:r>
          </w:p>
        </w:tc>
        <w:tc>
          <w:tcPr>
            <w:tcW w:w="420" w:type="dxa"/>
            <w:vAlign w:val="bottom"/>
          </w:tcPr>
          <w:p>
            <w:pPr>
              <w:jc w:val="right"/>
              <w:spacing w:after="0" w:line="125" w:lineRule="exact"/>
              <w:rPr>
                <w:sz w:val="20"/>
                <w:szCs w:val="20"/>
                <w:color w:val="auto"/>
              </w:rPr>
            </w:pPr>
            <w:r>
              <w:rPr>
                <w:rFonts w:ascii="Arial" w:cs="Arial" w:eastAsia="Arial" w:hAnsi="Arial"/>
                <w:sz w:val="11"/>
                <w:szCs w:val="11"/>
                <w:color w:val="050505"/>
              </w:rPr>
              <w:t>1.5</w:t>
            </w:r>
          </w:p>
        </w:tc>
        <w:tc>
          <w:tcPr>
            <w:tcW w:w="160" w:type="dxa"/>
            <w:vAlign w:val="bottom"/>
          </w:tcPr>
          <w:p>
            <w:pPr>
              <w:spacing w:after="0"/>
              <w:rPr>
                <w:sz w:val="10"/>
                <w:szCs w:val="10"/>
                <w:color w:val="auto"/>
              </w:rPr>
            </w:pPr>
          </w:p>
        </w:tc>
        <w:tc>
          <w:tcPr>
            <w:tcW w:w="160" w:type="dxa"/>
            <w:vAlign w:val="bottom"/>
            <w:gridSpan w:val="2"/>
          </w:tcPr>
          <w:p>
            <w:pPr>
              <w:jc w:val="right"/>
              <w:spacing w:after="0" w:line="125" w:lineRule="exact"/>
              <w:rPr>
                <w:sz w:val="20"/>
                <w:szCs w:val="20"/>
                <w:color w:val="auto"/>
              </w:rPr>
            </w:pPr>
            <w:r>
              <w:rPr>
                <w:rFonts w:ascii="Arial" w:cs="Arial" w:eastAsia="Arial" w:hAnsi="Arial"/>
                <w:sz w:val="11"/>
                <w:szCs w:val="11"/>
                <w:color w:val="050505"/>
              </w:rPr>
              <w:t>$</w:t>
            </w:r>
          </w:p>
        </w:tc>
        <w:tc>
          <w:tcPr>
            <w:tcW w:w="400" w:type="dxa"/>
            <w:vAlign w:val="bottom"/>
          </w:tcPr>
          <w:p>
            <w:pPr>
              <w:jc w:val="right"/>
              <w:spacing w:after="0" w:line="125" w:lineRule="exact"/>
              <w:rPr>
                <w:sz w:val="20"/>
                <w:szCs w:val="20"/>
                <w:color w:val="auto"/>
              </w:rPr>
            </w:pPr>
            <w:r>
              <w:rPr>
                <w:rFonts w:ascii="Arial" w:cs="Arial" w:eastAsia="Arial" w:hAnsi="Arial"/>
                <w:sz w:val="11"/>
                <w:szCs w:val="11"/>
                <w:color w:val="050505"/>
              </w:rPr>
              <w:t>1.8</w:t>
            </w:r>
          </w:p>
        </w:tc>
        <w:tc>
          <w:tcPr>
            <w:tcW w:w="160" w:type="dxa"/>
            <w:vAlign w:val="bottom"/>
          </w:tcPr>
          <w:p>
            <w:pPr>
              <w:spacing w:after="0"/>
              <w:rPr>
                <w:sz w:val="10"/>
                <w:szCs w:val="10"/>
                <w:color w:val="auto"/>
              </w:rPr>
            </w:pPr>
          </w:p>
        </w:tc>
        <w:tc>
          <w:tcPr>
            <w:tcW w:w="160" w:type="dxa"/>
            <w:vAlign w:val="bottom"/>
            <w:gridSpan w:val="2"/>
          </w:tcPr>
          <w:p>
            <w:pPr>
              <w:jc w:val="right"/>
              <w:spacing w:after="0" w:line="125" w:lineRule="exact"/>
              <w:rPr>
                <w:sz w:val="20"/>
                <w:szCs w:val="20"/>
                <w:color w:val="auto"/>
              </w:rPr>
            </w:pPr>
            <w:r>
              <w:rPr>
                <w:rFonts w:ascii="Arial" w:cs="Arial" w:eastAsia="Arial" w:hAnsi="Arial"/>
                <w:sz w:val="11"/>
                <w:szCs w:val="11"/>
                <w:color w:val="050505"/>
              </w:rPr>
              <w:t>$</w:t>
            </w:r>
          </w:p>
        </w:tc>
        <w:tc>
          <w:tcPr>
            <w:tcW w:w="400" w:type="dxa"/>
            <w:vAlign w:val="bottom"/>
          </w:tcPr>
          <w:p>
            <w:pPr>
              <w:jc w:val="right"/>
              <w:spacing w:after="0" w:line="125" w:lineRule="exact"/>
              <w:rPr>
                <w:sz w:val="20"/>
                <w:szCs w:val="20"/>
                <w:color w:val="auto"/>
              </w:rPr>
            </w:pPr>
            <w:r>
              <w:rPr>
                <w:rFonts w:ascii="Arial" w:cs="Arial" w:eastAsia="Arial" w:hAnsi="Arial"/>
                <w:sz w:val="11"/>
                <w:szCs w:val="11"/>
                <w:color w:val="050505"/>
              </w:rPr>
              <w:t>2.6</w:t>
            </w:r>
          </w:p>
        </w:tc>
        <w:tc>
          <w:tcPr>
            <w:tcW w:w="160" w:type="dxa"/>
            <w:vAlign w:val="bottom"/>
          </w:tcPr>
          <w:p>
            <w:pPr>
              <w:spacing w:after="0"/>
              <w:rPr>
                <w:sz w:val="10"/>
                <w:szCs w:val="10"/>
                <w:color w:val="auto"/>
              </w:rPr>
            </w:pPr>
          </w:p>
        </w:tc>
        <w:tc>
          <w:tcPr>
            <w:tcW w:w="160" w:type="dxa"/>
            <w:vAlign w:val="bottom"/>
            <w:gridSpan w:val="2"/>
          </w:tcPr>
          <w:p>
            <w:pPr>
              <w:jc w:val="right"/>
              <w:spacing w:after="0" w:line="125" w:lineRule="exact"/>
              <w:rPr>
                <w:sz w:val="20"/>
                <w:szCs w:val="20"/>
                <w:color w:val="auto"/>
              </w:rPr>
            </w:pPr>
            <w:r>
              <w:rPr>
                <w:rFonts w:ascii="Arial" w:cs="Arial" w:eastAsia="Arial" w:hAnsi="Arial"/>
                <w:sz w:val="11"/>
                <w:szCs w:val="11"/>
                <w:color w:val="050505"/>
              </w:rPr>
              <w:t>$</w:t>
            </w:r>
          </w:p>
        </w:tc>
        <w:tc>
          <w:tcPr>
            <w:tcW w:w="400" w:type="dxa"/>
            <w:vAlign w:val="bottom"/>
          </w:tcPr>
          <w:p>
            <w:pPr>
              <w:jc w:val="right"/>
              <w:spacing w:after="0" w:line="125" w:lineRule="exact"/>
              <w:rPr>
                <w:sz w:val="20"/>
                <w:szCs w:val="20"/>
                <w:color w:val="auto"/>
              </w:rPr>
            </w:pPr>
            <w:r>
              <w:rPr>
                <w:rFonts w:ascii="Arial" w:cs="Arial" w:eastAsia="Arial" w:hAnsi="Arial"/>
                <w:sz w:val="11"/>
                <w:szCs w:val="11"/>
                <w:color w:val="050505"/>
              </w:rPr>
              <w:t>3.0</w:t>
            </w:r>
          </w:p>
        </w:tc>
        <w:tc>
          <w:tcPr>
            <w:tcW w:w="160" w:type="dxa"/>
            <w:vAlign w:val="bottom"/>
          </w:tcPr>
          <w:p>
            <w:pPr>
              <w:spacing w:after="0"/>
              <w:rPr>
                <w:sz w:val="10"/>
                <w:szCs w:val="10"/>
                <w:color w:val="auto"/>
              </w:rPr>
            </w:pPr>
          </w:p>
        </w:tc>
        <w:tc>
          <w:tcPr>
            <w:tcW w:w="160" w:type="dxa"/>
            <w:vAlign w:val="bottom"/>
            <w:gridSpan w:val="2"/>
          </w:tcPr>
          <w:p>
            <w:pPr>
              <w:jc w:val="right"/>
              <w:spacing w:after="0" w:line="125" w:lineRule="exact"/>
              <w:rPr>
                <w:sz w:val="20"/>
                <w:szCs w:val="20"/>
                <w:color w:val="auto"/>
              </w:rPr>
            </w:pPr>
            <w:r>
              <w:rPr>
                <w:rFonts w:ascii="Arial" w:cs="Arial" w:eastAsia="Arial" w:hAnsi="Arial"/>
                <w:sz w:val="11"/>
                <w:szCs w:val="11"/>
                <w:color w:val="050505"/>
              </w:rPr>
              <w:t>$</w:t>
            </w:r>
          </w:p>
        </w:tc>
        <w:tc>
          <w:tcPr>
            <w:tcW w:w="400" w:type="dxa"/>
            <w:vAlign w:val="bottom"/>
          </w:tcPr>
          <w:p>
            <w:pPr>
              <w:jc w:val="right"/>
              <w:spacing w:after="0" w:line="125" w:lineRule="exact"/>
              <w:rPr>
                <w:sz w:val="20"/>
                <w:szCs w:val="20"/>
                <w:color w:val="auto"/>
              </w:rPr>
            </w:pPr>
            <w:r>
              <w:rPr>
                <w:rFonts w:ascii="Arial" w:cs="Arial" w:eastAsia="Arial" w:hAnsi="Arial"/>
                <w:sz w:val="11"/>
                <w:szCs w:val="11"/>
                <w:color w:val="050505"/>
              </w:rPr>
              <w:t>3.8</w:t>
            </w:r>
          </w:p>
        </w:tc>
        <w:tc>
          <w:tcPr>
            <w:tcW w:w="140" w:type="dxa"/>
            <w:vAlign w:val="bottom"/>
          </w:tcPr>
          <w:p>
            <w:pPr>
              <w:spacing w:after="0"/>
              <w:rPr>
                <w:sz w:val="10"/>
                <w:szCs w:val="10"/>
                <w:color w:val="auto"/>
              </w:rPr>
            </w:pPr>
          </w:p>
        </w:tc>
      </w:tr>
      <w:tr>
        <w:trPr>
          <w:trHeight w:val="127"/>
        </w:trPr>
        <w:tc>
          <w:tcPr>
            <w:tcW w:w="1660" w:type="dxa"/>
            <w:vAlign w:val="bottom"/>
            <w:shd w:val="clear" w:color="auto" w:fill="CCEEFF"/>
          </w:tcPr>
          <w:p>
            <w:pPr>
              <w:ind w:left="160"/>
              <w:spacing w:after="0"/>
              <w:rPr>
                <w:sz w:val="20"/>
                <w:szCs w:val="20"/>
                <w:color w:val="auto"/>
              </w:rPr>
            </w:pPr>
            <w:r>
              <w:rPr>
                <w:rFonts w:ascii="Arial" w:cs="Arial" w:eastAsia="Arial" w:hAnsi="Arial"/>
                <w:sz w:val="11"/>
                <w:szCs w:val="11"/>
                <w:color w:val="050505"/>
              </w:rPr>
              <w:t>Stock based compensation</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r>
      <w:tr>
        <w:trPr>
          <w:trHeight w:val="125"/>
        </w:trPr>
        <w:tc>
          <w:tcPr>
            <w:tcW w:w="1660" w:type="dxa"/>
            <w:vAlign w:val="bottom"/>
            <w:shd w:val="clear" w:color="auto" w:fill="CCEEFF"/>
          </w:tcPr>
          <w:p>
            <w:pPr>
              <w:ind w:left="260"/>
              <w:spacing w:after="0" w:line="125" w:lineRule="exact"/>
              <w:rPr>
                <w:sz w:val="20"/>
                <w:szCs w:val="20"/>
                <w:color w:val="auto"/>
              </w:rPr>
            </w:pPr>
            <w:r>
              <w:rPr>
                <w:rFonts w:ascii="Arial" w:cs="Arial" w:eastAsia="Arial" w:hAnsi="Arial"/>
                <w:sz w:val="11"/>
                <w:szCs w:val="11"/>
                <w:color w:val="050505"/>
              </w:rPr>
              <w:t>expense</w:t>
            </w:r>
          </w:p>
        </w:tc>
        <w:tc>
          <w:tcPr>
            <w:tcW w:w="60" w:type="dxa"/>
            <w:vAlign w:val="bottom"/>
            <w:shd w:val="clear" w:color="auto" w:fill="CCEEFF"/>
          </w:tcPr>
          <w:p>
            <w:pPr>
              <w:spacing w:after="0"/>
              <w:rPr>
                <w:sz w:val="10"/>
                <w:szCs w:val="10"/>
                <w:color w:val="auto"/>
              </w:rPr>
            </w:pPr>
          </w:p>
        </w:tc>
        <w:tc>
          <w:tcPr>
            <w:tcW w:w="80" w:type="dxa"/>
            <w:vAlign w:val="bottom"/>
            <w:tcBorders>
              <w:bottom w:val="single" w:sz="8" w:color="auto"/>
            </w:tcBorders>
            <w:shd w:val="clear" w:color="auto" w:fill="CCEEFF"/>
          </w:tcPr>
          <w:p>
            <w:pPr>
              <w:spacing w:after="0"/>
              <w:rPr>
                <w:sz w:val="10"/>
                <w:szCs w:val="10"/>
                <w:color w:val="auto"/>
              </w:rPr>
            </w:pPr>
          </w:p>
        </w:tc>
        <w:tc>
          <w:tcPr>
            <w:tcW w:w="400" w:type="dxa"/>
            <w:vAlign w:val="bottom"/>
            <w:tcBorders>
              <w:bottom w:val="single" w:sz="8" w:color="auto"/>
            </w:tcBorders>
            <w:shd w:val="clear" w:color="auto" w:fill="CCEEFF"/>
          </w:tcPr>
          <w:p>
            <w:pPr>
              <w:jc w:val="right"/>
              <w:spacing w:after="0" w:line="125" w:lineRule="exact"/>
              <w:rPr>
                <w:sz w:val="20"/>
                <w:szCs w:val="20"/>
                <w:color w:val="auto"/>
              </w:rPr>
            </w:pPr>
            <w:r>
              <w:rPr>
                <w:rFonts w:ascii="Arial" w:cs="Arial" w:eastAsia="Arial" w:hAnsi="Arial"/>
                <w:sz w:val="11"/>
                <w:szCs w:val="11"/>
                <w:color w:val="050505"/>
              </w:rPr>
              <w:t>0.1</w:t>
            </w:r>
          </w:p>
        </w:tc>
        <w:tc>
          <w:tcPr>
            <w:tcW w:w="1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0" w:type="dxa"/>
            <w:vAlign w:val="bottom"/>
            <w:tcBorders>
              <w:bottom w:val="single" w:sz="8" w:color="auto"/>
            </w:tcBorders>
            <w:shd w:val="clear" w:color="auto" w:fill="CCEEFF"/>
          </w:tcPr>
          <w:p>
            <w:pPr>
              <w:spacing w:after="0"/>
              <w:rPr>
                <w:sz w:val="10"/>
                <w:szCs w:val="10"/>
                <w:color w:val="auto"/>
              </w:rPr>
            </w:pPr>
          </w:p>
        </w:tc>
        <w:tc>
          <w:tcPr>
            <w:tcW w:w="400" w:type="dxa"/>
            <w:vAlign w:val="bottom"/>
            <w:tcBorders>
              <w:bottom w:val="single" w:sz="8" w:color="auto"/>
            </w:tcBorders>
            <w:shd w:val="clear" w:color="auto" w:fill="CCEEFF"/>
          </w:tcPr>
          <w:p>
            <w:pPr>
              <w:jc w:val="right"/>
              <w:spacing w:after="0" w:line="125" w:lineRule="exact"/>
              <w:rPr>
                <w:sz w:val="20"/>
                <w:szCs w:val="20"/>
                <w:color w:val="auto"/>
              </w:rPr>
            </w:pPr>
            <w:r>
              <w:rPr>
                <w:rFonts w:ascii="Arial" w:cs="Arial" w:eastAsia="Arial" w:hAnsi="Arial"/>
                <w:sz w:val="11"/>
                <w:szCs w:val="11"/>
                <w:color w:val="050505"/>
              </w:rPr>
              <w:t>0.1</w:t>
            </w: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tcBorders>
              <w:bottom w:val="single" w:sz="8" w:color="auto"/>
            </w:tcBorders>
            <w:shd w:val="clear" w:color="auto" w:fill="CCEEFF"/>
          </w:tcPr>
          <w:p>
            <w:pPr>
              <w:spacing w:after="0"/>
              <w:rPr>
                <w:sz w:val="10"/>
                <w:szCs w:val="10"/>
                <w:color w:val="auto"/>
              </w:rPr>
            </w:pPr>
          </w:p>
        </w:tc>
        <w:tc>
          <w:tcPr>
            <w:tcW w:w="400" w:type="dxa"/>
            <w:vAlign w:val="bottom"/>
            <w:tcBorders>
              <w:bottom w:val="single" w:sz="8" w:color="auto"/>
            </w:tcBorders>
            <w:shd w:val="clear" w:color="auto" w:fill="CCEEFF"/>
          </w:tcPr>
          <w:p>
            <w:pPr>
              <w:jc w:val="right"/>
              <w:spacing w:after="0" w:line="125" w:lineRule="exact"/>
              <w:rPr>
                <w:sz w:val="20"/>
                <w:szCs w:val="20"/>
                <w:color w:val="auto"/>
              </w:rPr>
            </w:pPr>
            <w:r>
              <w:rPr>
                <w:rFonts w:ascii="Arial" w:cs="Arial" w:eastAsia="Arial" w:hAnsi="Arial"/>
                <w:sz w:val="11"/>
                <w:szCs w:val="11"/>
                <w:color w:val="050505"/>
              </w:rPr>
              <w:t>0.1</w:t>
            </w:r>
          </w:p>
        </w:tc>
        <w:tc>
          <w:tcPr>
            <w:tcW w:w="1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tcBorders>
              <w:bottom w:val="single" w:sz="8" w:color="auto"/>
            </w:tcBorders>
            <w:shd w:val="clear" w:color="auto" w:fill="CCEEFF"/>
          </w:tcPr>
          <w:p>
            <w:pPr>
              <w:spacing w:after="0"/>
              <w:rPr>
                <w:sz w:val="10"/>
                <w:szCs w:val="10"/>
                <w:color w:val="auto"/>
              </w:rPr>
            </w:pPr>
          </w:p>
        </w:tc>
        <w:tc>
          <w:tcPr>
            <w:tcW w:w="420" w:type="dxa"/>
            <w:vAlign w:val="bottom"/>
            <w:tcBorders>
              <w:bottom w:val="single" w:sz="8" w:color="auto"/>
            </w:tcBorders>
            <w:shd w:val="clear" w:color="auto" w:fill="CCEEFF"/>
          </w:tcPr>
          <w:p>
            <w:pPr>
              <w:jc w:val="right"/>
              <w:spacing w:after="0" w:line="125" w:lineRule="exact"/>
              <w:rPr>
                <w:sz w:val="20"/>
                <w:szCs w:val="20"/>
                <w:color w:val="auto"/>
              </w:rPr>
            </w:pPr>
            <w:r>
              <w:rPr>
                <w:rFonts w:ascii="Arial" w:cs="Arial" w:eastAsia="Arial" w:hAnsi="Arial"/>
                <w:sz w:val="11"/>
                <w:szCs w:val="11"/>
                <w:color w:val="050505"/>
              </w:rPr>
              <w:t>0.2</w:t>
            </w:r>
          </w:p>
        </w:tc>
        <w:tc>
          <w:tcPr>
            <w:tcW w:w="1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tcBorders>
              <w:bottom w:val="single" w:sz="8" w:color="auto"/>
            </w:tcBorders>
            <w:shd w:val="clear" w:color="auto" w:fill="CCEEFF"/>
          </w:tcPr>
          <w:p>
            <w:pPr>
              <w:spacing w:after="0"/>
              <w:rPr>
                <w:sz w:val="10"/>
                <w:szCs w:val="10"/>
                <w:color w:val="auto"/>
              </w:rPr>
            </w:pPr>
          </w:p>
        </w:tc>
        <w:tc>
          <w:tcPr>
            <w:tcW w:w="400" w:type="dxa"/>
            <w:vAlign w:val="bottom"/>
            <w:tcBorders>
              <w:bottom w:val="single" w:sz="8" w:color="auto"/>
            </w:tcBorders>
            <w:shd w:val="clear" w:color="auto" w:fill="CCEEFF"/>
          </w:tcPr>
          <w:p>
            <w:pPr>
              <w:jc w:val="right"/>
              <w:spacing w:after="0" w:line="125" w:lineRule="exact"/>
              <w:rPr>
                <w:sz w:val="20"/>
                <w:szCs w:val="20"/>
                <w:color w:val="auto"/>
              </w:rPr>
            </w:pPr>
            <w:r>
              <w:rPr>
                <w:rFonts w:ascii="Arial" w:cs="Arial" w:eastAsia="Arial" w:hAnsi="Arial"/>
                <w:sz w:val="11"/>
                <w:szCs w:val="11"/>
                <w:color w:val="050505"/>
              </w:rPr>
              <w:t>1.2</w:t>
            </w:r>
          </w:p>
        </w:tc>
        <w:tc>
          <w:tcPr>
            <w:tcW w:w="1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tcBorders>
              <w:bottom w:val="single" w:sz="8" w:color="auto"/>
            </w:tcBorders>
            <w:shd w:val="clear" w:color="auto" w:fill="CCEEFF"/>
          </w:tcPr>
          <w:p>
            <w:pPr>
              <w:spacing w:after="0"/>
              <w:rPr>
                <w:sz w:val="10"/>
                <w:szCs w:val="10"/>
                <w:color w:val="auto"/>
              </w:rPr>
            </w:pPr>
          </w:p>
        </w:tc>
        <w:tc>
          <w:tcPr>
            <w:tcW w:w="400" w:type="dxa"/>
            <w:vAlign w:val="bottom"/>
            <w:tcBorders>
              <w:bottom w:val="single" w:sz="8" w:color="auto"/>
            </w:tcBorders>
            <w:shd w:val="clear" w:color="auto" w:fill="CCEEFF"/>
          </w:tcPr>
          <w:p>
            <w:pPr>
              <w:jc w:val="right"/>
              <w:spacing w:after="0" w:line="125" w:lineRule="exact"/>
              <w:rPr>
                <w:sz w:val="20"/>
                <w:szCs w:val="20"/>
                <w:color w:val="auto"/>
              </w:rPr>
            </w:pPr>
            <w:r>
              <w:rPr>
                <w:rFonts w:ascii="Arial" w:cs="Arial" w:eastAsia="Arial" w:hAnsi="Arial"/>
                <w:sz w:val="11"/>
                <w:szCs w:val="11"/>
                <w:color w:val="050505"/>
              </w:rPr>
              <w:t>0.6</w:t>
            </w:r>
          </w:p>
        </w:tc>
        <w:tc>
          <w:tcPr>
            <w:tcW w:w="1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tcBorders>
              <w:bottom w:val="single" w:sz="8" w:color="auto"/>
            </w:tcBorders>
            <w:shd w:val="clear" w:color="auto" w:fill="CCEEFF"/>
          </w:tcPr>
          <w:p>
            <w:pPr>
              <w:spacing w:after="0"/>
              <w:rPr>
                <w:sz w:val="10"/>
                <w:szCs w:val="10"/>
                <w:color w:val="auto"/>
              </w:rPr>
            </w:pPr>
          </w:p>
        </w:tc>
        <w:tc>
          <w:tcPr>
            <w:tcW w:w="400" w:type="dxa"/>
            <w:vAlign w:val="bottom"/>
            <w:tcBorders>
              <w:bottom w:val="single" w:sz="8" w:color="auto"/>
            </w:tcBorders>
            <w:shd w:val="clear" w:color="auto" w:fill="CCEEFF"/>
          </w:tcPr>
          <w:p>
            <w:pPr>
              <w:jc w:val="right"/>
              <w:spacing w:after="0" w:line="125" w:lineRule="exact"/>
              <w:rPr>
                <w:sz w:val="20"/>
                <w:szCs w:val="20"/>
                <w:color w:val="auto"/>
              </w:rPr>
            </w:pPr>
            <w:r>
              <w:rPr>
                <w:rFonts w:ascii="Arial" w:cs="Arial" w:eastAsia="Arial" w:hAnsi="Arial"/>
                <w:sz w:val="11"/>
                <w:szCs w:val="11"/>
                <w:color w:val="050505"/>
              </w:rPr>
              <w:t>0.6</w:t>
            </w:r>
          </w:p>
        </w:tc>
        <w:tc>
          <w:tcPr>
            <w:tcW w:w="1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tcBorders>
              <w:bottom w:val="single" w:sz="8" w:color="auto"/>
            </w:tcBorders>
            <w:shd w:val="clear" w:color="auto" w:fill="CCEEFF"/>
          </w:tcPr>
          <w:p>
            <w:pPr>
              <w:spacing w:after="0"/>
              <w:rPr>
                <w:sz w:val="10"/>
                <w:szCs w:val="10"/>
                <w:color w:val="auto"/>
              </w:rPr>
            </w:pPr>
          </w:p>
        </w:tc>
        <w:tc>
          <w:tcPr>
            <w:tcW w:w="400" w:type="dxa"/>
            <w:vAlign w:val="bottom"/>
            <w:tcBorders>
              <w:bottom w:val="single" w:sz="8" w:color="auto"/>
            </w:tcBorders>
            <w:shd w:val="clear" w:color="auto" w:fill="CCEEFF"/>
          </w:tcPr>
          <w:p>
            <w:pPr>
              <w:jc w:val="right"/>
              <w:spacing w:after="0" w:line="125" w:lineRule="exact"/>
              <w:rPr>
                <w:sz w:val="20"/>
                <w:szCs w:val="20"/>
                <w:color w:val="auto"/>
              </w:rPr>
            </w:pPr>
            <w:r>
              <w:rPr>
                <w:rFonts w:ascii="Arial" w:cs="Arial" w:eastAsia="Arial" w:hAnsi="Arial"/>
                <w:sz w:val="11"/>
                <w:szCs w:val="11"/>
                <w:color w:val="050505"/>
              </w:rPr>
              <w:t>0.8</w:t>
            </w:r>
          </w:p>
        </w:tc>
        <w:tc>
          <w:tcPr>
            <w:tcW w:w="140" w:type="dxa"/>
            <w:vAlign w:val="bottom"/>
            <w:shd w:val="clear" w:color="auto" w:fill="CCEEFF"/>
          </w:tcPr>
          <w:p>
            <w:pPr>
              <w:spacing w:after="0"/>
              <w:rPr>
                <w:sz w:val="10"/>
                <w:szCs w:val="10"/>
                <w:color w:val="auto"/>
              </w:rPr>
            </w:pPr>
          </w:p>
        </w:tc>
      </w:tr>
      <w:tr>
        <w:trPr>
          <w:trHeight w:val="124"/>
        </w:trPr>
        <w:tc>
          <w:tcPr>
            <w:tcW w:w="1660" w:type="dxa"/>
            <w:vAlign w:val="bottom"/>
          </w:tcPr>
          <w:p>
            <w:pPr>
              <w:ind w:left="40"/>
              <w:spacing w:after="0" w:line="124" w:lineRule="exact"/>
              <w:rPr>
                <w:sz w:val="20"/>
                <w:szCs w:val="20"/>
                <w:color w:val="auto"/>
              </w:rPr>
            </w:pPr>
            <w:r>
              <w:rPr>
                <w:rFonts w:ascii="Arial" w:cs="Arial" w:eastAsia="Arial" w:hAnsi="Arial"/>
                <w:sz w:val="11"/>
                <w:szCs w:val="11"/>
                <w:color w:val="050505"/>
              </w:rPr>
              <w:t>Subscription Contribution</w:t>
            </w:r>
          </w:p>
        </w:tc>
        <w:tc>
          <w:tcPr>
            <w:tcW w:w="140" w:type="dxa"/>
            <w:vAlign w:val="bottom"/>
            <w:gridSpan w:val="2"/>
          </w:tcPr>
          <w:p>
            <w:pPr>
              <w:jc w:val="right"/>
              <w:spacing w:after="0" w:line="124" w:lineRule="exact"/>
              <w:rPr>
                <w:sz w:val="20"/>
                <w:szCs w:val="20"/>
                <w:color w:val="auto"/>
              </w:rPr>
            </w:pPr>
            <w:r>
              <w:rPr>
                <w:rFonts w:ascii="Arial" w:cs="Arial" w:eastAsia="Arial" w:hAnsi="Arial"/>
                <w:sz w:val="11"/>
                <w:szCs w:val="11"/>
                <w:color w:val="050505"/>
              </w:rPr>
              <w:t>$</w:t>
            </w:r>
          </w:p>
        </w:tc>
        <w:tc>
          <w:tcPr>
            <w:tcW w:w="400" w:type="dxa"/>
            <w:vAlign w:val="bottom"/>
          </w:tcPr>
          <w:p>
            <w:pPr>
              <w:jc w:val="right"/>
              <w:spacing w:after="0" w:line="124" w:lineRule="exact"/>
              <w:rPr>
                <w:sz w:val="20"/>
                <w:szCs w:val="20"/>
                <w:color w:val="auto"/>
              </w:rPr>
            </w:pPr>
            <w:r>
              <w:rPr>
                <w:rFonts w:ascii="Arial" w:cs="Arial" w:eastAsia="Arial" w:hAnsi="Arial"/>
                <w:sz w:val="11"/>
                <w:szCs w:val="11"/>
                <w:color w:val="050505"/>
              </w:rPr>
              <w:t>5.3</w:t>
            </w:r>
          </w:p>
        </w:tc>
        <w:tc>
          <w:tcPr>
            <w:tcW w:w="160" w:type="dxa"/>
            <w:vAlign w:val="bottom"/>
          </w:tcPr>
          <w:p>
            <w:pPr>
              <w:spacing w:after="0"/>
              <w:rPr>
                <w:sz w:val="10"/>
                <w:szCs w:val="10"/>
                <w:color w:val="auto"/>
              </w:rPr>
            </w:pPr>
          </w:p>
        </w:tc>
        <w:tc>
          <w:tcPr>
            <w:tcW w:w="160" w:type="dxa"/>
            <w:vAlign w:val="bottom"/>
            <w:gridSpan w:val="2"/>
          </w:tcPr>
          <w:p>
            <w:pPr>
              <w:jc w:val="right"/>
              <w:spacing w:after="0" w:line="124" w:lineRule="exact"/>
              <w:rPr>
                <w:sz w:val="20"/>
                <w:szCs w:val="20"/>
                <w:color w:val="auto"/>
              </w:rPr>
            </w:pPr>
            <w:r>
              <w:rPr>
                <w:rFonts w:ascii="Arial" w:cs="Arial" w:eastAsia="Arial" w:hAnsi="Arial"/>
                <w:sz w:val="11"/>
                <w:szCs w:val="11"/>
                <w:color w:val="050505"/>
              </w:rPr>
              <w:t>$</w:t>
            </w:r>
          </w:p>
        </w:tc>
        <w:tc>
          <w:tcPr>
            <w:tcW w:w="400" w:type="dxa"/>
            <w:vAlign w:val="bottom"/>
          </w:tcPr>
          <w:p>
            <w:pPr>
              <w:jc w:val="right"/>
              <w:spacing w:after="0" w:line="124" w:lineRule="exact"/>
              <w:rPr>
                <w:sz w:val="20"/>
                <w:szCs w:val="20"/>
                <w:color w:val="auto"/>
              </w:rPr>
            </w:pPr>
            <w:r>
              <w:rPr>
                <w:rFonts w:ascii="Arial" w:cs="Arial" w:eastAsia="Arial" w:hAnsi="Arial"/>
                <w:sz w:val="11"/>
                <w:szCs w:val="11"/>
                <w:color w:val="050505"/>
              </w:rPr>
              <w:t>8.8</w:t>
            </w:r>
          </w:p>
        </w:tc>
        <w:tc>
          <w:tcPr>
            <w:tcW w:w="140" w:type="dxa"/>
            <w:vAlign w:val="bottom"/>
          </w:tcPr>
          <w:p>
            <w:pPr>
              <w:spacing w:after="0"/>
              <w:rPr>
                <w:sz w:val="10"/>
                <w:szCs w:val="10"/>
                <w:color w:val="auto"/>
              </w:rPr>
            </w:pPr>
          </w:p>
        </w:tc>
        <w:tc>
          <w:tcPr>
            <w:tcW w:w="160" w:type="dxa"/>
            <w:vAlign w:val="bottom"/>
            <w:gridSpan w:val="2"/>
          </w:tcPr>
          <w:p>
            <w:pPr>
              <w:jc w:val="right"/>
              <w:spacing w:after="0" w:line="124" w:lineRule="exact"/>
              <w:rPr>
                <w:sz w:val="20"/>
                <w:szCs w:val="20"/>
                <w:color w:val="auto"/>
              </w:rPr>
            </w:pPr>
            <w:r>
              <w:rPr>
                <w:rFonts w:ascii="Arial" w:cs="Arial" w:eastAsia="Arial" w:hAnsi="Arial"/>
                <w:sz w:val="11"/>
                <w:szCs w:val="11"/>
                <w:color w:val="050505"/>
              </w:rPr>
              <w:t>$</w:t>
            </w:r>
          </w:p>
        </w:tc>
        <w:tc>
          <w:tcPr>
            <w:tcW w:w="400" w:type="dxa"/>
            <w:vAlign w:val="bottom"/>
          </w:tcPr>
          <w:p>
            <w:pPr>
              <w:jc w:val="right"/>
              <w:spacing w:after="0" w:line="124" w:lineRule="exact"/>
              <w:rPr>
                <w:sz w:val="20"/>
                <w:szCs w:val="20"/>
                <w:color w:val="auto"/>
              </w:rPr>
            </w:pPr>
            <w:r>
              <w:rPr>
                <w:rFonts w:ascii="Arial" w:cs="Arial" w:eastAsia="Arial" w:hAnsi="Arial"/>
                <w:sz w:val="11"/>
                <w:szCs w:val="11"/>
                <w:color w:val="050505"/>
              </w:rPr>
              <w:t>8.5</w:t>
            </w:r>
          </w:p>
        </w:tc>
        <w:tc>
          <w:tcPr>
            <w:tcW w:w="160" w:type="dxa"/>
            <w:vAlign w:val="bottom"/>
          </w:tcPr>
          <w:p>
            <w:pPr>
              <w:spacing w:after="0"/>
              <w:rPr>
                <w:sz w:val="10"/>
                <w:szCs w:val="10"/>
                <w:color w:val="auto"/>
              </w:rPr>
            </w:pPr>
          </w:p>
        </w:tc>
        <w:tc>
          <w:tcPr>
            <w:tcW w:w="140" w:type="dxa"/>
            <w:vAlign w:val="bottom"/>
            <w:gridSpan w:val="2"/>
          </w:tcPr>
          <w:p>
            <w:pPr>
              <w:jc w:val="right"/>
              <w:spacing w:after="0" w:line="124" w:lineRule="exact"/>
              <w:rPr>
                <w:sz w:val="20"/>
                <w:szCs w:val="20"/>
                <w:color w:val="auto"/>
              </w:rPr>
            </w:pPr>
            <w:r>
              <w:rPr>
                <w:rFonts w:ascii="Arial" w:cs="Arial" w:eastAsia="Arial" w:hAnsi="Arial"/>
                <w:sz w:val="11"/>
                <w:szCs w:val="11"/>
                <w:color w:val="050505"/>
              </w:rPr>
              <w:t>$</w:t>
            </w:r>
          </w:p>
        </w:tc>
        <w:tc>
          <w:tcPr>
            <w:tcW w:w="420" w:type="dxa"/>
            <w:vAlign w:val="bottom"/>
          </w:tcPr>
          <w:p>
            <w:pPr>
              <w:jc w:val="right"/>
              <w:spacing w:after="0" w:line="124" w:lineRule="exact"/>
              <w:rPr>
                <w:sz w:val="20"/>
                <w:szCs w:val="20"/>
                <w:color w:val="auto"/>
              </w:rPr>
            </w:pPr>
            <w:r>
              <w:rPr>
                <w:rFonts w:ascii="Arial" w:cs="Arial" w:eastAsia="Arial" w:hAnsi="Arial"/>
                <w:sz w:val="11"/>
                <w:szCs w:val="11"/>
                <w:color w:val="050505"/>
              </w:rPr>
              <w:t>15.4</w:t>
            </w:r>
          </w:p>
        </w:tc>
        <w:tc>
          <w:tcPr>
            <w:tcW w:w="160" w:type="dxa"/>
            <w:vAlign w:val="bottom"/>
          </w:tcPr>
          <w:p>
            <w:pPr>
              <w:spacing w:after="0"/>
              <w:rPr>
                <w:sz w:val="10"/>
                <w:szCs w:val="10"/>
                <w:color w:val="auto"/>
              </w:rPr>
            </w:pPr>
          </w:p>
        </w:tc>
        <w:tc>
          <w:tcPr>
            <w:tcW w:w="160" w:type="dxa"/>
            <w:vAlign w:val="bottom"/>
            <w:gridSpan w:val="2"/>
          </w:tcPr>
          <w:p>
            <w:pPr>
              <w:jc w:val="right"/>
              <w:spacing w:after="0" w:line="124" w:lineRule="exact"/>
              <w:rPr>
                <w:sz w:val="20"/>
                <w:szCs w:val="20"/>
                <w:color w:val="auto"/>
              </w:rPr>
            </w:pPr>
            <w:r>
              <w:rPr>
                <w:rFonts w:ascii="Arial" w:cs="Arial" w:eastAsia="Arial" w:hAnsi="Arial"/>
                <w:sz w:val="11"/>
                <w:szCs w:val="11"/>
                <w:color w:val="050505"/>
              </w:rPr>
              <w:t>$</w:t>
            </w:r>
          </w:p>
        </w:tc>
        <w:tc>
          <w:tcPr>
            <w:tcW w:w="400" w:type="dxa"/>
            <w:vAlign w:val="bottom"/>
          </w:tcPr>
          <w:p>
            <w:pPr>
              <w:jc w:val="right"/>
              <w:spacing w:after="0" w:line="124" w:lineRule="exact"/>
              <w:rPr>
                <w:sz w:val="20"/>
                <w:szCs w:val="20"/>
                <w:color w:val="auto"/>
              </w:rPr>
            </w:pPr>
            <w:r>
              <w:rPr>
                <w:rFonts w:ascii="Arial" w:cs="Arial" w:eastAsia="Arial" w:hAnsi="Arial"/>
                <w:sz w:val="11"/>
                <w:szCs w:val="11"/>
                <w:color w:val="050505"/>
              </w:rPr>
              <w:t>18.5</w:t>
            </w:r>
          </w:p>
        </w:tc>
        <w:tc>
          <w:tcPr>
            <w:tcW w:w="160" w:type="dxa"/>
            <w:vAlign w:val="bottom"/>
          </w:tcPr>
          <w:p>
            <w:pPr>
              <w:spacing w:after="0"/>
              <w:rPr>
                <w:sz w:val="10"/>
                <w:szCs w:val="10"/>
                <w:color w:val="auto"/>
              </w:rPr>
            </w:pPr>
          </w:p>
        </w:tc>
        <w:tc>
          <w:tcPr>
            <w:tcW w:w="160" w:type="dxa"/>
            <w:vAlign w:val="bottom"/>
            <w:gridSpan w:val="2"/>
          </w:tcPr>
          <w:p>
            <w:pPr>
              <w:jc w:val="right"/>
              <w:spacing w:after="0" w:line="124" w:lineRule="exact"/>
              <w:rPr>
                <w:sz w:val="20"/>
                <w:szCs w:val="20"/>
                <w:color w:val="auto"/>
              </w:rPr>
            </w:pPr>
            <w:r>
              <w:rPr>
                <w:rFonts w:ascii="Arial" w:cs="Arial" w:eastAsia="Arial" w:hAnsi="Arial"/>
                <w:sz w:val="11"/>
                <w:szCs w:val="11"/>
                <w:color w:val="050505"/>
              </w:rPr>
              <w:t>$</w:t>
            </w:r>
          </w:p>
        </w:tc>
        <w:tc>
          <w:tcPr>
            <w:tcW w:w="400" w:type="dxa"/>
            <w:vAlign w:val="bottom"/>
          </w:tcPr>
          <w:p>
            <w:pPr>
              <w:jc w:val="right"/>
              <w:spacing w:after="0" w:line="124" w:lineRule="exact"/>
              <w:rPr>
                <w:sz w:val="20"/>
                <w:szCs w:val="20"/>
                <w:color w:val="auto"/>
              </w:rPr>
            </w:pPr>
            <w:r>
              <w:rPr>
                <w:rFonts w:ascii="Arial" w:cs="Arial" w:eastAsia="Arial" w:hAnsi="Arial"/>
                <w:sz w:val="11"/>
                <w:szCs w:val="11"/>
                <w:color w:val="050505"/>
              </w:rPr>
              <w:t>20.1</w:t>
            </w:r>
          </w:p>
        </w:tc>
        <w:tc>
          <w:tcPr>
            <w:tcW w:w="160" w:type="dxa"/>
            <w:vAlign w:val="bottom"/>
          </w:tcPr>
          <w:p>
            <w:pPr>
              <w:spacing w:after="0"/>
              <w:rPr>
                <w:sz w:val="10"/>
                <w:szCs w:val="10"/>
                <w:color w:val="auto"/>
              </w:rPr>
            </w:pPr>
          </w:p>
        </w:tc>
        <w:tc>
          <w:tcPr>
            <w:tcW w:w="160" w:type="dxa"/>
            <w:vAlign w:val="bottom"/>
            <w:gridSpan w:val="2"/>
          </w:tcPr>
          <w:p>
            <w:pPr>
              <w:jc w:val="right"/>
              <w:spacing w:after="0" w:line="124" w:lineRule="exact"/>
              <w:rPr>
                <w:sz w:val="20"/>
                <w:szCs w:val="20"/>
                <w:color w:val="auto"/>
              </w:rPr>
            </w:pPr>
            <w:r>
              <w:rPr>
                <w:rFonts w:ascii="Arial" w:cs="Arial" w:eastAsia="Arial" w:hAnsi="Arial"/>
                <w:sz w:val="11"/>
                <w:szCs w:val="11"/>
                <w:color w:val="050505"/>
              </w:rPr>
              <w:t>$</w:t>
            </w:r>
          </w:p>
        </w:tc>
        <w:tc>
          <w:tcPr>
            <w:tcW w:w="400" w:type="dxa"/>
            <w:vAlign w:val="bottom"/>
          </w:tcPr>
          <w:p>
            <w:pPr>
              <w:jc w:val="right"/>
              <w:spacing w:after="0" w:line="124" w:lineRule="exact"/>
              <w:rPr>
                <w:sz w:val="20"/>
                <w:szCs w:val="20"/>
                <w:color w:val="auto"/>
              </w:rPr>
            </w:pPr>
            <w:r>
              <w:rPr>
                <w:rFonts w:ascii="Arial" w:cs="Arial" w:eastAsia="Arial" w:hAnsi="Arial"/>
                <w:sz w:val="11"/>
                <w:szCs w:val="11"/>
                <w:color w:val="050505"/>
              </w:rPr>
              <w:t>16.7</w:t>
            </w:r>
          </w:p>
        </w:tc>
        <w:tc>
          <w:tcPr>
            <w:tcW w:w="160" w:type="dxa"/>
            <w:vAlign w:val="bottom"/>
          </w:tcPr>
          <w:p>
            <w:pPr>
              <w:spacing w:after="0"/>
              <w:rPr>
                <w:sz w:val="10"/>
                <w:szCs w:val="10"/>
                <w:color w:val="auto"/>
              </w:rPr>
            </w:pPr>
          </w:p>
        </w:tc>
        <w:tc>
          <w:tcPr>
            <w:tcW w:w="160" w:type="dxa"/>
            <w:vAlign w:val="bottom"/>
            <w:gridSpan w:val="2"/>
          </w:tcPr>
          <w:p>
            <w:pPr>
              <w:jc w:val="right"/>
              <w:spacing w:after="0" w:line="124" w:lineRule="exact"/>
              <w:rPr>
                <w:sz w:val="20"/>
                <w:szCs w:val="20"/>
                <w:color w:val="auto"/>
              </w:rPr>
            </w:pPr>
            <w:r>
              <w:rPr>
                <w:rFonts w:ascii="Arial" w:cs="Arial" w:eastAsia="Arial" w:hAnsi="Arial"/>
                <w:sz w:val="11"/>
                <w:szCs w:val="11"/>
                <w:color w:val="050505"/>
              </w:rPr>
              <w:t>$</w:t>
            </w:r>
          </w:p>
        </w:tc>
        <w:tc>
          <w:tcPr>
            <w:tcW w:w="400" w:type="dxa"/>
            <w:vAlign w:val="bottom"/>
          </w:tcPr>
          <w:p>
            <w:pPr>
              <w:jc w:val="right"/>
              <w:spacing w:after="0" w:line="124" w:lineRule="exact"/>
              <w:rPr>
                <w:sz w:val="20"/>
                <w:szCs w:val="20"/>
                <w:color w:val="auto"/>
              </w:rPr>
            </w:pPr>
            <w:r>
              <w:rPr>
                <w:rFonts w:ascii="Arial" w:cs="Arial" w:eastAsia="Arial" w:hAnsi="Arial"/>
                <w:sz w:val="11"/>
                <w:szCs w:val="11"/>
                <w:color w:val="050505"/>
              </w:rPr>
              <w:t>36.6</w:t>
            </w:r>
          </w:p>
        </w:tc>
        <w:tc>
          <w:tcPr>
            <w:tcW w:w="140" w:type="dxa"/>
            <w:vAlign w:val="bottom"/>
          </w:tcPr>
          <w:p>
            <w:pPr>
              <w:spacing w:after="0"/>
              <w:rPr>
                <w:sz w:val="10"/>
                <w:szCs w:val="10"/>
                <w:color w:val="auto"/>
              </w:rPr>
            </w:pPr>
          </w:p>
        </w:tc>
      </w:tr>
      <w:tr>
        <w:trPr>
          <w:trHeight w:val="32"/>
        </w:trPr>
        <w:tc>
          <w:tcPr>
            <w:tcW w:w="166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r>
      <w:tr>
        <w:trPr>
          <w:trHeight w:val="131"/>
        </w:trPr>
        <w:tc>
          <w:tcPr>
            <w:tcW w:w="1660" w:type="dxa"/>
            <w:vAlign w:val="bottom"/>
            <w:shd w:val="clear" w:color="auto" w:fill="CCEEFF"/>
          </w:tcPr>
          <w:p>
            <w:pPr>
              <w:ind w:left="40"/>
              <w:spacing w:after="0"/>
              <w:rPr>
                <w:sz w:val="20"/>
                <w:szCs w:val="20"/>
                <w:color w:val="auto"/>
              </w:rPr>
            </w:pPr>
            <w:r>
              <w:rPr>
                <w:rFonts w:ascii="Arial" w:cs="Arial" w:eastAsia="Arial" w:hAnsi="Arial"/>
                <w:sz w:val="11"/>
                <w:szCs w:val="11"/>
                <w:color w:val="050505"/>
              </w:rPr>
              <w:t>Subscription Contribution Margin</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050505"/>
              </w:rPr>
              <w:t>36.9%</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050505"/>
              </w:rPr>
              <w:t>53.6%</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050505"/>
              </w:rPr>
              <w:t>37.9%</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050505"/>
              </w:rPr>
              <w:t>57.1%</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050505"/>
              </w:rPr>
              <w:t>58.3%</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050505"/>
              </w:rPr>
              <w:t>54.0%</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050505"/>
              </w:rPr>
              <w:t>32.7%</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050505"/>
              </w:rPr>
              <w:t>60.0%</w:t>
            </w:r>
          </w:p>
        </w:tc>
      </w:tr>
      <w:tr>
        <w:trPr>
          <w:trHeight w:val="27"/>
        </w:trPr>
        <w:tc>
          <w:tcPr>
            <w:tcW w:w="166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1310640</wp:posOffset>
            </wp:positionH>
            <wp:positionV relativeFrom="paragraph">
              <wp:posOffset>62865</wp:posOffset>
            </wp:positionV>
            <wp:extent cx="1212215" cy="571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212215" cy="5715"/>
                    </a:xfrm>
                    <a:prstGeom prst="rect">
                      <a:avLst/>
                    </a:prstGeom>
                    <a:noFill/>
                  </pic:spPr>
                </pic:pic>
              </a:graphicData>
            </a:graphic>
          </wp:anchor>
        </w:drawing>
      </w:r>
    </w:p>
    <w:p>
      <w:pPr>
        <w:spacing w:after="0" w:line="111" w:lineRule="exact"/>
        <w:rPr>
          <w:sz w:val="20"/>
          <w:szCs w:val="20"/>
          <w:color w:val="auto"/>
        </w:rPr>
      </w:pPr>
    </w:p>
    <w:p>
      <w:pPr>
        <w:ind w:left="2280" w:hanging="221"/>
        <w:spacing w:after="0"/>
        <w:tabs>
          <w:tab w:leader="none" w:pos="2280" w:val="left"/>
        </w:tabs>
        <w:numPr>
          <w:ilvl w:val="0"/>
          <w:numId w:val="51"/>
        </w:numPr>
        <w:rPr>
          <w:rFonts w:ascii="Arial" w:cs="Arial" w:eastAsia="Arial" w:hAnsi="Arial"/>
          <w:sz w:val="8"/>
          <w:szCs w:val="8"/>
          <w:color w:val="050505"/>
        </w:rPr>
      </w:pPr>
      <w:r>
        <w:rPr>
          <w:rFonts w:ascii="Arial" w:cs="Arial" w:eastAsia="Arial" w:hAnsi="Arial"/>
          <w:sz w:val="8"/>
          <w:szCs w:val="8"/>
          <w:color w:val="050505"/>
        </w:rPr>
        <w:t>Included in subscription cost of revenue are content costs for past use as follows:</w:t>
      </w:r>
    </w:p>
    <w:p>
      <w:pPr>
        <w:spacing w:after="0" w:line="90" w:lineRule="exact"/>
        <w:rPr>
          <w:sz w:val="20"/>
          <w:szCs w:val="20"/>
          <w:color w:val="auto"/>
        </w:rPr>
      </w:pPr>
    </w:p>
    <w:tbl>
      <w:tblPr>
        <w:tblLayout w:type="fixed"/>
        <w:tblInd w:w="2060" w:type="dxa"/>
        <w:tblCellMar>
          <w:top w:w="0" w:type="dxa"/>
          <w:left w:w="0" w:type="dxa"/>
          <w:bottom w:w="0" w:type="dxa"/>
          <w:right w:w="0" w:type="dxa"/>
        </w:tblCellMar>
      </w:tblPr>
      <w:tr>
        <w:trPr>
          <w:trHeight w:val="137"/>
        </w:trPr>
        <w:tc>
          <w:tcPr>
            <w:tcW w:w="17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220" w:type="dxa"/>
            <w:vAlign w:val="bottom"/>
            <w:tcBorders>
              <w:bottom w:val="single" w:sz="8" w:color="auto"/>
            </w:tcBorders>
            <w:gridSpan w:val="3"/>
          </w:tcPr>
          <w:p>
            <w:pPr>
              <w:jc w:val="center"/>
              <w:ind w:right="86"/>
              <w:spacing w:after="0"/>
              <w:rPr>
                <w:sz w:val="20"/>
                <w:szCs w:val="20"/>
                <w:color w:val="auto"/>
              </w:rPr>
            </w:pPr>
            <w:r>
              <w:rPr>
                <w:rFonts w:ascii="Arial" w:cs="Arial" w:eastAsia="Arial" w:hAnsi="Arial"/>
                <w:sz w:val="11"/>
                <w:szCs w:val="11"/>
                <w:b w:val="1"/>
                <w:bCs w:val="1"/>
                <w:color w:val="050505"/>
                <w:w w:val="99"/>
              </w:rPr>
              <w:t>Three Months Ended</w:t>
            </w:r>
          </w:p>
        </w:tc>
        <w:tc>
          <w:tcPr>
            <w:tcW w:w="20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40" w:type="dxa"/>
            <w:vAlign w:val="bottom"/>
          </w:tcPr>
          <w:p>
            <w:pPr>
              <w:spacing w:after="0"/>
              <w:rPr>
                <w:sz w:val="11"/>
                <w:szCs w:val="11"/>
                <w:color w:val="auto"/>
              </w:rPr>
            </w:pPr>
          </w:p>
        </w:tc>
      </w:tr>
      <w:tr>
        <w:trPr>
          <w:trHeight w:val="104"/>
        </w:trPr>
        <w:tc>
          <w:tcPr>
            <w:tcW w:w="1700" w:type="dxa"/>
            <w:vAlign w:val="bottom"/>
          </w:tcPr>
          <w:p>
            <w:pPr>
              <w:spacing w:after="0"/>
              <w:rPr>
                <w:sz w:val="9"/>
                <w:szCs w:val="9"/>
                <w:color w:val="auto"/>
              </w:rPr>
            </w:pPr>
          </w:p>
        </w:tc>
        <w:tc>
          <w:tcPr>
            <w:tcW w:w="300" w:type="dxa"/>
            <w:vAlign w:val="bottom"/>
          </w:tcPr>
          <w:p>
            <w:pPr>
              <w:spacing w:after="0"/>
              <w:rPr>
                <w:sz w:val="9"/>
                <w:szCs w:val="9"/>
                <w:color w:val="auto"/>
              </w:rPr>
            </w:pPr>
          </w:p>
        </w:tc>
        <w:tc>
          <w:tcPr>
            <w:tcW w:w="580" w:type="dxa"/>
            <w:vAlign w:val="bottom"/>
            <w:gridSpan w:val="2"/>
          </w:tcPr>
          <w:p>
            <w:pPr>
              <w:jc w:val="center"/>
              <w:ind w:right="46"/>
              <w:spacing w:after="0" w:line="105" w:lineRule="exact"/>
              <w:rPr>
                <w:sz w:val="20"/>
                <w:szCs w:val="20"/>
                <w:color w:val="auto"/>
              </w:rPr>
            </w:pPr>
            <w:r>
              <w:rPr>
                <w:rFonts w:ascii="Arial" w:cs="Arial" w:eastAsia="Arial" w:hAnsi="Arial"/>
                <w:sz w:val="11"/>
                <w:szCs w:val="11"/>
                <w:b w:val="1"/>
                <w:bCs w:val="1"/>
                <w:color w:val="050505"/>
                <w:w w:val="96"/>
              </w:rPr>
              <w:t>Sep. 30,</w:t>
            </w:r>
          </w:p>
        </w:tc>
        <w:tc>
          <w:tcPr>
            <w:tcW w:w="680" w:type="dxa"/>
            <w:vAlign w:val="bottom"/>
            <w:gridSpan w:val="2"/>
          </w:tcPr>
          <w:p>
            <w:pPr>
              <w:jc w:val="center"/>
              <w:spacing w:after="0" w:line="105" w:lineRule="exact"/>
              <w:rPr>
                <w:sz w:val="20"/>
                <w:szCs w:val="20"/>
                <w:color w:val="auto"/>
              </w:rPr>
            </w:pPr>
            <w:r>
              <w:rPr>
                <w:rFonts w:ascii="Arial" w:cs="Arial" w:eastAsia="Arial" w:hAnsi="Arial"/>
                <w:sz w:val="11"/>
                <w:szCs w:val="11"/>
                <w:b w:val="1"/>
                <w:bCs w:val="1"/>
                <w:color w:val="050505"/>
              </w:rPr>
              <w:t>Dec. 31,</w:t>
            </w:r>
          </w:p>
        </w:tc>
        <w:tc>
          <w:tcPr>
            <w:tcW w:w="700" w:type="dxa"/>
            <w:vAlign w:val="bottom"/>
            <w:gridSpan w:val="2"/>
          </w:tcPr>
          <w:p>
            <w:pPr>
              <w:jc w:val="center"/>
              <w:spacing w:after="0" w:line="105" w:lineRule="exact"/>
              <w:rPr>
                <w:sz w:val="20"/>
                <w:szCs w:val="20"/>
                <w:color w:val="auto"/>
              </w:rPr>
            </w:pPr>
            <w:r>
              <w:rPr>
                <w:rFonts w:ascii="Arial" w:cs="Arial" w:eastAsia="Arial" w:hAnsi="Arial"/>
                <w:sz w:val="11"/>
                <w:szCs w:val="11"/>
                <w:b w:val="1"/>
                <w:bCs w:val="1"/>
                <w:color w:val="050505"/>
                <w:w w:val="92"/>
              </w:rPr>
              <w:t>Mar. 31,</w:t>
            </w:r>
          </w:p>
        </w:tc>
        <w:tc>
          <w:tcPr>
            <w:tcW w:w="680" w:type="dxa"/>
            <w:vAlign w:val="bottom"/>
            <w:gridSpan w:val="2"/>
          </w:tcPr>
          <w:p>
            <w:pPr>
              <w:jc w:val="center"/>
              <w:spacing w:after="0" w:line="105" w:lineRule="exact"/>
              <w:rPr>
                <w:sz w:val="20"/>
                <w:szCs w:val="20"/>
                <w:color w:val="auto"/>
              </w:rPr>
            </w:pPr>
            <w:r>
              <w:rPr>
                <w:rFonts w:ascii="Arial" w:cs="Arial" w:eastAsia="Arial" w:hAnsi="Arial"/>
                <w:sz w:val="11"/>
                <w:szCs w:val="11"/>
                <w:b w:val="1"/>
                <w:bCs w:val="1"/>
                <w:color w:val="050505"/>
                <w:w w:val="97"/>
              </w:rPr>
              <w:t>Jun. 30,</w:t>
            </w:r>
          </w:p>
        </w:tc>
        <w:tc>
          <w:tcPr>
            <w:tcW w:w="700" w:type="dxa"/>
            <w:vAlign w:val="bottom"/>
            <w:gridSpan w:val="2"/>
          </w:tcPr>
          <w:p>
            <w:pPr>
              <w:jc w:val="center"/>
              <w:spacing w:after="0" w:line="105" w:lineRule="exact"/>
              <w:rPr>
                <w:sz w:val="20"/>
                <w:szCs w:val="20"/>
                <w:color w:val="auto"/>
              </w:rPr>
            </w:pPr>
            <w:r>
              <w:rPr>
                <w:rFonts w:ascii="Arial" w:cs="Arial" w:eastAsia="Arial" w:hAnsi="Arial"/>
                <w:sz w:val="11"/>
                <w:szCs w:val="11"/>
                <w:b w:val="1"/>
                <w:bCs w:val="1"/>
                <w:color w:val="050505"/>
              </w:rPr>
              <w:t>Sep. 30,</w:t>
            </w:r>
          </w:p>
        </w:tc>
        <w:tc>
          <w:tcPr>
            <w:tcW w:w="680" w:type="dxa"/>
            <w:vAlign w:val="bottom"/>
            <w:gridSpan w:val="2"/>
          </w:tcPr>
          <w:p>
            <w:pPr>
              <w:jc w:val="center"/>
              <w:spacing w:after="0" w:line="105" w:lineRule="exact"/>
              <w:rPr>
                <w:sz w:val="20"/>
                <w:szCs w:val="20"/>
                <w:color w:val="auto"/>
              </w:rPr>
            </w:pPr>
            <w:r>
              <w:rPr>
                <w:rFonts w:ascii="Arial" w:cs="Arial" w:eastAsia="Arial" w:hAnsi="Arial"/>
                <w:sz w:val="11"/>
                <w:szCs w:val="11"/>
                <w:b w:val="1"/>
                <w:bCs w:val="1"/>
                <w:color w:val="050505"/>
                <w:w w:val="96"/>
              </w:rPr>
              <w:t>Dec. 31,</w:t>
            </w:r>
          </w:p>
        </w:tc>
        <w:tc>
          <w:tcPr>
            <w:tcW w:w="700" w:type="dxa"/>
            <w:vAlign w:val="bottom"/>
            <w:gridSpan w:val="2"/>
          </w:tcPr>
          <w:p>
            <w:pPr>
              <w:jc w:val="center"/>
              <w:spacing w:after="0" w:line="105" w:lineRule="exact"/>
              <w:rPr>
                <w:sz w:val="20"/>
                <w:szCs w:val="20"/>
                <w:color w:val="auto"/>
              </w:rPr>
            </w:pPr>
            <w:r>
              <w:rPr>
                <w:rFonts w:ascii="Arial" w:cs="Arial" w:eastAsia="Arial" w:hAnsi="Arial"/>
                <w:sz w:val="11"/>
                <w:szCs w:val="11"/>
                <w:b w:val="1"/>
                <w:bCs w:val="1"/>
                <w:color w:val="050505"/>
                <w:w w:val="97"/>
              </w:rPr>
              <w:t>Mar. 31,</w:t>
            </w:r>
          </w:p>
        </w:tc>
        <w:tc>
          <w:tcPr>
            <w:tcW w:w="600" w:type="dxa"/>
            <w:vAlign w:val="bottom"/>
            <w:gridSpan w:val="2"/>
          </w:tcPr>
          <w:p>
            <w:pPr>
              <w:jc w:val="center"/>
              <w:ind w:left="46"/>
              <w:spacing w:after="0" w:line="105" w:lineRule="exact"/>
              <w:rPr>
                <w:sz w:val="20"/>
                <w:szCs w:val="20"/>
                <w:color w:val="auto"/>
              </w:rPr>
            </w:pPr>
            <w:r>
              <w:rPr>
                <w:rFonts w:ascii="Arial" w:cs="Arial" w:eastAsia="Arial" w:hAnsi="Arial"/>
                <w:sz w:val="11"/>
                <w:szCs w:val="11"/>
                <w:b w:val="1"/>
                <w:bCs w:val="1"/>
                <w:color w:val="050505"/>
              </w:rPr>
              <w:t>Jun. 30,</w:t>
            </w:r>
          </w:p>
        </w:tc>
        <w:tc>
          <w:tcPr>
            <w:tcW w:w="40" w:type="dxa"/>
            <w:vAlign w:val="bottom"/>
          </w:tcPr>
          <w:p>
            <w:pPr>
              <w:spacing w:after="0"/>
              <w:rPr>
                <w:sz w:val="9"/>
                <w:szCs w:val="9"/>
                <w:color w:val="auto"/>
              </w:rPr>
            </w:pPr>
          </w:p>
        </w:tc>
      </w:tr>
      <w:tr>
        <w:trPr>
          <w:trHeight w:val="137"/>
        </w:trPr>
        <w:tc>
          <w:tcPr>
            <w:tcW w:w="17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jc w:val="right"/>
              <w:ind w:right="166"/>
              <w:spacing w:after="0"/>
              <w:rPr>
                <w:sz w:val="20"/>
                <w:szCs w:val="20"/>
                <w:color w:val="auto"/>
              </w:rPr>
            </w:pPr>
            <w:r>
              <w:rPr>
                <w:rFonts w:ascii="Arial" w:cs="Arial" w:eastAsia="Arial" w:hAnsi="Arial"/>
                <w:sz w:val="11"/>
                <w:szCs w:val="11"/>
                <w:b w:val="1"/>
                <w:bCs w:val="1"/>
                <w:color w:val="050505"/>
                <w:w w:val="97"/>
              </w:rPr>
              <w:t>2017</w:t>
            </w:r>
          </w:p>
        </w:tc>
        <w:tc>
          <w:tcPr>
            <w:tcW w:w="20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jc w:val="right"/>
              <w:ind w:right="166"/>
              <w:spacing w:after="0"/>
              <w:rPr>
                <w:sz w:val="20"/>
                <w:szCs w:val="20"/>
                <w:color w:val="auto"/>
              </w:rPr>
            </w:pPr>
            <w:r>
              <w:rPr>
                <w:rFonts w:ascii="Arial" w:cs="Arial" w:eastAsia="Arial" w:hAnsi="Arial"/>
                <w:sz w:val="11"/>
                <w:szCs w:val="11"/>
                <w:b w:val="1"/>
                <w:bCs w:val="1"/>
                <w:color w:val="050505"/>
                <w:w w:val="97"/>
              </w:rPr>
              <w:t>2017</w:t>
            </w:r>
          </w:p>
        </w:tc>
        <w:tc>
          <w:tcPr>
            <w:tcW w:w="20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jc w:val="right"/>
              <w:ind w:right="166"/>
              <w:spacing w:after="0"/>
              <w:rPr>
                <w:sz w:val="20"/>
                <w:szCs w:val="20"/>
                <w:color w:val="auto"/>
              </w:rPr>
            </w:pPr>
            <w:r>
              <w:rPr>
                <w:rFonts w:ascii="Arial" w:cs="Arial" w:eastAsia="Arial" w:hAnsi="Arial"/>
                <w:sz w:val="11"/>
                <w:szCs w:val="11"/>
                <w:b w:val="1"/>
                <w:bCs w:val="1"/>
                <w:color w:val="050505"/>
              </w:rPr>
              <w:t>2018</w:t>
            </w:r>
          </w:p>
        </w:tc>
        <w:tc>
          <w:tcPr>
            <w:tcW w:w="16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jc w:val="right"/>
              <w:ind w:right="166"/>
              <w:spacing w:after="0"/>
              <w:rPr>
                <w:sz w:val="20"/>
                <w:szCs w:val="20"/>
                <w:color w:val="auto"/>
              </w:rPr>
            </w:pPr>
            <w:r>
              <w:rPr>
                <w:rFonts w:ascii="Arial" w:cs="Arial" w:eastAsia="Arial" w:hAnsi="Arial"/>
                <w:sz w:val="11"/>
                <w:szCs w:val="11"/>
                <w:b w:val="1"/>
                <w:bCs w:val="1"/>
                <w:color w:val="050505"/>
              </w:rPr>
              <w:t>2018</w:t>
            </w:r>
          </w:p>
        </w:tc>
        <w:tc>
          <w:tcPr>
            <w:tcW w:w="700" w:type="dxa"/>
            <w:vAlign w:val="bottom"/>
            <w:tcBorders>
              <w:bottom w:val="single" w:sz="8" w:color="auto"/>
            </w:tcBorders>
            <w:gridSpan w:val="2"/>
          </w:tcPr>
          <w:p>
            <w:pPr>
              <w:jc w:val="right"/>
              <w:ind w:right="186"/>
              <w:spacing w:after="0"/>
              <w:rPr>
                <w:sz w:val="20"/>
                <w:szCs w:val="20"/>
                <w:color w:val="auto"/>
              </w:rPr>
            </w:pPr>
            <w:r>
              <w:rPr>
                <w:rFonts w:ascii="Arial" w:cs="Arial" w:eastAsia="Arial" w:hAnsi="Arial"/>
                <w:sz w:val="11"/>
                <w:szCs w:val="11"/>
                <w:b w:val="1"/>
                <w:bCs w:val="1"/>
                <w:color w:val="050505"/>
              </w:rPr>
              <w:t>2018</w:t>
            </w:r>
          </w:p>
        </w:tc>
        <w:tc>
          <w:tcPr>
            <w:tcW w:w="20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jc w:val="right"/>
              <w:ind w:right="166"/>
              <w:spacing w:after="0"/>
              <w:rPr>
                <w:sz w:val="20"/>
                <w:szCs w:val="20"/>
                <w:color w:val="auto"/>
              </w:rPr>
            </w:pPr>
            <w:r>
              <w:rPr>
                <w:rFonts w:ascii="Arial" w:cs="Arial" w:eastAsia="Arial" w:hAnsi="Arial"/>
                <w:sz w:val="11"/>
                <w:szCs w:val="11"/>
                <w:b w:val="1"/>
                <w:bCs w:val="1"/>
                <w:color w:val="050505"/>
                <w:w w:val="97"/>
              </w:rPr>
              <w:t>2018</w:t>
            </w:r>
          </w:p>
        </w:tc>
        <w:tc>
          <w:tcPr>
            <w:tcW w:w="20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jc w:val="right"/>
              <w:ind w:right="166"/>
              <w:spacing w:after="0"/>
              <w:rPr>
                <w:sz w:val="20"/>
                <w:szCs w:val="20"/>
                <w:color w:val="auto"/>
              </w:rPr>
            </w:pPr>
            <w:r>
              <w:rPr>
                <w:rFonts w:ascii="Arial" w:cs="Arial" w:eastAsia="Arial" w:hAnsi="Arial"/>
                <w:sz w:val="11"/>
                <w:szCs w:val="11"/>
                <w:b w:val="1"/>
                <w:bCs w:val="1"/>
                <w:color w:val="050505"/>
              </w:rPr>
              <w:t>2019</w:t>
            </w:r>
          </w:p>
        </w:tc>
        <w:tc>
          <w:tcPr>
            <w:tcW w:w="20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b w:val="1"/>
                <w:bCs w:val="1"/>
                <w:color w:val="050505"/>
                <w:w w:val="97"/>
              </w:rPr>
              <w:t>2019</w:t>
            </w:r>
          </w:p>
        </w:tc>
        <w:tc>
          <w:tcPr>
            <w:tcW w:w="40" w:type="dxa"/>
            <w:vAlign w:val="bottom"/>
          </w:tcPr>
          <w:p>
            <w:pPr>
              <w:spacing w:after="0"/>
              <w:rPr>
                <w:sz w:val="11"/>
                <w:szCs w:val="11"/>
                <w:color w:val="auto"/>
              </w:rPr>
            </w:pPr>
          </w:p>
        </w:tc>
      </w:tr>
      <w:tr>
        <w:trPr>
          <w:trHeight w:val="104"/>
        </w:trPr>
        <w:tc>
          <w:tcPr>
            <w:tcW w:w="17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60" w:type="dxa"/>
            <w:vAlign w:val="bottom"/>
          </w:tcPr>
          <w:p>
            <w:pPr>
              <w:spacing w:after="0"/>
              <w:rPr>
                <w:sz w:val="9"/>
                <w:szCs w:val="9"/>
                <w:color w:val="auto"/>
              </w:rPr>
            </w:pPr>
          </w:p>
        </w:tc>
        <w:tc>
          <w:tcPr>
            <w:tcW w:w="900" w:type="dxa"/>
            <w:vAlign w:val="bottom"/>
            <w:gridSpan w:val="2"/>
          </w:tcPr>
          <w:p>
            <w:pPr>
              <w:jc w:val="center"/>
              <w:ind w:left="126"/>
              <w:spacing w:after="0" w:line="105" w:lineRule="exact"/>
              <w:rPr>
                <w:sz w:val="20"/>
                <w:szCs w:val="20"/>
                <w:color w:val="auto"/>
              </w:rPr>
            </w:pPr>
            <w:r>
              <w:rPr>
                <w:rFonts w:ascii="Arial" w:cs="Arial" w:eastAsia="Arial" w:hAnsi="Arial"/>
                <w:sz w:val="11"/>
                <w:szCs w:val="11"/>
                <w:b w:val="1"/>
                <w:bCs w:val="1"/>
                <w:color w:val="050505"/>
              </w:rPr>
              <w:t>(unaudited)</w:t>
            </w:r>
          </w:p>
        </w:tc>
        <w:tc>
          <w:tcPr>
            <w:tcW w:w="320" w:type="dxa"/>
            <w:vAlign w:val="bottom"/>
          </w:tcPr>
          <w:p>
            <w:pPr>
              <w:spacing w:after="0"/>
              <w:rPr>
                <w:sz w:val="9"/>
                <w:szCs w:val="9"/>
                <w:color w:val="auto"/>
              </w:rPr>
            </w:pPr>
          </w:p>
        </w:tc>
        <w:tc>
          <w:tcPr>
            <w:tcW w:w="20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0" w:type="dxa"/>
            <w:vAlign w:val="bottom"/>
          </w:tcPr>
          <w:p>
            <w:pPr>
              <w:spacing w:after="0"/>
              <w:rPr>
                <w:sz w:val="9"/>
                <w:szCs w:val="9"/>
                <w:color w:val="auto"/>
              </w:rPr>
            </w:pPr>
          </w:p>
        </w:tc>
        <w:tc>
          <w:tcPr>
            <w:tcW w:w="500" w:type="dxa"/>
            <w:vAlign w:val="bottom"/>
          </w:tcPr>
          <w:p>
            <w:pPr>
              <w:spacing w:after="0"/>
              <w:rPr>
                <w:sz w:val="9"/>
                <w:szCs w:val="9"/>
                <w:color w:val="auto"/>
              </w:rPr>
            </w:pPr>
          </w:p>
        </w:tc>
        <w:tc>
          <w:tcPr>
            <w:tcW w:w="200" w:type="dxa"/>
            <w:vAlign w:val="bottom"/>
          </w:tcPr>
          <w:p>
            <w:pPr>
              <w:spacing w:after="0"/>
              <w:rPr>
                <w:sz w:val="9"/>
                <w:szCs w:val="9"/>
                <w:color w:val="auto"/>
              </w:rPr>
            </w:pPr>
          </w:p>
        </w:tc>
        <w:tc>
          <w:tcPr>
            <w:tcW w:w="400" w:type="dxa"/>
            <w:vAlign w:val="bottom"/>
          </w:tcPr>
          <w:p>
            <w:pPr>
              <w:spacing w:after="0"/>
              <w:rPr>
                <w:sz w:val="9"/>
                <w:szCs w:val="9"/>
                <w:color w:val="auto"/>
              </w:rPr>
            </w:pPr>
          </w:p>
        </w:tc>
        <w:tc>
          <w:tcPr>
            <w:tcW w:w="40" w:type="dxa"/>
            <w:vAlign w:val="bottom"/>
          </w:tcPr>
          <w:p>
            <w:pPr>
              <w:spacing w:after="0"/>
              <w:rPr>
                <w:sz w:val="9"/>
                <w:szCs w:val="9"/>
                <w:color w:val="auto"/>
              </w:rPr>
            </w:pPr>
          </w:p>
        </w:tc>
      </w:tr>
      <w:tr>
        <w:trPr>
          <w:trHeight w:val="137"/>
        </w:trPr>
        <w:tc>
          <w:tcPr>
            <w:tcW w:w="17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gridSpan w:val="2"/>
          </w:tcPr>
          <w:p>
            <w:pPr>
              <w:jc w:val="center"/>
              <w:ind w:left="126"/>
              <w:spacing w:after="0"/>
              <w:rPr>
                <w:sz w:val="20"/>
                <w:szCs w:val="20"/>
                <w:color w:val="auto"/>
              </w:rPr>
            </w:pPr>
            <w:r>
              <w:rPr>
                <w:rFonts w:ascii="Arial" w:cs="Arial" w:eastAsia="Arial" w:hAnsi="Arial"/>
                <w:sz w:val="11"/>
                <w:szCs w:val="11"/>
                <w:b w:val="1"/>
                <w:bCs w:val="1"/>
                <w:color w:val="050505"/>
                <w:w w:val="97"/>
              </w:rPr>
              <w:t>(in millions)</w:t>
            </w:r>
          </w:p>
        </w:tc>
        <w:tc>
          <w:tcPr>
            <w:tcW w:w="3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126"/>
        </w:trPr>
        <w:tc>
          <w:tcPr>
            <w:tcW w:w="1700" w:type="dxa"/>
            <w:vAlign w:val="bottom"/>
            <w:shd w:val="clear" w:color="auto" w:fill="CCEEFF"/>
          </w:tcPr>
          <w:p>
            <w:pPr>
              <w:ind w:left="40"/>
              <w:spacing w:after="0" w:line="126" w:lineRule="exact"/>
              <w:rPr>
                <w:sz w:val="20"/>
                <w:szCs w:val="20"/>
                <w:color w:val="auto"/>
              </w:rPr>
            </w:pPr>
            <w:r>
              <w:rPr>
                <w:rFonts w:ascii="Arial" w:cs="Arial" w:eastAsia="Arial" w:hAnsi="Arial"/>
                <w:sz w:val="9"/>
                <w:szCs w:val="9"/>
                <w:color w:val="050505"/>
              </w:rPr>
              <w:t>Content costs for past use</w:t>
            </w:r>
            <w:r>
              <w:rPr>
                <w:rFonts w:ascii="Arial" w:cs="Arial" w:eastAsia="Arial" w:hAnsi="Arial"/>
                <w:sz w:val="14"/>
                <w:szCs w:val="14"/>
                <w:color w:val="050505"/>
                <w:vertAlign w:val="superscript"/>
              </w:rPr>
              <w:t>(1)</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050505"/>
              </w:rPr>
              <w:t>$</w:t>
            </w:r>
          </w:p>
        </w:tc>
        <w:tc>
          <w:tcPr>
            <w:tcW w:w="480" w:type="dxa"/>
            <w:vAlign w:val="bottom"/>
            <w:shd w:val="clear" w:color="auto" w:fill="CCEEFF"/>
          </w:tcPr>
          <w:p>
            <w:pPr>
              <w:jc w:val="right"/>
              <w:ind w:right="46"/>
              <w:spacing w:after="0"/>
              <w:rPr>
                <w:sz w:val="20"/>
                <w:szCs w:val="20"/>
                <w:color w:val="auto"/>
              </w:rPr>
            </w:pPr>
            <w:r>
              <w:rPr>
                <w:rFonts w:ascii="Arial" w:cs="Arial" w:eastAsia="Arial" w:hAnsi="Arial"/>
                <w:sz w:val="11"/>
                <w:szCs w:val="11"/>
                <w:color w:val="050505"/>
              </w:rPr>
              <w:t>3.5</w:t>
            </w:r>
          </w:p>
        </w:tc>
        <w:tc>
          <w:tcPr>
            <w:tcW w:w="200" w:type="dxa"/>
            <w:vAlign w:val="bottom"/>
            <w:shd w:val="clear" w:color="auto" w:fill="CCEEFF"/>
          </w:tcPr>
          <w:p>
            <w:pPr>
              <w:jc w:val="right"/>
              <w:spacing w:after="0"/>
              <w:rPr>
                <w:sz w:val="20"/>
                <w:szCs w:val="20"/>
                <w:color w:val="auto"/>
              </w:rPr>
            </w:pPr>
            <w:r>
              <w:rPr>
                <w:rFonts w:ascii="Arial" w:cs="Arial" w:eastAsia="Arial" w:hAnsi="Arial"/>
                <w:sz w:val="11"/>
                <w:szCs w:val="11"/>
                <w:color w:val="050505"/>
              </w:rPr>
              <w:t>$</w:t>
            </w:r>
          </w:p>
        </w:tc>
        <w:tc>
          <w:tcPr>
            <w:tcW w:w="480" w:type="dxa"/>
            <w:vAlign w:val="bottom"/>
            <w:shd w:val="clear" w:color="auto" w:fill="CCEEFF"/>
          </w:tcPr>
          <w:p>
            <w:pPr>
              <w:jc w:val="right"/>
              <w:ind w:right="46"/>
              <w:spacing w:after="0"/>
              <w:rPr>
                <w:sz w:val="20"/>
                <w:szCs w:val="20"/>
                <w:color w:val="auto"/>
              </w:rPr>
            </w:pPr>
            <w:r>
              <w:rPr>
                <w:rFonts w:ascii="Arial" w:cs="Arial" w:eastAsia="Arial" w:hAnsi="Arial"/>
                <w:sz w:val="11"/>
                <w:szCs w:val="11"/>
                <w:color w:val="050505"/>
              </w:rPr>
              <w:t>1.9</w:t>
            </w:r>
          </w:p>
        </w:tc>
        <w:tc>
          <w:tcPr>
            <w:tcW w:w="200" w:type="dxa"/>
            <w:vAlign w:val="bottom"/>
            <w:shd w:val="clear" w:color="auto" w:fill="CCEEFF"/>
          </w:tcPr>
          <w:p>
            <w:pPr>
              <w:jc w:val="right"/>
              <w:spacing w:after="0"/>
              <w:rPr>
                <w:sz w:val="20"/>
                <w:szCs w:val="20"/>
                <w:color w:val="auto"/>
              </w:rPr>
            </w:pPr>
            <w:r>
              <w:rPr>
                <w:rFonts w:ascii="Arial" w:cs="Arial" w:eastAsia="Arial" w:hAnsi="Arial"/>
                <w:sz w:val="11"/>
                <w:szCs w:val="11"/>
                <w:color w:val="050505"/>
              </w:rPr>
              <w:t>$</w:t>
            </w:r>
          </w:p>
        </w:tc>
        <w:tc>
          <w:tcPr>
            <w:tcW w:w="500" w:type="dxa"/>
            <w:vAlign w:val="bottom"/>
            <w:shd w:val="clear" w:color="auto" w:fill="CCEEFF"/>
          </w:tcPr>
          <w:p>
            <w:pPr>
              <w:jc w:val="right"/>
              <w:ind w:right="46"/>
              <w:spacing w:after="0"/>
              <w:rPr>
                <w:sz w:val="20"/>
                <w:szCs w:val="20"/>
                <w:color w:val="auto"/>
              </w:rPr>
            </w:pPr>
            <w:r>
              <w:rPr>
                <w:rFonts w:ascii="Arial" w:cs="Arial" w:eastAsia="Arial" w:hAnsi="Arial"/>
                <w:sz w:val="11"/>
                <w:szCs w:val="11"/>
                <w:color w:val="050505"/>
              </w:rPr>
              <w:t>6.5</w:t>
            </w:r>
          </w:p>
        </w:tc>
        <w:tc>
          <w:tcPr>
            <w:tcW w:w="160" w:type="dxa"/>
            <w:vAlign w:val="bottom"/>
            <w:shd w:val="clear" w:color="auto" w:fill="CCEEFF"/>
          </w:tcPr>
          <w:p>
            <w:pPr>
              <w:jc w:val="right"/>
              <w:spacing w:after="0"/>
              <w:rPr>
                <w:sz w:val="20"/>
                <w:szCs w:val="20"/>
                <w:color w:val="auto"/>
              </w:rPr>
            </w:pPr>
            <w:r>
              <w:rPr>
                <w:rFonts w:ascii="Arial" w:cs="Arial" w:eastAsia="Arial" w:hAnsi="Arial"/>
                <w:sz w:val="11"/>
                <w:szCs w:val="11"/>
                <w:color w:val="050505"/>
              </w:rPr>
              <w:t>$</w:t>
            </w:r>
          </w:p>
        </w:tc>
        <w:tc>
          <w:tcPr>
            <w:tcW w:w="520" w:type="dxa"/>
            <w:vAlign w:val="bottom"/>
            <w:shd w:val="clear" w:color="auto" w:fill="CCEEFF"/>
          </w:tcPr>
          <w:p>
            <w:pPr>
              <w:jc w:val="right"/>
              <w:ind w:right="46"/>
              <w:spacing w:after="0"/>
              <w:rPr>
                <w:sz w:val="20"/>
                <w:szCs w:val="20"/>
                <w:color w:val="auto"/>
              </w:rPr>
            </w:pPr>
            <w:r>
              <w:rPr>
                <w:rFonts w:ascii="Arial" w:cs="Arial" w:eastAsia="Arial" w:hAnsi="Arial"/>
                <w:sz w:val="11"/>
                <w:szCs w:val="11"/>
                <w:color w:val="050505"/>
              </w:rPr>
              <w:t>2.6</w:t>
            </w:r>
          </w:p>
        </w:tc>
        <w:tc>
          <w:tcPr>
            <w:tcW w:w="380" w:type="dxa"/>
            <w:vAlign w:val="bottom"/>
            <w:shd w:val="clear" w:color="auto" w:fill="CCEEFF"/>
          </w:tcPr>
          <w:p>
            <w:pPr>
              <w:jc w:val="right"/>
              <w:ind w:right="166"/>
              <w:spacing w:after="0"/>
              <w:rPr>
                <w:sz w:val="20"/>
                <w:szCs w:val="20"/>
                <w:color w:val="auto"/>
              </w:rPr>
            </w:pPr>
            <w:r>
              <w:rPr>
                <w:rFonts w:ascii="Arial" w:cs="Arial" w:eastAsia="Arial" w:hAnsi="Arial"/>
                <w:sz w:val="11"/>
                <w:szCs w:val="11"/>
                <w:color w:val="050505"/>
              </w:rPr>
              <w:t>$</w:t>
            </w:r>
          </w:p>
        </w:tc>
        <w:tc>
          <w:tcPr>
            <w:tcW w:w="320" w:type="dxa"/>
            <w:vAlign w:val="bottom"/>
            <w:shd w:val="clear" w:color="auto" w:fill="CCEEFF"/>
          </w:tcPr>
          <w:p>
            <w:pPr>
              <w:jc w:val="right"/>
              <w:ind w:right="46"/>
              <w:spacing w:after="0"/>
              <w:rPr>
                <w:sz w:val="20"/>
                <w:szCs w:val="20"/>
                <w:color w:val="auto"/>
              </w:rPr>
            </w:pPr>
            <w:r>
              <w:rPr>
                <w:rFonts w:ascii="Arial" w:cs="Arial" w:eastAsia="Arial" w:hAnsi="Arial"/>
                <w:sz w:val="11"/>
                <w:szCs w:val="11"/>
                <w:color w:val="050505"/>
              </w:rPr>
              <w:t>2.9</w:t>
            </w:r>
          </w:p>
        </w:tc>
        <w:tc>
          <w:tcPr>
            <w:tcW w:w="200" w:type="dxa"/>
            <w:vAlign w:val="bottom"/>
            <w:shd w:val="clear" w:color="auto" w:fill="CCEEFF"/>
          </w:tcPr>
          <w:p>
            <w:pPr>
              <w:jc w:val="right"/>
              <w:spacing w:after="0"/>
              <w:rPr>
                <w:sz w:val="20"/>
                <w:szCs w:val="20"/>
                <w:color w:val="auto"/>
              </w:rPr>
            </w:pPr>
            <w:r>
              <w:rPr>
                <w:rFonts w:ascii="Arial" w:cs="Arial" w:eastAsia="Arial" w:hAnsi="Arial"/>
                <w:sz w:val="11"/>
                <w:szCs w:val="11"/>
                <w:color w:val="050505"/>
              </w:rPr>
              <w:t>$</w:t>
            </w:r>
          </w:p>
        </w:tc>
        <w:tc>
          <w:tcPr>
            <w:tcW w:w="480" w:type="dxa"/>
            <w:vAlign w:val="bottom"/>
            <w:shd w:val="clear" w:color="auto" w:fill="CCEEFF"/>
          </w:tcPr>
          <w:p>
            <w:pPr>
              <w:jc w:val="right"/>
              <w:ind w:right="46"/>
              <w:spacing w:after="0"/>
              <w:rPr>
                <w:sz w:val="20"/>
                <w:szCs w:val="20"/>
                <w:color w:val="auto"/>
              </w:rPr>
            </w:pPr>
            <w:r>
              <w:rPr>
                <w:rFonts w:ascii="Arial" w:cs="Arial" w:eastAsia="Arial" w:hAnsi="Arial"/>
                <w:sz w:val="11"/>
                <w:szCs w:val="11"/>
                <w:color w:val="050505"/>
              </w:rPr>
              <w:t>2.3</w:t>
            </w:r>
          </w:p>
        </w:tc>
        <w:tc>
          <w:tcPr>
            <w:tcW w:w="200" w:type="dxa"/>
            <w:vAlign w:val="bottom"/>
            <w:shd w:val="clear" w:color="auto" w:fill="CCEEFF"/>
          </w:tcPr>
          <w:p>
            <w:pPr>
              <w:jc w:val="right"/>
              <w:spacing w:after="0"/>
              <w:rPr>
                <w:sz w:val="20"/>
                <w:szCs w:val="20"/>
                <w:color w:val="auto"/>
              </w:rPr>
            </w:pPr>
            <w:r>
              <w:rPr>
                <w:rFonts w:ascii="Arial" w:cs="Arial" w:eastAsia="Arial" w:hAnsi="Arial"/>
                <w:sz w:val="11"/>
                <w:szCs w:val="11"/>
                <w:color w:val="050505"/>
              </w:rPr>
              <w:t>$</w:t>
            </w:r>
          </w:p>
        </w:tc>
        <w:tc>
          <w:tcPr>
            <w:tcW w:w="500" w:type="dxa"/>
            <w:vAlign w:val="bottom"/>
            <w:shd w:val="clear" w:color="auto" w:fill="CCEEFF"/>
          </w:tcPr>
          <w:p>
            <w:pPr>
              <w:jc w:val="right"/>
              <w:ind w:right="46"/>
              <w:spacing w:after="0"/>
              <w:rPr>
                <w:sz w:val="20"/>
                <w:szCs w:val="20"/>
                <w:color w:val="auto"/>
              </w:rPr>
            </w:pPr>
            <w:r>
              <w:rPr>
                <w:rFonts w:ascii="Arial" w:cs="Arial" w:eastAsia="Arial" w:hAnsi="Arial"/>
                <w:sz w:val="11"/>
                <w:szCs w:val="11"/>
                <w:color w:val="050505"/>
              </w:rPr>
              <w:t>11.3</w:t>
            </w:r>
          </w:p>
        </w:tc>
        <w:tc>
          <w:tcPr>
            <w:tcW w:w="200" w:type="dxa"/>
            <w:vAlign w:val="bottom"/>
            <w:shd w:val="clear" w:color="auto" w:fill="CCEEFF"/>
          </w:tcPr>
          <w:p>
            <w:pPr>
              <w:jc w:val="right"/>
              <w:spacing w:after="0"/>
              <w:rPr>
                <w:sz w:val="20"/>
                <w:szCs w:val="20"/>
                <w:color w:val="auto"/>
              </w:rPr>
            </w:pPr>
            <w:r>
              <w:rPr>
                <w:rFonts w:ascii="Arial" w:cs="Arial" w:eastAsia="Arial" w:hAnsi="Arial"/>
                <w:sz w:val="11"/>
                <w:szCs w:val="11"/>
                <w:color w:val="050505"/>
              </w:rPr>
              <w:t>$</w:t>
            </w:r>
          </w:p>
        </w:tc>
        <w:tc>
          <w:tcPr>
            <w:tcW w:w="440" w:type="dxa"/>
            <w:vAlign w:val="bottom"/>
            <w:gridSpan w:val="2"/>
            <w:shd w:val="clear" w:color="auto" w:fill="CCEEFF"/>
          </w:tcPr>
          <w:p>
            <w:pPr>
              <w:ind w:left="280"/>
              <w:spacing w:after="0"/>
              <w:rPr>
                <w:sz w:val="20"/>
                <w:szCs w:val="20"/>
                <w:color w:val="auto"/>
              </w:rPr>
            </w:pPr>
            <w:r>
              <w:rPr>
                <w:rFonts w:ascii="Arial" w:cs="Arial" w:eastAsia="Arial" w:hAnsi="Arial"/>
                <w:sz w:val="11"/>
                <w:szCs w:val="11"/>
                <w:color w:val="050505"/>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1310640</wp:posOffset>
            </wp:positionH>
            <wp:positionV relativeFrom="paragraph">
              <wp:posOffset>57150</wp:posOffset>
            </wp:positionV>
            <wp:extent cx="1212215" cy="571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212215" cy="5715"/>
                    </a:xfrm>
                    <a:prstGeom prst="rect">
                      <a:avLst/>
                    </a:prstGeom>
                    <a:noFill/>
                  </pic:spPr>
                </pic:pic>
              </a:graphicData>
            </a:graphic>
          </wp:anchor>
        </w:drawing>
      </w:r>
    </w:p>
    <w:p>
      <w:pPr>
        <w:spacing w:after="0" w:line="102" w:lineRule="exact"/>
        <w:rPr>
          <w:sz w:val="20"/>
          <w:szCs w:val="20"/>
          <w:color w:val="auto"/>
        </w:rPr>
      </w:pPr>
    </w:p>
    <w:p>
      <w:pPr>
        <w:jc w:val="both"/>
        <w:ind w:left="2280" w:right="839" w:hanging="221"/>
        <w:spacing w:after="0" w:line="245" w:lineRule="auto"/>
        <w:tabs>
          <w:tab w:leader="none" w:pos="2280" w:val="left"/>
        </w:tabs>
        <w:numPr>
          <w:ilvl w:val="0"/>
          <w:numId w:val="52"/>
        </w:numPr>
        <w:rPr>
          <w:rFonts w:ascii="Arial" w:cs="Arial" w:eastAsia="Arial" w:hAnsi="Arial"/>
          <w:sz w:val="8"/>
          <w:szCs w:val="8"/>
          <w:color w:val="050505"/>
        </w:rPr>
      </w:pPr>
      <w:r>
        <w:rPr>
          <w:rFonts w:ascii="Arial" w:cs="Arial" w:eastAsia="Arial" w:hAnsi="Arial"/>
          <w:sz w:val="8"/>
          <w:szCs w:val="8"/>
          <w:color w:val="050505"/>
        </w:rPr>
        <w:t>From time-to-time, we execute music royalty agreements with various music rights holders. As part of these go-forward license agreements, we may also enter into agreements whereby we are released from all potential licensor claims regarding our alleged past use of copyrighted material in our content in exchange for a mutually-agreed payment. We refer to these payments as content costs for past use.</w:t>
      </w:r>
    </w:p>
    <w:p>
      <w:pPr>
        <w:spacing w:after="0" w:line="138" w:lineRule="exact"/>
        <w:rPr>
          <w:sz w:val="20"/>
          <w:szCs w:val="20"/>
          <w:color w:val="auto"/>
        </w:rPr>
      </w:pPr>
    </w:p>
    <w:p>
      <w:pPr>
        <w:jc w:val="both"/>
        <w:ind w:left="2060" w:right="839"/>
        <w:spacing w:after="0" w:line="239" w:lineRule="auto"/>
        <w:rPr>
          <w:sz w:val="20"/>
          <w:szCs w:val="20"/>
          <w:color w:val="auto"/>
        </w:rPr>
      </w:pPr>
      <w:r>
        <w:rPr>
          <w:rFonts w:ascii="Arial" w:cs="Arial" w:eastAsia="Arial" w:hAnsi="Arial"/>
          <w:sz w:val="11"/>
          <w:szCs w:val="11"/>
          <w:color w:val="050505"/>
        </w:rPr>
        <w:t>Our Subscription Contribution Margin has fluctuated over time due, in part, to the variable nature of our content costs for past use. See the section titled “—Content Costs for Past Use.” Excluding content costs for past use, Subscription Contribution increased in each of the quarters presented primarily due to the growth of our Connected Fitness Subscriber base and our continued low Average Net Monthly Connected Fitness Churn. Excluding content costs for past use, Subscription Contribution Margin increased quarterly through September 30, 2018 as we continued to leverage our fixed content costs across our growing Connected Fitness Subscriber base. In the subsequent quarters we began to make significant investments in Tread content, including the leasing of a Tread studio, as well as expansion into new content verticals such as yoga and meditation. Starting in the quarter ended December 31, 2018, our Subscription Contribution costs also include rent expense for our new production studio in New York City, which caused our Subscription Contribution Margin to decline. Starting in the quarter ended March 31, 2019, our Subscription Contribution costs also include rent expense for our new London studio. In the quarter ended June 30, 2019, Subscription Contribution Margin increased and we expect to continue to leverage the largely fixed costs of our studio production as we scale our Connected Fitness Subscriber base.</w:t>
      </w:r>
    </w:p>
    <w:p>
      <w:pPr>
        <w:spacing w:after="0" w:line="100" w:lineRule="exact"/>
        <w:rPr>
          <w:sz w:val="20"/>
          <w:szCs w:val="20"/>
          <w:color w:val="auto"/>
        </w:rPr>
      </w:pPr>
    </w:p>
    <w:p>
      <w:pPr>
        <w:ind w:left="5680"/>
        <w:spacing w:after="0"/>
        <w:rPr>
          <w:sz w:val="20"/>
          <w:szCs w:val="20"/>
          <w:color w:val="auto"/>
        </w:rPr>
      </w:pPr>
      <w:r>
        <w:rPr>
          <w:rFonts w:ascii="Arial" w:cs="Arial" w:eastAsia="Arial" w:hAnsi="Arial"/>
          <w:sz w:val="11"/>
          <w:szCs w:val="11"/>
          <w:color w:val="050505"/>
        </w:rPr>
        <w:t>81</w:t>
      </w:r>
    </w:p>
    <w:p>
      <w:pPr>
        <w:sectPr>
          <w:pgSz w:w="11900" w:h="16838" w:orient="portrait"/>
          <w:cols w:equalWidth="0" w:num="1">
            <w:col w:w="10239"/>
          </w:cols>
          <w:pgMar w:left="220" w:top="354" w:right="1440" w:bottom="1440" w:gutter="0" w:footer="0" w:header="0"/>
        </w:sectPr>
      </w:pPr>
    </w:p>
    <w:bookmarkStart w:id="86" w:name="page87"/>
    <w:bookmarkEnd w:id="86"/>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hyperlink w:anchor="page5">
        <w:r>
          <w:rPr>
            <w:rFonts w:ascii="Arial" w:cs="Arial" w:eastAsia="Arial" w:hAnsi="Arial"/>
            <w:sz w:val="12"/>
            <w:szCs w:val="12"/>
            <w:b w:val="1"/>
            <w:bCs w:val="1"/>
            <w:u w:val="single" w:color="auto"/>
            <w:color w:val="0000EE"/>
          </w:rPr>
          <w:t>Table of Contents</w:t>
        </w:r>
      </w:hyperlink>
    </w:p>
    <w:p>
      <w:pPr>
        <w:spacing w:after="0" w:line="204" w:lineRule="exact"/>
        <w:rPr>
          <w:sz w:val="20"/>
          <w:szCs w:val="20"/>
          <w:color w:val="auto"/>
        </w:rPr>
      </w:pPr>
    </w:p>
    <w:tbl>
      <w:tblPr>
        <w:tblLayout w:type="fixed"/>
        <w:tblInd w:w="2060" w:type="dxa"/>
        <w:tblCellMar>
          <w:top w:w="0" w:type="dxa"/>
          <w:left w:w="0" w:type="dxa"/>
          <w:bottom w:w="0" w:type="dxa"/>
          <w:right w:w="0" w:type="dxa"/>
        </w:tblCellMar>
      </w:tblPr>
      <w:tr>
        <w:trPr>
          <w:trHeight w:val="142"/>
        </w:trPr>
        <w:tc>
          <w:tcPr>
            <w:tcW w:w="1700" w:type="dxa"/>
            <w:vAlign w:val="bottom"/>
          </w:tcPr>
          <w:p>
            <w:pPr>
              <w:spacing w:after="0"/>
              <w:rPr>
                <w:sz w:val="20"/>
                <w:szCs w:val="20"/>
                <w:color w:val="auto"/>
              </w:rPr>
            </w:pPr>
            <w:r>
              <w:rPr>
                <w:rFonts w:ascii="Arial" w:cs="Arial" w:eastAsia="Arial" w:hAnsi="Arial"/>
                <w:sz w:val="11"/>
                <w:szCs w:val="11"/>
                <w:b w:val="1"/>
                <w:bCs w:val="1"/>
                <w:i w:val="1"/>
                <w:iCs w:val="1"/>
                <w:color w:val="auto"/>
              </w:rPr>
              <w:t>Content Costs for Past Use</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98"/>
        </w:trPr>
        <w:tc>
          <w:tcPr>
            <w:tcW w:w="5040" w:type="dxa"/>
            <w:vAlign w:val="bottom"/>
            <w:gridSpan w:val="11"/>
          </w:tcPr>
          <w:p>
            <w:pPr>
              <w:spacing w:after="0"/>
              <w:rPr>
                <w:sz w:val="20"/>
                <w:szCs w:val="20"/>
                <w:color w:val="auto"/>
              </w:rPr>
            </w:pPr>
            <w:r>
              <w:rPr>
                <w:rFonts w:ascii="Arial" w:cs="Arial" w:eastAsia="Arial" w:hAnsi="Arial"/>
                <w:sz w:val="11"/>
                <w:szCs w:val="11"/>
                <w:color w:val="050505"/>
                <w:w w:val="98"/>
              </w:rPr>
              <w:t>Included within Adjusted EBITDA and Subscription Contribution are content costs for past use as follows:</w:t>
            </w: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20"/>
        </w:trPr>
        <w:tc>
          <w:tcPr>
            <w:tcW w:w="17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gridSpan w:val="3"/>
          </w:tcPr>
          <w:p>
            <w:pPr>
              <w:jc w:val="center"/>
              <w:ind w:right="86"/>
              <w:spacing w:after="0"/>
              <w:rPr>
                <w:sz w:val="20"/>
                <w:szCs w:val="20"/>
                <w:color w:val="auto"/>
              </w:rPr>
            </w:pPr>
            <w:r>
              <w:rPr>
                <w:rFonts w:ascii="Arial" w:cs="Arial" w:eastAsia="Arial" w:hAnsi="Arial"/>
                <w:sz w:val="11"/>
                <w:szCs w:val="11"/>
                <w:b w:val="1"/>
                <w:bCs w:val="1"/>
                <w:color w:val="050505"/>
                <w:w w:val="99"/>
              </w:rPr>
              <w:t>Three Months Ended</w:t>
            </w:r>
          </w:p>
        </w:tc>
        <w:tc>
          <w:tcPr>
            <w:tcW w:w="2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r>
      <w:tr>
        <w:trPr>
          <w:trHeight w:val="104"/>
        </w:trPr>
        <w:tc>
          <w:tcPr>
            <w:tcW w:w="1700" w:type="dxa"/>
            <w:vAlign w:val="bottom"/>
          </w:tcPr>
          <w:p>
            <w:pPr>
              <w:spacing w:after="0"/>
              <w:rPr>
                <w:sz w:val="9"/>
                <w:szCs w:val="9"/>
                <w:color w:val="auto"/>
              </w:rPr>
            </w:pPr>
          </w:p>
        </w:tc>
        <w:tc>
          <w:tcPr>
            <w:tcW w:w="300" w:type="dxa"/>
            <w:vAlign w:val="bottom"/>
          </w:tcPr>
          <w:p>
            <w:pPr>
              <w:spacing w:after="0"/>
              <w:rPr>
                <w:sz w:val="9"/>
                <w:szCs w:val="9"/>
                <w:color w:val="auto"/>
              </w:rPr>
            </w:pPr>
          </w:p>
        </w:tc>
        <w:tc>
          <w:tcPr>
            <w:tcW w:w="580" w:type="dxa"/>
            <w:vAlign w:val="bottom"/>
            <w:gridSpan w:val="2"/>
          </w:tcPr>
          <w:p>
            <w:pPr>
              <w:jc w:val="center"/>
              <w:ind w:right="46"/>
              <w:spacing w:after="0" w:line="105" w:lineRule="exact"/>
              <w:rPr>
                <w:sz w:val="20"/>
                <w:szCs w:val="20"/>
                <w:color w:val="auto"/>
              </w:rPr>
            </w:pPr>
            <w:r>
              <w:rPr>
                <w:rFonts w:ascii="Arial" w:cs="Arial" w:eastAsia="Arial" w:hAnsi="Arial"/>
                <w:sz w:val="11"/>
                <w:szCs w:val="11"/>
                <w:b w:val="1"/>
                <w:bCs w:val="1"/>
                <w:color w:val="050505"/>
                <w:w w:val="96"/>
              </w:rPr>
              <w:t>Sep. 30,</w:t>
            </w:r>
          </w:p>
        </w:tc>
        <w:tc>
          <w:tcPr>
            <w:tcW w:w="680" w:type="dxa"/>
            <w:vAlign w:val="bottom"/>
            <w:gridSpan w:val="2"/>
          </w:tcPr>
          <w:p>
            <w:pPr>
              <w:jc w:val="center"/>
              <w:spacing w:after="0" w:line="105" w:lineRule="exact"/>
              <w:rPr>
                <w:sz w:val="20"/>
                <w:szCs w:val="20"/>
                <w:color w:val="auto"/>
              </w:rPr>
            </w:pPr>
            <w:r>
              <w:rPr>
                <w:rFonts w:ascii="Arial" w:cs="Arial" w:eastAsia="Arial" w:hAnsi="Arial"/>
                <w:sz w:val="11"/>
                <w:szCs w:val="11"/>
                <w:b w:val="1"/>
                <w:bCs w:val="1"/>
                <w:color w:val="050505"/>
              </w:rPr>
              <w:t>Dec. 31,</w:t>
            </w:r>
          </w:p>
        </w:tc>
        <w:tc>
          <w:tcPr>
            <w:tcW w:w="700" w:type="dxa"/>
            <w:vAlign w:val="bottom"/>
            <w:gridSpan w:val="2"/>
          </w:tcPr>
          <w:p>
            <w:pPr>
              <w:jc w:val="center"/>
              <w:spacing w:after="0" w:line="105" w:lineRule="exact"/>
              <w:rPr>
                <w:sz w:val="20"/>
                <w:szCs w:val="20"/>
                <w:color w:val="auto"/>
              </w:rPr>
            </w:pPr>
            <w:r>
              <w:rPr>
                <w:rFonts w:ascii="Arial" w:cs="Arial" w:eastAsia="Arial" w:hAnsi="Arial"/>
                <w:sz w:val="11"/>
                <w:szCs w:val="11"/>
                <w:b w:val="1"/>
                <w:bCs w:val="1"/>
                <w:color w:val="050505"/>
                <w:w w:val="92"/>
              </w:rPr>
              <w:t>Mar. 31,</w:t>
            </w:r>
          </w:p>
        </w:tc>
        <w:tc>
          <w:tcPr>
            <w:tcW w:w="680" w:type="dxa"/>
            <w:vAlign w:val="bottom"/>
            <w:gridSpan w:val="2"/>
          </w:tcPr>
          <w:p>
            <w:pPr>
              <w:jc w:val="center"/>
              <w:spacing w:after="0" w:line="105" w:lineRule="exact"/>
              <w:rPr>
                <w:sz w:val="20"/>
                <w:szCs w:val="20"/>
                <w:color w:val="auto"/>
              </w:rPr>
            </w:pPr>
            <w:r>
              <w:rPr>
                <w:rFonts w:ascii="Arial" w:cs="Arial" w:eastAsia="Arial" w:hAnsi="Arial"/>
                <w:sz w:val="11"/>
                <w:szCs w:val="11"/>
                <w:b w:val="1"/>
                <w:bCs w:val="1"/>
                <w:color w:val="050505"/>
                <w:w w:val="97"/>
              </w:rPr>
              <w:t>Jun. 30,</w:t>
            </w:r>
          </w:p>
        </w:tc>
        <w:tc>
          <w:tcPr>
            <w:tcW w:w="700" w:type="dxa"/>
            <w:vAlign w:val="bottom"/>
            <w:gridSpan w:val="2"/>
          </w:tcPr>
          <w:p>
            <w:pPr>
              <w:jc w:val="center"/>
              <w:spacing w:after="0" w:line="105" w:lineRule="exact"/>
              <w:rPr>
                <w:sz w:val="20"/>
                <w:szCs w:val="20"/>
                <w:color w:val="auto"/>
              </w:rPr>
            </w:pPr>
            <w:r>
              <w:rPr>
                <w:rFonts w:ascii="Arial" w:cs="Arial" w:eastAsia="Arial" w:hAnsi="Arial"/>
                <w:sz w:val="11"/>
                <w:szCs w:val="11"/>
                <w:b w:val="1"/>
                <w:bCs w:val="1"/>
                <w:color w:val="050505"/>
              </w:rPr>
              <w:t>Sep. 30,</w:t>
            </w:r>
          </w:p>
        </w:tc>
        <w:tc>
          <w:tcPr>
            <w:tcW w:w="680" w:type="dxa"/>
            <w:vAlign w:val="bottom"/>
            <w:gridSpan w:val="2"/>
          </w:tcPr>
          <w:p>
            <w:pPr>
              <w:jc w:val="center"/>
              <w:spacing w:after="0" w:line="105" w:lineRule="exact"/>
              <w:rPr>
                <w:sz w:val="20"/>
                <w:szCs w:val="20"/>
                <w:color w:val="auto"/>
              </w:rPr>
            </w:pPr>
            <w:r>
              <w:rPr>
                <w:rFonts w:ascii="Arial" w:cs="Arial" w:eastAsia="Arial" w:hAnsi="Arial"/>
                <w:sz w:val="11"/>
                <w:szCs w:val="11"/>
                <w:b w:val="1"/>
                <w:bCs w:val="1"/>
                <w:color w:val="050505"/>
                <w:w w:val="96"/>
              </w:rPr>
              <w:t>Dec. 31,</w:t>
            </w:r>
          </w:p>
        </w:tc>
        <w:tc>
          <w:tcPr>
            <w:tcW w:w="700" w:type="dxa"/>
            <w:vAlign w:val="bottom"/>
            <w:gridSpan w:val="2"/>
          </w:tcPr>
          <w:p>
            <w:pPr>
              <w:jc w:val="center"/>
              <w:spacing w:after="0" w:line="105" w:lineRule="exact"/>
              <w:rPr>
                <w:sz w:val="20"/>
                <w:szCs w:val="20"/>
                <w:color w:val="auto"/>
              </w:rPr>
            </w:pPr>
            <w:r>
              <w:rPr>
                <w:rFonts w:ascii="Arial" w:cs="Arial" w:eastAsia="Arial" w:hAnsi="Arial"/>
                <w:sz w:val="11"/>
                <w:szCs w:val="11"/>
                <w:b w:val="1"/>
                <w:bCs w:val="1"/>
                <w:color w:val="050505"/>
                <w:w w:val="97"/>
              </w:rPr>
              <w:t>Mar. 31,</w:t>
            </w:r>
          </w:p>
        </w:tc>
        <w:tc>
          <w:tcPr>
            <w:tcW w:w="600" w:type="dxa"/>
            <w:vAlign w:val="bottom"/>
            <w:gridSpan w:val="2"/>
          </w:tcPr>
          <w:p>
            <w:pPr>
              <w:jc w:val="center"/>
              <w:ind w:left="46"/>
              <w:spacing w:after="0" w:line="105" w:lineRule="exact"/>
              <w:rPr>
                <w:sz w:val="20"/>
                <w:szCs w:val="20"/>
                <w:color w:val="auto"/>
              </w:rPr>
            </w:pPr>
            <w:r>
              <w:rPr>
                <w:rFonts w:ascii="Arial" w:cs="Arial" w:eastAsia="Arial" w:hAnsi="Arial"/>
                <w:sz w:val="11"/>
                <w:szCs w:val="11"/>
                <w:b w:val="1"/>
                <w:bCs w:val="1"/>
                <w:color w:val="050505"/>
              </w:rPr>
              <w:t>Jun. 30,</w:t>
            </w:r>
          </w:p>
        </w:tc>
        <w:tc>
          <w:tcPr>
            <w:tcW w:w="40" w:type="dxa"/>
            <w:vAlign w:val="bottom"/>
          </w:tcPr>
          <w:p>
            <w:pPr>
              <w:spacing w:after="0"/>
              <w:rPr>
                <w:sz w:val="9"/>
                <w:szCs w:val="9"/>
                <w:color w:val="auto"/>
              </w:rPr>
            </w:pPr>
          </w:p>
        </w:tc>
      </w:tr>
      <w:tr>
        <w:trPr>
          <w:trHeight w:val="137"/>
        </w:trPr>
        <w:tc>
          <w:tcPr>
            <w:tcW w:w="17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jc w:val="right"/>
              <w:ind w:right="166"/>
              <w:spacing w:after="0"/>
              <w:rPr>
                <w:sz w:val="20"/>
                <w:szCs w:val="20"/>
                <w:color w:val="auto"/>
              </w:rPr>
            </w:pPr>
            <w:r>
              <w:rPr>
                <w:rFonts w:ascii="Arial" w:cs="Arial" w:eastAsia="Arial" w:hAnsi="Arial"/>
                <w:sz w:val="11"/>
                <w:szCs w:val="11"/>
                <w:b w:val="1"/>
                <w:bCs w:val="1"/>
                <w:color w:val="050505"/>
                <w:w w:val="97"/>
              </w:rPr>
              <w:t>2017</w:t>
            </w:r>
          </w:p>
        </w:tc>
        <w:tc>
          <w:tcPr>
            <w:tcW w:w="20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jc w:val="right"/>
              <w:ind w:right="166"/>
              <w:spacing w:after="0"/>
              <w:rPr>
                <w:sz w:val="20"/>
                <w:szCs w:val="20"/>
                <w:color w:val="auto"/>
              </w:rPr>
            </w:pPr>
            <w:r>
              <w:rPr>
                <w:rFonts w:ascii="Arial" w:cs="Arial" w:eastAsia="Arial" w:hAnsi="Arial"/>
                <w:sz w:val="11"/>
                <w:szCs w:val="11"/>
                <w:b w:val="1"/>
                <w:bCs w:val="1"/>
                <w:color w:val="050505"/>
                <w:w w:val="97"/>
              </w:rPr>
              <w:t>2017</w:t>
            </w:r>
          </w:p>
        </w:tc>
        <w:tc>
          <w:tcPr>
            <w:tcW w:w="20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jc w:val="right"/>
              <w:ind w:right="166"/>
              <w:spacing w:after="0"/>
              <w:rPr>
                <w:sz w:val="20"/>
                <w:szCs w:val="20"/>
                <w:color w:val="auto"/>
              </w:rPr>
            </w:pPr>
            <w:r>
              <w:rPr>
                <w:rFonts w:ascii="Arial" w:cs="Arial" w:eastAsia="Arial" w:hAnsi="Arial"/>
                <w:sz w:val="11"/>
                <w:szCs w:val="11"/>
                <w:b w:val="1"/>
                <w:bCs w:val="1"/>
                <w:color w:val="050505"/>
              </w:rPr>
              <w:t>2018</w:t>
            </w:r>
          </w:p>
        </w:tc>
        <w:tc>
          <w:tcPr>
            <w:tcW w:w="16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jc w:val="right"/>
              <w:ind w:right="166"/>
              <w:spacing w:after="0"/>
              <w:rPr>
                <w:sz w:val="20"/>
                <w:szCs w:val="20"/>
                <w:color w:val="auto"/>
              </w:rPr>
            </w:pPr>
            <w:r>
              <w:rPr>
                <w:rFonts w:ascii="Arial" w:cs="Arial" w:eastAsia="Arial" w:hAnsi="Arial"/>
                <w:sz w:val="11"/>
                <w:szCs w:val="11"/>
                <w:b w:val="1"/>
                <w:bCs w:val="1"/>
                <w:color w:val="050505"/>
              </w:rPr>
              <w:t>2018</w:t>
            </w:r>
          </w:p>
        </w:tc>
        <w:tc>
          <w:tcPr>
            <w:tcW w:w="700" w:type="dxa"/>
            <w:vAlign w:val="bottom"/>
            <w:tcBorders>
              <w:bottom w:val="single" w:sz="8" w:color="auto"/>
            </w:tcBorders>
            <w:gridSpan w:val="2"/>
          </w:tcPr>
          <w:p>
            <w:pPr>
              <w:jc w:val="right"/>
              <w:ind w:right="186"/>
              <w:spacing w:after="0"/>
              <w:rPr>
                <w:sz w:val="20"/>
                <w:szCs w:val="20"/>
                <w:color w:val="auto"/>
              </w:rPr>
            </w:pPr>
            <w:r>
              <w:rPr>
                <w:rFonts w:ascii="Arial" w:cs="Arial" w:eastAsia="Arial" w:hAnsi="Arial"/>
                <w:sz w:val="11"/>
                <w:szCs w:val="11"/>
                <w:b w:val="1"/>
                <w:bCs w:val="1"/>
                <w:color w:val="050505"/>
              </w:rPr>
              <w:t>2018</w:t>
            </w:r>
          </w:p>
        </w:tc>
        <w:tc>
          <w:tcPr>
            <w:tcW w:w="20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jc w:val="right"/>
              <w:ind w:right="166"/>
              <w:spacing w:after="0"/>
              <w:rPr>
                <w:sz w:val="20"/>
                <w:szCs w:val="20"/>
                <w:color w:val="auto"/>
              </w:rPr>
            </w:pPr>
            <w:r>
              <w:rPr>
                <w:rFonts w:ascii="Arial" w:cs="Arial" w:eastAsia="Arial" w:hAnsi="Arial"/>
                <w:sz w:val="11"/>
                <w:szCs w:val="11"/>
                <w:b w:val="1"/>
                <w:bCs w:val="1"/>
                <w:color w:val="050505"/>
                <w:w w:val="97"/>
              </w:rPr>
              <w:t>2018</w:t>
            </w:r>
          </w:p>
        </w:tc>
        <w:tc>
          <w:tcPr>
            <w:tcW w:w="20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jc w:val="right"/>
              <w:ind w:right="166"/>
              <w:spacing w:after="0"/>
              <w:rPr>
                <w:sz w:val="20"/>
                <w:szCs w:val="20"/>
                <w:color w:val="auto"/>
              </w:rPr>
            </w:pPr>
            <w:r>
              <w:rPr>
                <w:rFonts w:ascii="Arial" w:cs="Arial" w:eastAsia="Arial" w:hAnsi="Arial"/>
                <w:sz w:val="11"/>
                <w:szCs w:val="11"/>
                <w:b w:val="1"/>
                <w:bCs w:val="1"/>
                <w:color w:val="050505"/>
              </w:rPr>
              <w:t>2019</w:t>
            </w:r>
          </w:p>
        </w:tc>
        <w:tc>
          <w:tcPr>
            <w:tcW w:w="20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b w:val="1"/>
                <w:bCs w:val="1"/>
                <w:color w:val="050505"/>
                <w:w w:val="97"/>
              </w:rPr>
              <w:t>2019</w:t>
            </w:r>
          </w:p>
        </w:tc>
        <w:tc>
          <w:tcPr>
            <w:tcW w:w="40" w:type="dxa"/>
            <w:vAlign w:val="bottom"/>
          </w:tcPr>
          <w:p>
            <w:pPr>
              <w:spacing w:after="0"/>
              <w:rPr>
                <w:sz w:val="11"/>
                <w:szCs w:val="11"/>
                <w:color w:val="auto"/>
              </w:rPr>
            </w:pPr>
          </w:p>
        </w:tc>
      </w:tr>
      <w:tr>
        <w:trPr>
          <w:trHeight w:val="104"/>
        </w:trPr>
        <w:tc>
          <w:tcPr>
            <w:tcW w:w="17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60" w:type="dxa"/>
            <w:vAlign w:val="bottom"/>
          </w:tcPr>
          <w:p>
            <w:pPr>
              <w:spacing w:after="0"/>
              <w:rPr>
                <w:sz w:val="9"/>
                <w:szCs w:val="9"/>
                <w:color w:val="auto"/>
              </w:rPr>
            </w:pPr>
          </w:p>
        </w:tc>
        <w:tc>
          <w:tcPr>
            <w:tcW w:w="920" w:type="dxa"/>
            <w:vAlign w:val="bottom"/>
            <w:gridSpan w:val="2"/>
          </w:tcPr>
          <w:p>
            <w:pPr>
              <w:jc w:val="center"/>
              <w:ind w:left="106"/>
              <w:spacing w:after="0" w:line="105" w:lineRule="exact"/>
              <w:rPr>
                <w:sz w:val="20"/>
                <w:szCs w:val="20"/>
                <w:color w:val="auto"/>
              </w:rPr>
            </w:pPr>
            <w:r>
              <w:rPr>
                <w:rFonts w:ascii="Arial" w:cs="Arial" w:eastAsia="Arial" w:hAnsi="Arial"/>
                <w:sz w:val="11"/>
                <w:szCs w:val="11"/>
                <w:b w:val="1"/>
                <w:bCs w:val="1"/>
                <w:color w:val="050505"/>
              </w:rPr>
              <w:t>(unaudited)</w:t>
            </w:r>
          </w:p>
        </w:tc>
        <w:tc>
          <w:tcPr>
            <w:tcW w:w="300" w:type="dxa"/>
            <w:vAlign w:val="bottom"/>
          </w:tcPr>
          <w:p>
            <w:pPr>
              <w:spacing w:after="0"/>
              <w:rPr>
                <w:sz w:val="9"/>
                <w:szCs w:val="9"/>
                <w:color w:val="auto"/>
              </w:rPr>
            </w:pPr>
          </w:p>
        </w:tc>
        <w:tc>
          <w:tcPr>
            <w:tcW w:w="20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0" w:type="dxa"/>
            <w:vAlign w:val="bottom"/>
          </w:tcPr>
          <w:p>
            <w:pPr>
              <w:spacing w:after="0"/>
              <w:rPr>
                <w:sz w:val="9"/>
                <w:szCs w:val="9"/>
                <w:color w:val="auto"/>
              </w:rPr>
            </w:pPr>
          </w:p>
        </w:tc>
        <w:tc>
          <w:tcPr>
            <w:tcW w:w="500" w:type="dxa"/>
            <w:vAlign w:val="bottom"/>
          </w:tcPr>
          <w:p>
            <w:pPr>
              <w:spacing w:after="0"/>
              <w:rPr>
                <w:sz w:val="9"/>
                <w:szCs w:val="9"/>
                <w:color w:val="auto"/>
              </w:rPr>
            </w:pPr>
          </w:p>
        </w:tc>
        <w:tc>
          <w:tcPr>
            <w:tcW w:w="200" w:type="dxa"/>
            <w:vAlign w:val="bottom"/>
          </w:tcPr>
          <w:p>
            <w:pPr>
              <w:spacing w:after="0"/>
              <w:rPr>
                <w:sz w:val="9"/>
                <w:szCs w:val="9"/>
                <w:color w:val="auto"/>
              </w:rPr>
            </w:pPr>
          </w:p>
        </w:tc>
        <w:tc>
          <w:tcPr>
            <w:tcW w:w="400" w:type="dxa"/>
            <w:vAlign w:val="bottom"/>
          </w:tcPr>
          <w:p>
            <w:pPr>
              <w:spacing w:after="0"/>
              <w:rPr>
                <w:sz w:val="9"/>
                <w:szCs w:val="9"/>
                <w:color w:val="auto"/>
              </w:rPr>
            </w:pPr>
          </w:p>
        </w:tc>
        <w:tc>
          <w:tcPr>
            <w:tcW w:w="40" w:type="dxa"/>
            <w:vAlign w:val="bottom"/>
          </w:tcPr>
          <w:p>
            <w:pPr>
              <w:spacing w:after="0"/>
              <w:rPr>
                <w:sz w:val="9"/>
                <w:szCs w:val="9"/>
                <w:color w:val="auto"/>
              </w:rPr>
            </w:pPr>
          </w:p>
        </w:tc>
      </w:tr>
      <w:tr>
        <w:trPr>
          <w:trHeight w:val="137"/>
        </w:trPr>
        <w:tc>
          <w:tcPr>
            <w:tcW w:w="17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20" w:type="dxa"/>
            <w:vAlign w:val="bottom"/>
            <w:gridSpan w:val="2"/>
          </w:tcPr>
          <w:p>
            <w:pPr>
              <w:jc w:val="center"/>
              <w:ind w:left="106"/>
              <w:spacing w:after="0"/>
              <w:rPr>
                <w:sz w:val="20"/>
                <w:szCs w:val="20"/>
                <w:color w:val="auto"/>
              </w:rPr>
            </w:pPr>
            <w:r>
              <w:rPr>
                <w:rFonts w:ascii="Arial" w:cs="Arial" w:eastAsia="Arial" w:hAnsi="Arial"/>
                <w:sz w:val="11"/>
                <w:szCs w:val="11"/>
                <w:b w:val="1"/>
                <w:bCs w:val="1"/>
                <w:color w:val="050505"/>
                <w:w w:val="97"/>
              </w:rPr>
              <w:t>(in millions)</w:t>
            </w:r>
          </w:p>
        </w:tc>
        <w:tc>
          <w:tcPr>
            <w:tcW w:w="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126"/>
        </w:trPr>
        <w:tc>
          <w:tcPr>
            <w:tcW w:w="1700" w:type="dxa"/>
            <w:vAlign w:val="bottom"/>
            <w:shd w:val="clear" w:color="auto" w:fill="CCEEFF"/>
          </w:tcPr>
          <w:p>
            <w:pPr>
              <w:ind w:left="40"/>
              <w:spacing w:after="0"/>
              <w:rPr>
                <w:sz w:val="20"/>
                <w:szCs w:val="20"/>
                <w:color w:val="auto"/>
              </w:rPr>
            </w:pPr>
            <w:r>
              <w:rPr>
                <w:rFonts w:ascii="Arial" w:cs="Arial" w:eastAsia="Arial" w:hAnsi="Arial"/>
                <w:sz w:val="11"/>
                <w:szCs w:val="11"/>
                <w:color w:val="050505"/>
              </w:rPr>
              <w:t>Content costs for past use</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050505"/>
              </w:rPr>
              <w:t>$</w:t>
            </w:r>
          </w:p>
        </w:tc>
        <w:tc>
          <w:tcPr>
            <w:tcW w:w="480" w:type="dxa"/>
            <w:vAlign w:val="bottom"/>
            <w:shd w:val="clear" w:color="auto" w:fill="CCEEFF"/>
          </w:tcPr>
          <w:p>
            <w:pPr>
              <w:jc w:val="right"/>
              <w:ind w:right="46"/>
              <w:spacing w:after="0"/>
              <w:rPr>
                <w:sz w:val="20"/>
                <w:szCs w:val="20"/>
                <w:color w:val="auto"/>
              </w:rPr>
            </w:pPr>
            <w:r>
              <w:rPr>
                <w:rFonts w:ascii="Arial" w:cs="Arial" w:eastAsia="Arial" w:hAnsi="Arial"/>
                <w:sz w:val="11"/>
                <w:szCs w:val="11"/>
                <w:color w:val="050505"/>
              </w:rPr>
              <w:t>3.5</w:t>
            </w:r>
          </w:p>
        </w:tc>
        <w:tc>
          <w:tcPr>
            <w:tcW w:w="200" w:type="dxa"/>
            <w:vAlign w:val="bottom"/>
            <w:shd w:val="clear" w:color="auto" w:fill="CCEEFF"/>
          </w:tcPr>
          <w:p>
            <w:pPr>
              <w:jc w:val="right"/>
              <w:spacing w:after="0"/>
              <w:rPr>
                <w:sz w:val="20"/>
                <w:szCs w:val="20"/>
                <w:color w:val="auto"/>
              </w:rPr>
            </w:pPr>
            <w:r>
              <w:rPr>
                <w:rFonts w:ascii="Arial" w:cs="Arial" w:eastAsia="Arial" w:hAnsi="Arial"/>
                <w:sz w:val="11"/>
                <w:szCs w:val="11"/>
                <w:color w:val="050505"/>
              </w:rPr>
              <w:t>$</w:t>
            </w:r>
          </w:p>
        </w:tc>
        <w:tc>
          <w:tcPr>
            <w:tcW w:w="480" w:type="dxa"/>
            <w:vAlign w:val="bottom"/>
            <w:shd w:val="clear" w:color="auto" w:fill="CCEEFF"/>
          </w:tcPr>
          <w:p>
            <w:pPr>
              <w:jc w:val="right"/>
              <w:ind w:right="46"/>
              <w:spacing w:after="0"/>
              <w:rPr>
                <w:sz w:val="20"/>
                <w:szCs w:val="20"/>
                <w:color w:val="auto"/>
              </w:rPr>
            </w:pPr>
            <w:r>
              <w:rPr>
                <w:rFonts w:ascii="Arial" w:cs="Arial" w:eastAsia="Arial" w:hAnsi="Arial"/>
                <w:sz w:val="11"/>
                <w:szCs w:val="11"/>
                <w:color w:val="050505"/>
              </w:rPr>
              <w:t>1.9</w:t>
            </w:r>
          </w:p>
        </w:tc>
        <w:tc>
          <w:tcPr>
            <w:tcW w:w="200" w:type="dxa"/>
            <w:vAlign w:val="bottom"/>
            <w:shd w:val="clear" w:color="auto" w:fill="CCEEFF"/>
          </w:tcPr>
          <w:p>
            <w:pPr>
              <w:jc w:val="right"/>
              <w:spacing w:after="0"/>
              <w:rPr>
                <w:sz w:val="20"/>
                <w:szCs w:val="20"/>
                <w:color w:val="auto"/>
              </w:rPr>
            </w:pPr>
            <w:r>
              <w:rPr>
                <w:rFonts w:ascii="Arial" w:cs="Arial" w:eastAsia="Arial" w:hAnsi="Arial"/>
                <w:sz w:val="11"/>
                <w:szCs w:val="11"/>
                <w:color w:val="050505"/>
              </w:rPr>
              <w:t>$</w:t>
            </w:r>
          </w:p>
        </w:tc>
        <w:tc>
          <w:tcPr>
            <w:tcW w:w="500" w:type="dxa"/>
            <w:vAlign w:val="bottom"/>
            <w:shd w:val="clear" w:color="auto" w:fill="CCEEFF"/>
          </w:tcPr>
          <w:p>
            <w:pPr>
              <w:jc w:val="right"/>
              <w:ind w:right="46"/>
              <w:spacing w:after="0"/>
              <w:rPr>
                <w:sz w:val="20"/>
                <w:szCs w:val="20"/>
                <w:color w:val="auto"/>
              </w:rPr>
            </w:pPr>
            <w:r>
              <w:rPr>
                <w:rFonts w:ascii="Arial" w:cs="Arial" w:eastAsia="Arial" w:hAnsi="Arial"/>
                <w:sz w:val="11"/>
                <w:szCs w:val="11"/>
                <w:color w:val="050505"/>
              </w:rPr>
              <w:t>6.5</w:t>
            </w:r>
          </w:p>
        </w:tc>
        <w:tc>
          <w:tcPr>
            <w:tcW w:w="160" w:type="dxa"/>
            <w:vAlign w:val="bottom"/>
            <w:shd w:val="clear" w:color="auto" w:fill="CCEEFF"/>
          </w:tcPr>
          <w:p>
            <w:pPr>
              <w:jc w:val="right"/>
              <w:spacing w:after="0"/>
              <w:rPr>
                <w:sz w:val="20"/>
                <w:szCs w:val="20"/>
                <w:color w:val="auto"/>
              </w:rPr>
            </w:pPr>
            <w:r>
              <w:rPr>
                <w:rFonts w:ascii="Arial" w:cs="Arial" w:eastAsia="Arial" w:hAnsi="Arial"/>
                <w:sz w:val="11"/>
                <w:szCs w:val="11"/>
                <w:color w:val="050505"/>
              </w:rPr>
              <w:t>$</w:t>
            </w:r>
          </w:p>
        </w:tc>
        <w:tc>
          <w:tcPr>
            <w:tcW w:w="520" w:type="dxa"/>
            <w:vAlign w:val="bottom"/>
            <w:shd w:val="clear" w:color="auto" w:fill="CCEEFF"/>
          </w:tcPr>
          <w:p>
            <w:pPr>
              <w:jc w:val="right"/>
              <w:ind w:right="46"/>
              <w:spacing w:after="0"/>
              <w:rPr>
                <w:sz w:val="20"/>
                <w:szCs w:val="20"/>
                <w:color w:val="auto"/>
              </w:rPr>
            </w:pPr>
            <w:r>
              <w:rPr>
                <w:rFonts w:ascii="Arial" w:cs="Arial" w:eastAsia="Arial" w:hAnsi="Arial"/>
                <w:sz w:val="11"/>
                <w:szCs w:val="11"/>
                <w:color w:val="050505"/>
              </w:rPr>
              <w:t>2.6</w:t>
            </w:r>
          </w:p>
        </w:tc>
        <w:tc>
          <w:tcPr>
            <w:tcW w:w="400" w:type="dxa"/>
            <w:vAlign w:val="bottom"/>
            <w:shd w:val="clear" w:color="auto" w:fill="CCEEFF"/>
          </w:tcPr>
          <w:p>
            <w:pPr>
              <w:jc w:val="right"/>
              <w:ind w:right="186"/>
              <w:spacing w:after="0"/>
              <w:rPr>
                <w:sz w:val="20"/>
                <w:szCs w:val="20"/>
                <w:color w:val="auto"/>
              </w:rPr>
            </w:pPr>
            <w:r>
              <w:rPr>
                <w:rFonts w:ascii="Arial" w:cs="Arial" w:eastAsia="Arial" w:hAnsi="Arial"/>
                <w:sz w:val="11"/>
                <w:szCs w:val="11"/>
                <w:color w:val="050505"/>
              </w:rPr>
              <w:t>$</w:t>
            </w:r>
          </w:p>
        </w:tc>
        <w:tc>
          <w:tcPr>
            <w:tcW w:w="300" w:type="dxa"/>
            <w:vAlign w:val="bottom"/>
            <w:shd w:val="clear" w:color="auto" w:fill="CCEEFF"/>
          </w:tcPr>
          <w:p>
            <w:pPr>
              <w:jc w:val="right"/>
              <w:ind w:right="46"/>
              <w:spacing w:after="0"/>
              <w:rPr>
                <w:sz w:val="20"/>
                <w:szCs w:val="20"/>
                <w:color w:val="auto"/>
              </w:rPr>
            </w:pPr>
            <w:r>
              <w:rPr>
                <w:rFonts w:ascii="Arial" w:cs="Arial" w:eastAsia="Arial" w:hAnsi="Arial"/>
                <w:sz w:val="11"/>
                <w:szCs w:val="11"/>
                <w:color w:val="050505"/>
              </w:rPr>
              <w:t>2.9</w:t>
            </w:r>
          </w:p>
        </w:tc>
        <w:tc>
          <w:tcPr>
            <w:tcW w:w="200" w:type="dxa"/>
            <w:vAlign w:val="bottom"/>
            <w:shd w:val="clear" w:color="auto" w:fill="CCEEFF"/>
          </w:tcPr>
          <w:p>
            <w:pPr>
              <w:jc w:val="right"/>
              <w:spacing w:after="0"/>
              <w:rPr>
                <w:sz w:val="20"/>
                <w:szCs w:val="20"/>
                <w:color w:val="auto"/>
              </w:rPr>
            </w:pPr>
            <w:r>
              <w:rPr>
                <w:rFonts w:ascii="Arial" w:cs="Arial" w:eastAsia="Arial" w:hAnsi="Arial"/>
                <w:sz w:val="11"/>
                <w:szCs w:val="11"/>
                <w:color w:val="050505"/>
              </w:rPr>
              <w:t>$</w:t>
            </w:r>
          </w:p>
        </w:tc>
        <w:tc>
          <w:tcPr>
            <w:tcW w:w="480" w:type="dxa"/>
            <w:vAlign w:val="bottom"/>
            <w:shd w:val="clear" w:color="auto" w:fill="CCEEFF"/>
          </w:tcPr>
          <w:p>
            <w:pPr>
              <w:jc w:val="right"/>
              <w:ind w:right="46"/>
              <w:spacing w:after="0"/>
              <w:rPr>
                <w:sz w:val="20"/>
                <w:szCs w:val="20"/>
                <w:color w:val="auto"/>
              </w:rPr>
            </w:pPr>
            <w:r>
              <w:rPr>
                <w:rFonts w:ascii="Arial" w:cs="Arial" w:eastAsia="Arial" w:hAnsi="Arial"/>
                <w:sz w:val="11"/>
                <w:szCs w:val="11"/>
                <w:color w:val="050505"/>
              </w:rPr>
              <w:t>2.3</w:t>
            </w:r>
          </w:p>
        </w:tc>
        <w:tc>
          <w:tcPr>
            <w:tcW w:w="200" w:type="dxa"/>
            <w:vAlign w:val="bottom"/>
            <w:shd w:val="clear" w:color="auto" w:fill="CCEEFF"/>
          </w:tcPr>
          <w:p>
            <w:pPr>
              <w:jc w:val="right"/>
              <w:spacing w:after="0"/>
              <w:rPr>
                <w:sz w:val="20"/>
                <w:szCs w:val="20"/>
                <w:color w:val="auto"/>
              </w:rPr>
            </w:pPr>
            <w:r>
              <w:rPr>
                <w:rFonts w:ascii="Arial" w:cs="Arial" w:eastAsia="Arial" w:hAnsi="Arial"/>
                <w:sz w:val="11"/>
                <w:szCs w:val="11"/>
                <w:color w:val="050505"/>
              </w:rPr>
              <w:t>$</w:t>
            </w:r>
          </w:p>
        </w:tc>
        <w:tc>
          <w:tcPr>
            <w:tcW w:w="500" w:type="dxa"/>
            <w:vAlign w:val="bottom"/>
            <w:shd w:val="clear" w:color="auto" w:fill="CCEEFF"/>
          </w:tcPr>
          <w:p>
            <w:pPr>
              <w:jc w:val="right"/>
              <w:ind w:right="46"/>
              <w:spacing w:after="0"/>
              <w:rPr>
                <w:sz w:val="20"/>
                <w:szCs w:val="20"/>
                <w:color w:val="auto"/>
              </w:rPr>
            </w:pPr>
            <w:r>
              <w:rPr>
                <w:rFonts w:ascii="Arial" w:cs="Arial" w:eastAsia="Arial" w:hAnsi="Arial"/>
                <w:sz w:val="11"/>
                <w:szCs w:val="11"/>
                <w:color w:val="050505"/>
              </w:rPr>
              <w:t>11.3</w:t>
            </w:r>
          </w:p>
        </w:tc>
        <w:tc>
          <w:tcPr>
            <w:tcW w:w="200" w:type="dxa"/>
            <w:vAlign w:val="bottom"/>
            <w:shd w:val="clear" w:color="auto" w:fill="CCEEFF"/>
          </w:tcPr>
          <w:p>
            <w:pPr>
              <w:jc w:val="right"/>
              <w:spacing w:after="0"/>
              <w:rPr>
                <w:sz w:val="20"/>
                <w:szCs w:val="20"/>
                <w:color w:val="auto"/>
              </w:rPr>
            </w:pPr>
            <w:r>
              <w:rPr>
                <w:rFonts w:ascii="Arial" w:cs="Arial" w:eastAsia="Arial" w:hAnsi="Arial"/>
                <w:sz w:val="11"/>
                <w:szCs w:val="11"/>
                <w:color w:val="050505"/>
              </w:rPr>
              <w:t>$</w:t>
            </w:r>
          </w:p>
        </w:tc>
        <w:tc>
          <w:tcPr>
            <w:tcW w:w="440" w:type="dxa"/>
            <w:vAlign w:val="bottom"/>
            <w:gridSpan w:val="2"/>
            <w:shd w:val="clear" w:color="auto" w:fill="CCEEFF"/>
          </w:tcPr>
          <w:p>
            <w:pPr>
              <w:ind w:left="280"/>
              <w:spacing w:after="0"/>
              <w:rPr>
                <w:sz w:val="20"/>
                <w:szCs w:val="20"/>
                <w:color w:val="auto"/>
              </w:rPr>
            </w:pPr>
            <w:r>
              <w:rPr>
                <w:rFonts w:ascii="Arial" w:cs="Arial" w:eastAsia="Arial" w:hAnsi="Arial"/>
                <w:sz w:val="11"/>
                <w:szCs w:val="11"/>
                <w:color w:val="050505"/>
              </w:rPr>
              <w:t>—</w:t>
            </w:r>
          </w:p>
        </w:tc>
      </w:tr>
    </w:tbl>
    <w:p>
      <w:pPr>
        <w:spacing w:after="0" w:line="145" w:lineRule="exact"/>
        <w:rPr>
          <w:sz w:val="20"/>
          <w:szCs w:val="20"/>
          <w:color w:val="auto"/>
        </w:rPr>
      </w:pPr>
    </w:p>
    <w:p>
      <w:pPr>
        <w:jc w:val="both"/>
        <w:ind w:left="2060" w:right="839"/>
        <w:spacing w:after="0"/>
        <w:rPr>
          <w:sz w:val="20"/>
          <w:szCs w:val="20"/>
          <w:color w:val="auto"/>
        </w:rPr>
      </w:pPr>
      <w:r>
        <w:rPr>
          <w:rFonts w:ascii="Arial" w:cs="Arial" w:eastAsia="Arial" w:hAnsi="Arial"/>
          <w:sz w:val="11"/>
          <w:szCs w:val="11"/>
          <w:color w:val="050505"/>
        </w:rPr>
        <w:t>From time-to-time, we execute music royalty agreements with various music rights holders. As part of these go-forward license agreements, we may also enter into agreements whereby we are released from all potential licensor claims regarding our alleged past use of copyrighted material in our content in exchange for a mutually-agreed payment. We refer to these payments as content costs for past use. These costs can vary considerably from quarter to quarter since they represent our estimates of potential future release payments based upon license agreements previously entered into and the market share and size of the music rights holder. These estimates are subject to a variety of complex and evolving legal issues across many jurisdictions and are not predictable, which can result in fluctuation over time.</w:t>
      </w:r>
    </w:p>
    <w:p>
      <w:pPr>
        <w:spacing w:after="0" w:line="142" w:lineRule="exact"/>
        <w:rPr>
          <w:sz w:val="20"/>
          <w:szCs w:val="20"/>
          <w:color w:val="auto"/>
        </w:rPr>
      </w:pPr>
    </w:p>
    <w:p>
      <w:pPr>
        <w:jc w:val="both"/>
        <w:ind w:left="2060" w:right="839"/>
        <w:spacing w:after="0" w:line="263" w:lineRule="auto"/>
        <w:rPr>
          <w:sz w:val="20"/>
          <w:szCs w:val="20"/>
          <w:color w:val="auto"/>
        </w:rPr>
      </w:pPr>
      <w:r>
        <w:rPr>
          <w:rFonts w:ascii="Arial" w:cs="Arial" w:eastAsia="Arial" w:hAnsi="Arial"/>
          <w:sz w:val="10"/>
          <w:szCs w:val="10"/>
          <w:color w:val="050505"/>
        </w:rPr>
        <w:t>To date, we have entered into numerous agreements with major record labels and major publishers, independent labels and publishers, and major performing rights organizations to resolve instances of alleged past use while entering into go-forward license agreements with each of these parties. We have also improved upon a music content management and reporting system that allows our instructors to create class playlists from a selection of songs licensed to us. Based on these efforts, we believe that payments for content costs for past use will decrease over time and eventually be eliminated.</w:t>
      </w:r>
    </w:p>
    <w:p>
      <w:pPr>
        <w:ind w:left="2060"/>
        <w:spacing w:after="0"/>
        <w:rPr>
          <w:sz w:val="20"/>
          <w:szCs w:val="20"/>
          <w:color w:val="auto"/>
        </w:rPr>
      </w:pPr>
      <w:r>
        <w:rPr>
          <w:rFonts w:ascii="Arial" w:cs="Arial" w:eastAsia="Arial" w:hAnsi="Arial"/>
          <w:sz w:val="11"/>
          <w:szCs w:val="11"/>
          <w:b w:val="1"/>
          <w:bCs w:val="1"/>
          <w:i w:val="1"/>
          <w:iCs w:val="1"/>
          <w:color w:val="auto"/>
        </w:rPr>
        <w:t>Other Quarterly Key Operational and Business Metrics</w:t>
      </w:r>
    </w:p>
    <w:p>
      <w:pPr>
        <w:spacing w:after="0" w:line="150" w:lineRule="exact"/>
        <w:rPr>
          <w:sz w:val="20"/>
          <w:szCs w:val="20"/>
          <w:color w:val="auto"/>
        </w:rPr>
      </w:pPr>
    </w:p>
    <w:tbl>
      <w:tblPr>
        <w:tblLayout w:type="fixed"/>
        <w:tblInd w:w="2060" w:type="dxa"/>
        <w:tblCellMar>
          <w:top w:w="0" w:type="dxa"/>
          <w:left w:w="0" w:type="dxa"/>
          <w:bottom w:w="0" w:type="dxa"/>
          <w:right w:w="0" w:type="dxa"/>
        </w:tblCellMar>
      </w:tblPr>
      <w:tr>
        <w:trPr>
          <w:trHeight w:val="137"/>
        </w:trPr>
        <w:tc>
          <w:tcPr>
            <w:tcW w:w="2000" w:type="dxa"/>
            <w:vAlign w:val="bottom"/>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360" w:type="dxa"/>
            <w:vAlign w:val="bottom"/>
            <w:tcBorders>
              <w:bottom w:val="single" w:sz="8" w:color="auto"/>
            </w:tcBorders>
            <w:gridSpan w:val="4"/>
          </w:tcPr>
          <w:p>
            <w:pPr>
              <w:ind w:left="60"/>
              <w:spacing w:after="0"/>
              <w:rPr>
                <w:sz w:val="20"/>
                <w:szCs w:val="20"/>
                <w:color w:val="auto"/>
              </w:rPr>
            </w:pPr>
            <w:r>
              <w:rPr>
                <w:rFonts w:ascii="Arial" w:cs="Arial" w:eastAsia="Arial" w:hAnsi="Arial"/>
                <w:sz w:val="11"/>
                <w:szCs w:val="11"/>
                <w:b w:val="1"/>
                <w:bCs w:val="1"/>
                <w:color w:val="050505"/>
              </w:rPr>
              <w:t>Three Months Ended</w:t>
            </w:r>
          </w:p>
        </w:tc>
        <w:tc>
          <w:tcPr>
            <w:tcW w:w="48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r>
      <w:tr>
        <w:trPr>
          <w:trHeight w:val="104"/>
        </w:trPr>
        <w:tc>
          <w:tcPr>
            <w:tcW w:w="2000" w:type="dxa"/>
            <w:vAlign w:val="bottom"/>
          </w:tcPr>
          <w:p>
            <w:pPr>
              <w:spacing w:after="0"/>
              <w:rPr>
                <w:sz w:val="9"/>
                <w:szCs w:val="9"/>
                <w:color w:val="auto"/>
              </w:rPr>
            </w:pPr>
          </w:p>
        </w:tc>
        <w:tc>
          <w:tcPr>
            <w:tcW w:w="680" w:type="dxa"/>
            <w:vAlign w:val="bottom"/>
            <w:gridSpan w:val="2"/>
          </w:tcPr>
          <w:p>
            <w:pPr>
              <w:jc w:val="right"/>
              <w:ind w:right="240"/>
              <w:spacing w:after="0" w:line="105" w:lineRule="exact"/>
              <w:rPr>
                <w:sz w:val="20"/>
                <w:szCs w:val="20"/>
                <w:color w:val="auto"/>
              </w:rPr>
            </w:pPr>
            <w:r>
              <w:rPr>
                <w:rFonts w:ascii="Arial" w:cs="Arial" w:eastAsia="Arial" w:hAnsi="Arial"/>
                <w:sz w:val="11"/>
                <w:szCs w:val="11"/>
                <w:b w:val="1"/>
                <w:bCs w:val="1"/>
                <w:color w:val="050505"/>
              </w:rPr>
              <w:t>Sep. 30,</w:t>
            </w:r>
          </w:p>
        </w:tc>
        <w:tc>
          <w:tcPr>
            <w:tcW w:w="680" w:type="dxa"/>
            <w:vAlign w:val="bottom"/>
            <w:gridSpan w:val="2"/>
          </w:tcPr>
          <w:p>
            <w:pPr>
              <w:jc w:val="right"/>
              <w:ind w:right="240"/>
              <w:spacing w:after="0" w:line="105" w:lineRule="exact"/>
              <w:rPr>
                <w:sz w:val="20"/>
                <w:szCs w:val="20"/>
                <w:color w:val="auto"/>
              </w:rPr>
            </w:pPr>
            <w:r>
              <w:rPr>
                <w:rFonts w:ascii="Arial" w:cs="Arial" w:eastAsia="Arial" w:hAnsi="Arial"/>
                <w:sz w:val="11"/>
                <w:szCs w:val="11"/>
                <w:b w:val="1"/>
                <w:bCs w:val="1"/>
                <w:color w:val="050505"/>
              </w:rPr>
              <w:t>Dec. 31,</w:t>
            </w:r>
          </w:p>
        </w:tc>
        <w:tc>
          <w:tcPr>
            <w:tcW w:w="660" w:type="dxa"/>
            <w:vAlign w:val="bottom"/>
            <w:gridSpan w:val="2"/>
          </w:tcPr>
          <w:p>
            <w:pPr>
              <w:jc w:val="right"/>
              <w:ind w:right="220"/>
              <w:spacing w:after="0" w:line="105" w:lineRule="exact"/>
              <w:rPr>
                <w:sz w:val="20"/>
                <w:szCs w:val="20"/>
                <w:color w:val="auto"/>
              </w:rPr>
            </w:pPr>
            <w:r>
              <w:rPr>
                <w:rFonts w:ascii="Arial" w:cs="Arial" w:eastAsia="Arial" w:hAnsi="Arial"/>
                <w:sz w:val="11"/>
                <w:szCs w:val="11"/>
                <w:b w:val="1"/>
                <w:bCs w:val="1"/>
                <w:color w:val="050505"/>
              </w:rPr>
              <w:t>Mar. 31,</w:t>
            </w:r>
          </w:p>
        </w:tc>
        <w:tc>
          <w:tcPr>
            <w:tcW w:w="680" w:type="dxa"/>
            <w:vAlign w:val="bottom"/>
            <w:gridSpan w:val="2"/>
          </w:tcPr>
          <w:p>
            <w:pPr>
              <w:ind w:left="40"/>
              <w:spacing w:after="0" w:line="105" w:lineRule="exact"/>
              <w:rPr>
                <w:sz w:val="20"/>
                <w:szCs w:val="20"/>
                <w:color w:val="auto"/>
              </w:rPr>
            </w:pPr>
            <w:r>
              <w:rPr>
                <w:rFonts w:ascii="Arial" w:cs="Arial" w:eastAsia="Arial" w:hAnsi="Arial"/>
                <w:sz w:val="11"/>
                <w:szCs w:val="11"/>
                <w:b w:val="1"/>
                <w:bCs w:val="1"/>
                <w:color w:val="050505"/>
              </w:rPr>
              <w:t>Jun. 30,</w:t>
            </w:r>
          </w:p>
        </w:tc>
        <w:tc>
          <w:tcPr>
            <w:tcW w:w="680" w:type="dxa"/>
            <w:vAlign w:val="bottom"/>
            <w:gridSpan w:val="2"/>
          </w:tcPr>
          <w:p>
            <w:pPr>
              <w:jc w:val="right"/>
              <w:ind w:right="240"/>
              <w:spacing w:after="0" w:line="105" w:lineRule="exact"/>
              <w:rPr>
                <w:sz w:val="20"/>
                <w:szCs w:val="20"/>
                <w:color w:val="auto"/>
              </w:rPr>
            </w:pPr>
            <w:r>
              <w:rPr>
                <w:rFonts w:ascii="Arial" w:cs="Arial" w:eastAsia="Arial" w:hAnsi="Arial"/>
                <w:sz w:val="11"/>
                <w:szCs w:val="11"/>
                <w:b w:val="1"/>
                <w:bCs w:val="1"/>
                <w:color w:val="050505"/>
              </w:rPr>
              <w:t>Sep. 30,</w:t>
            </w:r>
          </w:p>
        </w:tc>
        <w:tc>
          <w:tcPr>
            <w:tcW w:w="680" w:type="dxa"/>
            <w:vAlign w:val="bottom"/>
            <w:gridSpan w:val="2"/>
          </w:tcPr>
          <w:p>
            <w:pPr>
              <w:jc w:val="right"/>
              <w:ind w:right="240"/>
              <w:spacing w:after="0" w:line="105" w:lineRule="exact"/>
              <w:rPr>
                <w:sz w:val="20"/>
                <w:szCs w:val="20"/>
                <w:color w:val="auto"/>
              </w:rPr>
            </w:pPr>
            <w:r>
              <w:rPr>
                <w:rFonts w:ascii="Arial" w:cs="Arial" w:eastAsia="Arial" w:hAnsi="Arial"/>
                <w:sz w:val="11"/>
                <w:szCs w:val="11"/>
                <w:b w:val="1"/>
                <w:bCs w:val="1"/>
                <w:color w:val="050505"/>
              </w:rPr>
              <w:t>Dec. 31,</w:t>
            </w:r>
          </w:p>
        </w:tc>
        <w:tc>
          <w:tcPr>
            <w:tcW w:w="680" w:type="dxa"/>
            <w:vAlign w:val="bottom"/>
            <w:gridSpan w:val="2"/>
          </w:tcPr>
          <w:p>
            <w:pPr>
              <w:jc w:val="right"/>
              <w:ind w:right="240"/>
              <w:spacing w:after="0" w:line="105" w:lineRule="exact"/>
              <w:rPr>
                <w:sz w:val="20"/>
                <w:szCs w:val="20"/>
                <w:color w:val="auto"/>
              </w:rPr>
            </w:pPr>
            <w:r>
              <w:rPr>
                <w:rFonts w:ascii="Arial" w:cs="Arial" w:eastAsia="Arial" w:hAnsi="Arial"/>
                <w:sz w:val="11"/>
                <w:szCs w:val="11"/>
                <w:b w:val="1"/>
                <w:bCs w:val="1"/>
                <w:color w:val="050505"/>
              </w:rPr>
              <w:t>Mar. 31,</w:t>
            </w:r>
          </w:p>
        </w:tc>
        <w:tc>
          <w:tcPr>
            <w:tcW w:w="480" w:type="dxa"/>
            <w:vAlign w:val="bottom"/>
          </w:tcPr>
          <w:p>
            <w:pPr>
              <w:jc w:val="right"/>
              <w:spacing w:after="0" w:line="105" w:lineRule="exact"/>
              <w:rPr>
                <w:sz w:val="20"/>
                <w:szCs w:val="20"/>
                <w:color w:val="auto"/>
              </w:rPr>
            </w:pPr>
            <w:r>
              <w:rPr>
                <w:rFonts w:ascii="Arial" w:cs="Arial" w:eastAsia="Arial" w:hAnsi="Arial"/>
                <w:sz w:val="11"/>
                <w:szCs w:val="11"/>
                <w:b w:val="1"/>
                <w:bCs w:val="1"/>
                <w:color w:val="050505"/>
              </w:rPr>
              <w:t>Jun. 30,</w:t>
            </w:r>
          </w:p>
        </w:tc>
        <w:tc>
          <w:tcPr>
            <w:tcW w:w="140" w:type="dxa"/>
            <w:vAlign w:val="bottom"/>
          </w:tcPr>
          <w:p>
            <w:pPr>
              <w:spacing w:after="0"/>
              <w:rPr>
                <w:sz w:val="9"/>
                <w:szCs w:val="9"/>
                <w:color w:val="auto"/>
              </w:rPr>
            </w:pPr>
          </w:p>
        </w:tc>
      </w:tr>
      <w:tr>
        <w:trPr>
          <w:trHeight w:val="137"/>
        </w:trPr>
        <w:tc>
          <w:tcPr>
            <w:tcW w:w="2000" w:type="dxa"/>
            <w:vAlign w:val="bottom"/>
            <w:tcBorders>
              <w:bottom w:val="single" w:sz="8" w:color="CCEEFF"/>
            </w:tcBorders>
          </w:tcPr>
          <w:p>
            <w:pPr>
              <w:spacing w:after="0"/>
              <w:rPr>
                <w:sz w:val="11"/>
                <w:szCs w:val="11"/>
                <w:color w:val="auto"/>
              </w:rPr>
            </w:pPr>
          </w:p>
        </w:tc>
        <w:tc>
          <w:tcPr>
            <w:tcW w:w="480" w:type="dxa"/>
            <w:vAlign w:val="bottom"/>
            <w:tcBorders>
              <w:bottom w:val="single" w:sz="8" w:color="auto"/>
            </w:tcBorders>
          </w:tcPr>
          <w:p>
            <w:pPr>
              <w:jc w:val="right"/>
              <w:ind w:right="66"/>
              <w:spacing w:after="0"/>
              <w:rPr>
                <w:sz w:val="20"/>
                <w:szCs w:val="20"/>
                <w:color w:val="auto"/>
              </w:rPr>
            </w:pPr>
            <w:r>
              <w:rPr>
                <w:rFonts w:ascii="Arial" w:cs="Arial" w:eastAsia="Arial" w:hAnsi="Arial"/>
                <w:sz w:val="11"/>
                <w:szCs w:val="11"/>
                <w:b w:val="1"/>
                <w:bCs w:val="1"/>
                <w:color w:val="050505"/>
              </w:rPr>
              <w:t>2017</w:t>
            </w:r>
          </w:p>
        </w:tc>
        <w:tc>
          <w:tcPr>
            <w:tcW w:w="200" w:type="dxa"/>
            <w:vAlign w:val="bottom"/>
            <w:tcBorders>
              <w:bottom w:val="single" w:sz="8" w:color="CCEEFF"/>
            </w:tcBorders>
          </w:tcPr>
          <w:p>
            <w:pPr>
              <w:spacing w:after="0"/>
              <w:rPr>
                <w:sz w:val="11"/>
                <w:szCs w:val="11"/>
                <w:color w:val="auto"/>
              </w:rPr>
            </w:pPr>
          </w:p>
        </w:tc>
        <w:tc>
          <w:tcPr>
            <w:tcW w:w="480" w:type="dxa"/>
            <w:vAlign w:val="bottom"/>
            <w:tcBorders>
              <w:bottom w:val="single" w:sz="8" w:color="auto"/>
            </w:tcBorders>
          </w:tcPr>
          <w:p>
            <w:pPr>
              <w:jc w:val="right"/>
              <w:ind w:right="66"/>
              <w:spacing w:after="0"/>
              <w:rPr>
                <w:sz w:val="20"/>
                <w:szCs w:val="20"/>
                <w:color w:val="auto"/>
              </w:rPr>
            </w:pPr>
            <w:r>
              <w:rPr>
                <w:rFonts w:ascii="Arial" w:cs="Arial" w:eastAsia="Arial" w:hAnsi="Arial"/>
                <w:sz w:val="11"/>
                <w:szCs w:val="11"/>
                <w:b w:val="1"/>
                <w:bCs w:val="1"/>
                <w:color w:val="050505"/>
              </w:rPr>
              <w:t>2017</w:t>
            </w:r>
          </w:p>
        </w:tc>
        <w:tc>
          <w:tcPr>
            <w:tcW w:w="200" w:type="dxa"/>
            <w:vAlign w:val="bottom"/>
            <w:tcBorders>
              <w:bottom w:val="single" w:sz="8" w:color="CCEEFF"/>
            </w:tcBorders>
          </w:tcPr>
          <w:p>
            <w:pPr>
              <w:spacing w:after="0"/>
              <w:rPr>
                <w:sz w:val="11"/>
                <w:szCs w:val="11"/>
                <w:color w:val="auto"/>
              </w:rPr>
            </w:pPr>
          </w:p>
        </w:tc>
        <w:tc>
          <w:tcPr>
            <w:tcW w:w="480" w:type="dxa"/>
            <w:vAlign w:val="bottom"/>
            <w:tcBorders>
              <w:bottom w:val="single" w:sz="8" w:color="auto"/>
            </w:tcBorders>
          </w:tcPr>
          <w:p>
            <w:pPr>
              <w:jc w:val="right"/>
              <w:ind w:right="66"/>
              <w:spacing w:after="0"/>
              <w:rPr>
                <w:sz w:val="20"/>
                <w:szCs w:val="20"/>
                <w:color w:val="auto"/>
              </w:rPr>
            </w:pPr>
            <w:r>
              <w:rPr>
                <w:rFonts w:ascii="Arial" w:cs="Arial" w:eastAsia="Arial" w:hAnsi="Arial"/>
                <w:sz w:val="11"/>
                <w:szCs w:val="11"/>
                <w:b w:val="1"/>
                <w:bCs w:val="1"/>
                <w:color w:val="050505"/>
              </w:rPr>
              <w:t>2018</w:t>
            </w:r>
          </w:p>
        </w:tc>
        <w:tc>
          <w:tcPr>
            <w:tcW w:w="180" w:type="dxa"/>
            <w:vAlign w:val="bottom"/>
            <w:tcBorders>
              <w:bottom w:val="single" w:sz="8" w:color="CCEEFF"/>
            </w:tcBorders>
          </w:tcPr>
          <w:p>
            <w:pPr>
              <w:spacing w:after="0"/>
              <w:rPr>
                <w:sz w:val="11"/>
                <w:szCs w:val="11"/>
                <w:color w:val="auto"/>
              </w:rPr>
            </w:pPr>
          </w:p>
        </w:tc>
        <w:tc>
          <w:tcPr>
            <w:tcW w:w="50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b w:val="1"/>
                <w:bCs w:val="1"/>
                <w:color w:val="050505"/>
              </w:rPr>
              <w:t>2018</w:t>
            </w:r>
          </w:p>
        </w:tc>
        <w:tc>
          <w:tcPr>
            <w:tcW w:w="180" w:type="dxa"/>
            <w:vAlign w:val="bottom"/>
            <w:tcBorders>
              <w:bottom w:val="single" w:sz="8" w:color="CCEEFF"/>
            </w:tcBorders>
          </w:tcPr>
          <w:p>
            <w:pPr>
              <w:spacing w:after="0"/>
              <w:rPr>
                <w:sz w:val="11"/>
                <w:szCs w:val="11"/>
                <w:color w:val="auto"/>
              </w:rPr>
            </w:pPr>
          </w:p>
        </w:tc>
        <w:tc>
          <w:tcPr>
            <w:tcW w:w="50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b w:val="1"/>
                <w:bCs w:val="1"/>
                <w:color w:val="050505"/>
              </w:rPr>
              <w:t>2018</w:t>
            </w:r>
          </w:p>
        </w:tc>
        <w:tc>
          <w:tcPr>
            <w:tcW w:w="180" w:type="dxa"/>
            <w:vAlign w:val="bottom"/>
            <w:tcBorders>
              <w:bottom w:val="single" w:sz="8" w:color="CCEEFF"/>
            </w:tcBorders>
          </w:tcPr>
          <w:p>
            <w:pPr>
              <w:spacing w:after="0"/>
              <w:rPr>
                <w:sz w:val="11"/>
                <w:szCs w:val="11"/>
                <w:color w:val="auto"/>
              </w:rPr>
            </w:pPr>
          </w:p>
        </w:tc>
        <w:tc>
          <w:tcPr>
            <w:tcW w:w="480" w:type="dxa"/>
            <w:vAlign w:val="bottom"/>
            <w:tcBorders>
              <w:bottom w:val="single" w:sz="8" w:color="auto"/>
            </w:tcBorders>
          </w:tcPr>
          <w:p>
            <w:pPr>
              <w:jc w:val="right"/>
              <w:ind w:right="66"/>
              <w:spacing w:after="0"/>
              <w:rPr>
                <w:sz w:val="20"/>
                <w:szCs w:val="20"/>
                <w:color w:val="auto"/>
              </w:rPr>
            </w:pPr>
            <w:r>
              <w:rPr>
                <w:rFonts w:ascii="Arial" w:cs="Arial" w:eastAsia="Arial" w:hAnsi="Arial"/>
                <w:sz w:val="11"/>
                <w:szCs w:val="11"/>
                <w:b w:val="1"/>
                <w:bCs w:val="1"/>
                <w:color w:val="050505"/>
              </w:rPr>
              <w:t>2018</w:t>
            </w:r>
          </w:p>
        </w:tc>
        <w:tc>
          <w:tcPr>
            <w:tcW w:w="200" w:type="dxa"/>
            <w:vAlign w:val="bottom"/>
            <w:tcBorders>
              <w:bottom w:val="single" w:sz="8" w:color="CCEEFF"/>
            </w:tcBorders>
          </w:tcPr>
          <w:p>
            <w:pPr>
              <w:spacing w:after="0"/>
              <w:rPr>
                <w:sz w:val="11"/>
                <w:szCs w:val="11"/>
                <w:color w:val="auto"/>
              </w:rPr>
            </w:pPr>
          </w:p>
        </w:tc>
        <w:tc>
          <w:tcPr>
            <w:tcW w:w="480" w:type="dxa"/>
            <w:vAlign w:val="bottom"/>
            <w:tcBorders>
              <w:bottom w:val="single" w:sz="8" w:color="auto"/>
            </w:tcBorders>
          </w:tcPr>
          <w:p>
            <w:pPr>
              <w:jc w:val="right"/>
              <w:ind w:right="66"/>
              <w:spacing w:after="0"/>
              <w:rPr>
                <w:sz w:val="20"/>
                <w:szCs w:val="20"/>
                <w:color w:val="auto"/>
              </w:rPr>
            </w:pPr>
            <w:r>
              <w:rPr>
                <w:rFonts w:ascii="Arial" w:cs="Arial" w:eastAsia="Arial" w:hAnsi="Arial"/>
                <w:sz w:val="11"/>
                <w:szCs w:val="11"/>
                <w:b w:val="1"/>
                <w:bCs w:val="1"/>
                <w:color w:val="050505"/>
              </w:rPr>
              <w:t>2019</w:t>
            </w:r>
          </w:p>
        </w:tc>
        <w:tc>
          <w:tcPr>
            <w:tcW w:w="200" w:type="dxa"/>
            <w:vAlign w:val="bottom"/>
            <w:tcBorders>
              <w:bottom w:val="single" w:sz="8" w:color="CCEEFF"/>
            </w:tcBorders>
          </w:tcPr>
          <w:p>
            <w:pPr>
              <w:spacing w:after="0"/>
              <w:rPr>
                <w:sz w:val="11"/>
                <w:szCs w:val="11"/>
                <w:color w:val="auto"/>
              </w:rPr>
            </w:pPr>
          </w:p>
        </w:tc>
        <w:tc>
          <w:tcPr>
            <w:tcW w:w="480" w:type="dxa"/>
            <w:vAlign w:val="bottom"/>
            <w:tcBorders>
              <w:bottom w:val="single" w:sz="8" w:color="auto"/>
            </w:tcBorders>
          </w:tcPr>
          <w:p>
            <w:pPr>
              <w:jc w:val="right"/>
              <w:ind w:right="66"/>
              <w:spacing w:after="0"/>
              <w:rPr>
                <w:sz w:val="20"/>
                <w:szCs w:val="20"/>
                <w:color w:val="auto"/>
              </w:rPr>
            </w:pPr>
            <w:r>
              <w:rPr>
                <w:rFonts w:ascii="Arial" w:cs="Arial" w:eastAsia="Arial" w:hAnsi="Arial"/>
                <w:sz w:val="11"/>
                <w:szCs w:val="11"/>
                <w:b w:val="1"/>
                <w:bCs w:val="1"/>
                <w:color w:val="050505"/>
              </w:rPr>
              <w:t>2019</w:t>
            </w:r>
          </w:p>
        </w:tc>
        <w:tc>
          <w:tcPr>
            <w:tcW w:w="140" w:type="dxa"/>
            <w:vAlign w:val="bottom"/>
            <w:tcBorders>
              <w:bottom w:val="single" w:sz="8" w:color="CCEEFF"/>
            </w:tcBorders>
          </w:tcPr>
          <w:p>
            <w:pPr>
              <w:spacing w:after="0"/>
              <w:rPr>
                <w:sz w:val="11"/>
                <w:szCs w:val="11"/>
                <w:color w:val="auto"/>
              </w:rPr>
            </w:pPr>
          </w:p>
        </w:tc>
      </w:tr>
      <w:tr>
        <w:trPr>
          <w:trHeight w:val="115"/>
        </w:trPr>
        <w:tc>
          <w:tcPr>
            <w:tcW w:w="2000" w:type="dxa"/>
            <w:vAlign w:val="bottom"/>
            <w:shd w:val="clear" w:color="auto" w:fill="CCEEFF"/>
          </w:tcPr>
          <w:p>
            <w:pPr>
              <w:ind w:left="40"/>
              <w:spacing w:after="0" w:line="111" w:lineRule="exact"/>
              <w:rPr>
                <w:sz w:val="20"/>
                <w:szCs w:val="20"/>
                <w:color w:val="auto"/>
              </w:rPr>
            </w:pPr>
            <w:r>
              <w:rPr>
                <w:rFonts w:ascii="Arial" w:cs="Arial" w:eastAsia="Arial" w:hAnsi="Arial"/>
                <w:sz w:val="11"/>
                <w:szCs w:val="11"/>
                <w:color w:val="050505"/>
              </w:rPr>
              <w:t>Connected Fitness Subscribers</w:t>
            </w:r>
          </w:p>
        </w:tc>
        <w:tc>
          <w:tcPr>
            <w:tcW w:w="480" w:type="dxa"/>
            <w:vAlign w:val="bottom"/>
            <w:shd w:val="clear" w:color="auto" w:fill="CCEEFF"/>
          </w:tcPr>
          <w:p>
            <w:pPr>
              <w:jc w:val="right"/>
              <w:spacing w:after="0" w:line="115" w:lineRule="exact"/>
              <w:rPr>
                <w:sz w:val="20"/>
                <w:szCs w:val="20"/>
                <w:color w:val="auto"/>
              </w:rPr>
            </w:pPr>
            <w:r>
              <w:rPr>
                <w:rFonts w:ascii="Arial" w:cs="Arial" w:eastAsia="Arial" w:hAnsi="Arial"/>
                <w:sz w:val="11"/>
                <w:szCs w:val="11"/>
                <w:color w:val="050505"/>
              </w:rPr>
              <w:t>123,416</w:t>
            </w:r>
          </w:p>
        </w:tc>
        <w:tc>
          <w:tcPr>
            <w:tcW w:w="200" w:type="dxa"/>
            <w:vAlign w:val="bottom"/>
            <w:shd w:val="clear" w:color="auto" w:fill="CCEEFF"/>
          </w:tcPr>
          <w:p>
            <w:pPr>
              <w:spacing w:after="0"/>
              <w:rPr>
                <w:sz w:val="10"/>
                <w:szCs w:val="10"/>
                <w:color w:val="auto"/>
              </w:rPr>
            </w:pPr>
          </w:p>
        </w:tc>
        <w:tc>
          <w:tcPr>
            <w:tcW w:w="480" w:type="dxa"/>
            <w:vAlign w:val="bottom"/>
            <w:shd w:val="clear" w:color="auto" w:fill="CCEEFF"/>
          </w:tcPr>
          <w:p>
            <w:pPr>
              <w:jc w:val="right"/>
              <w:spacing w:after="0" w:line="115" w:lineRule="exact"/>
              <w:rPr>
                <w:sz w:val="20"/>
                <w:szCs w:val="20"/>
                <w:color w:val="auto"/>
              </w:rPr>
            </w:pPr>
            <w:r>
              <w:rPr>
                <w:rFonts w:ascii="Arial" w:cs="Arial" w:eastAsia="Arial" w:hAnsi="Arial"/>
                <w:sz w:val="11"/>
                <w:szCs w:val="11"/>
                <w:color w:val="050505"/>
              </w:rPr>
              <w:t>168,788</w:t>
            </w:r>
          </w:p>
        </w:tc>
        <w:tc>
          <w:tcPr>
            <w:tcW w:w="200" w:type="dxa"/>
            <w:vAlign w:val="bottom"/>
            <w:shd w:val="clear" w:color="auto" w:fill="CCEEFF"/>
          </w:tcPr>
          <w:p>
            <w:pPr>
              <w:spacing w:after="0"/>
              <w:rPr>
                <w:sz w:val="10"/>
                <w:szCs w:val="10"/>
                <w:color w:val="auto"/>
              </w:rPr>
            </w:pPr>
          </w:p>
        </w:tc>
        <w:tc>
          <w:tcPr>
            <w:tcW w:w="480" w:type="dxa"/>
            <w:vAlign w:val="bottom"/>
            <w:shd w:val="clear" w:color="auto" w:fill="CCEEFF"/>
          </w:tcPr>
          <w:p>
            <w:pPr>
              <w:jc w:val="right"/>
              <w:spacing w:after="0" w:line="115" w:lineRule="exact"/>
              <w:rPr>
                <w:sz w:val="20"/>
                <w:szCs w:val="20"/>
                <w:color w:val="auto"/>
              </w:rPr>
            </w:pPr>
            <w:r>
              <w:rPr>
                <w:rFonts w:ascii="Arial" w:cs="Arial" w:eastAsia="Arial" w:hAnsi="Arial"/>
                <w:sz w:val="11"/>
                <w:szCs w:val="11"/>
                <w:color w:val="050505"/>
              </w:rPr>
              <w:t>217,889</w:t>
            </w:r>
          </w:p>
        </w:tc>
        <w:tc>
          <w:tcPr>
            <w:tcW w:w="180" w:type="dxa"/>
            <w:vAlign w:val="bottom"/>
            <w:shd w:val="clear" w:color="auto" w:fill="CCEEFF"/>
          </w:tcPr>
          <w:p>
            <w:pPr>
              <w:spacing w:after="0"/>
              <w:rPr>
                <w:sz w:val="10"/>
                <w:szCs w:val="10"/>
                <w:color w:val="auto"/>
              </w:rPr>
            </w:pPr>
          </w:p>
        </w:tc>
        <w:tc>
          <w:tcPr>
            <w:tcW w:w="500" w:type="dxa"/>
            <w:vAlign w:val="bottom"/>
            <w:shd w:val="clear" w:color="auto" w:fill="CCEEFF"/>
          </w:tcPr>
          <w:p>
            <w:pPr>
              <w:jc w:val="right"/>
              <w:spacing w:after="0" w:line="115" w:lineRule="exact"/>
              <w:rPr>
                <w:sz w:val="20"/>
                <w:szCs w:val="20"/>
                <w:color w:val="auto"/>
              </w:rPr>
            </w:pPr>
            <w:r>
              <w:rPr>
                <w:rFonts w:ascii="Arial" w:cs="Arial" w:eastAsia="Arial" w:hAnsi="Arial"/>
                <w:sz w:val="11"/>
                <w:szCs w:val="11"/>
                <w:color w:val="050505"/>
              </w:rPr>
              <w:t>245,667</w:t>
            </w:r>
          </w:p>
        </w:tc>
        <w:tc>
          <w:tcPr>
            <w:tcW w:w="180" w:type="dxa"/>
            <w:vAlign w:val="bottom"/>
            <w:shd w:val="clear" w:color="auto" w:fill="CCEEFF"/>
          </w:tcPr>
          <w:p>
            <w:pPr>
              <w:spacing w:after="0"/>
              <w:rPr>
                <w:sz w:val="10"/>
                <w:szCs w:val="10"/>
                <w:color w:val="auto"/>
              </w:rPr>
            </w:pPr>
          </w:p>
        </w:tc>
        <w:tc>
          <w:tcPr>
            <w:tcW w:w="500" w:type="dxa"/>
            <w:vAlign w:val="bottom"/>
            <w:shd w:val="clear" w:color="auto" w:fill="CCEEFF"/>
          </w:tcPr>
          <w:p>
            <w:pPr>
              <w:jc w:val="right"/>
              <w:spacing w:after="0" w:line="115" w:lineRule="exact"/>
              <w:rPr>
                <w:sz w:val="20"/>
                <w:szCs w:val="20"/>
                <w:color w:val="auto"/>
              </w:rPr>
            </w:pPr>
            <w:r>
              <w:rPr>
                <w:rFonts w:ascii="Arial" w:cs="Arial" w:eastAsia="Arial" w:hAnsi="Arial"/>
                <w:sz w:val="11"/>
                <w:szCs w:val="11"/>
                <w:color w:val="050505"/>
              </w:rPr>
              <w:t>276,957</w:t>
            </w:r>
          </w:p>
        </w:tc>
        <w:tc>
          <w:tcPr>
            <w:tcW w:w="180" w:type="dxa"/>
            <w:vAlign w:val="bottom"/>
            <w:shd w:val="clear" w:color="auto" w:fill="CCEEFF"/>
          </w:tcPr>
          <w:p>
            <w:pPr>
              <w:spacing w:after="0"/>
              <w:rPr>
                <w:sz w:val="10"/>
                <w:szCs w:val="10"/>
                <w:color w:val="auto"/>
              </w:rPr>
            </w:pPr>
          </w:p>
        </w:tc>
        <w:tc>
          <w:tcPr>
            <w:tcW w:w="480" w:type="dxa"/>
            <w:vAlign w:val="bottom"/>
            <w:shd w:val="clear" w:color="auto" w:fill="CCEEFF"/>
          </w:tcPr>
          <w:p>
            <w:pPr>
              <w:jc w:val="right"/>
              <w:spacing w:after="0" w:line="115" w:lineRule="exact"/>
              <w:rPr>
                <w:sz w:val="20"/>
                <w:szCs w:val="20"/>
                <w:color w:val="auto"/>
              </w:rPr>
            </w:pPr>
            <w:r>
              <w:rPr>
                <w:rFonts w:ascii="Arial" w:cs="Arial" w:eastAsia="Arial" w:hAnsi="Arial"/>
                <w:sz w:val="11"/>
                <w:szCs w:val="11"/>
                <w:color w:val="050505"/>
              </w:rPr>
              <w:t>362,388</w:t>
            </w:r>
          </w:p>
        </w:tc>
        <w:tc>
          <w:tcPr>
            <w:tcW w:w="200" w:type="dxa"/>
            <w:vAlign w:val="bottom"/>
            <w:shd w:val="clear" w:color="auto" w:fill="CCEEFF"/>
          </w:tcPr>
          <w:p>
            <w:pPr>
              <w:spacing w:after="0"/>
              <w:rPr>
                <w:sz w:val="10"/>
                <w:szCs w:val="10"/>
                <w:color w:val="auto"/>
              </w:rPr>
            </w:pPr>
          </w:p>
        </w:tc>
        <w:tc>
          <w:tcPr>
            <w:tcW w:w="480" w:type="dxa"/>
            <w:vAlign w:val="bottom"/>
            <w:shd w:val="clear" w:color="auto" w:fill="CCEEFF"/>
          </w:tcPr>
          <w:p>
            <w:pPr>
              <w:jc w:val="right"/>
              <w:spacing w:after="0" w:line="115" w:lineRule="exact"/>
              <w:rPr>
                <w:sz w:val="20"/>
                <w:szCs w:val="20"/>
                <w:color w:val="auto"/>
              </w:rPr>
            </w:pPr>
            <w:r>
              <w:rPr>
                <w:rFonts w:ascii="Arial" w:cs="Arial" w:eastAsia="Arial" w:hAnsi="Arial"/>
                <w:sz w:val="11"/>
                <w:szCs w:val="11"/>
                <w:color w:val="050505"/>
              </w:rPr>
              <w:t>457,109</w:t>
            </w:r>
          </w:p>
        </w:tc>
        <w:tc>
          <w:tcPr>
            <w:tcW w:w="200" w:type="dxa"/>
            <w:vAlign w:val="bottom"/>
            <w:shd w:val="clear" w:color="auto" w:fill="CCEEFF"/>
          </w:tcPr>
          <w:p>
            <w:pPr>
              <w:spacing w:after="0"/>
              <w:rPr>
                <w:sz w:val="10"/>
                <w:szCs w:val="10"/>
                <w:color w:val="auto"/>
              </w:rPr>
            </w:pPr>
          </w:p>
        </w:tc>
        <w:tc>
          <w:tcPr>
            <w:tcW w:w="480" w:type="dxa"/>
            <w:vAlign w:val="bottom"/>
            <w:shd w:val="clear" w:color="auto" w:fill="CCEEFF"/>
          </w:tcPr>
          <w:p>
            <w:pPr>
              <w:jc w:val="right"/>
              <w:spacing w:after="0" w:line="115" w:lineRule="exact"/>
              <w:rPr>
                <w:sz w:val="20"/>
                <w:szCs w:val="20"/>
                <w:color w:val="auto"/>
              </w:rPr>
            </w:pPr>
            <w:r>
              <w:rPr>
                <w:rFonts w:ascii="Arial" w:cs="Arial" w:eastAsia="Arial" w:hAnsi="Arial"/>
                <w:sz w:val="11"/>
                <w:szCs w:val="11"/>
                <w:color w:val="050505"/>
              </w:rPr>
              <w:t>511,202</w:t>
            </w:r>
          </w:p>
        </w:tc>
        <w:tc>
          <w:tcPr>
            <w:tcW w:w="140" w:type="dxa"/>
            <w:vAlign w:val="bottom"/>
            <w:shd w:val="clear" w:color="auto" w:fill="CCEEFF"/>
          </w:tcPr>
          <w:p>
            <w:pPr>
              <w:spacing w:after="0"/>
              <w:rPr>
                <w:sz w:val="10"/>
                <w:szCs w:val="10"/>
                <w:color w:val="auto"/>
              </w:rPr>
            </w:pPr>
          </w:p>
        </w:tc>
      </w:tr>
      <w:tr>
        <w:trPr>
          <w:trHeight w:val="127"/>
        </w:trPr>
        <w:tc>
          <w:tcPr>
            <w:tcW w:w="2000" w:type="dxa"/>
            <w:vAlign w:val="bottom"/>
          </w:tcPr>
          <w:p>
            <w:pPr>
              <w:ind w:left="40"/>
              <w:spacing w:after="0"/>
              <w:rPr>
                <w:sz w:val="20"/>
                <w:szCs w:val="20"/>
                <w:color w:val="auto"/>
              </w:rPr>
            </w:pPr>
            <w:r>
              <w:rPr>
                <w:rFonts w:ascii="Arial" w:cs="Arial" w:eastAsia="Arial" w:hAnsi="Arial"/>
                <w:sz w:val="11"/>
                <w:szCs w:val="11"/>
                <w:color w:val="050505"/>
              </w:rPr>
              <w:t>Average Net Monthly Connected</w:t>
            </w: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r>
      <w:tr>
        <w:trPr>
          <w:trHeight w:val="125"/>
        </w:trPr>
        <w:tc>
          <w:tcPr>
            <w:tcW w:w="2000" w:type="dxa"/>
            <w:vAlign w:val="bottom"/>
          </w:tcPr>
          <w:p>
            <w:pPr>
              <w:ind w:left="160"/>
              <w:spacing w:after="0" w:line="125" w:lineRule="exact"/>
              <w:rPr>
                <w:sz w:val="20"/>
                <w:szCs w:val="20"/>
                <w:color w:val="auto"/>
              </w:rPr>
            </w:pPr>
            <w:r>
              <w:rPr>
                <w:rFonts w:ascii="Arial" w:cs="Arial" w:eastAsia="Arial" w:hAnsi="Arial"/>
                <w:sz w:val="11"/>
                <w:szCs w:val="11"/>
                <w:color w:val="050505"/>
              </w:rPr>
              <w:t>Fitness Churn</w:t>
            </w:r>
          </w:p>
        </w:tc>
        <w:tc>
          <w:tcPr>
            <w:tcW w:w="680" w:type="dxa"/>
            <w:vAlign w:val="bottom"/>
            <w:gridSpan w:val="2"/>
          </w:tcPr>
          <w:p>
            <w:pPr>
              <w:jc w:val="right"/>
              <w:ind w:right="100"/>
              <w:spacing w:after="0" w:line="125" w:lineRule="exact"/>
              <w:rPr>
                <w:sz w:val="20"/>
                <w:szCs w:val="20"/>
                <w:color w:val="auto"/>
              </w:rPr>
            </w:pPr>
            <w:r>
              <w:rPr>
                <w:rFonts w:ascii="Arial" w:cs="Arial" w:eastAsia="Arial" w:hAnsi="Arial"/>
                <w:sz w:val="11"/>
                <w:szCs w:val="11"/>
                <w:color w:val="050505"/>
              </w:rPr>
              <w:t>0.52%</w:t>
            </w:r>
          </w:p>
        </w:tc>
        <w:tc>
          <w:tcPr>
            <w:tcW w:w="680" w:type="dxa"/>
            <w:vAlign w:val="bottom"/>
            <w:gridSpan w:val="2"/>
          </w:tcPr>
          <w:p>
            <w:pPr>
              <w:jc w:val="right"/>
              <w:ind w:right="100"/>
              <w:spacing w:after="0" w:line="125" w:lineRule="exact"/>
              <w:rPr>
                <w:sz w:val="20"/>
                <w:szCs w:val="20"/>
                <w:color w:val="auto"/>
              </w:rPr>
            </w:pPr>
            <w:r>
              <w:rPr>
                <w:rFonts w:ascii="Arial" w:cs="Arial" w:eastAsia="Arial" w:hAnsi="Arial"/>
                <w:sz w:val="11"/>
                <w:szCs w:val="11"/>
                <w:color w:val="050505"/>
              </w:rPr>
              <w:t>0.49%</w:t>
            </w:r>
          </w:p>
        </w:tc>
        <w:tc>
          <w:tcPr>
            <w:tcW w:w="660" w:type="dxa"/>
            <w:vAlign w:val="bottom"/>
            <w:gridSpan w:val="2"/>
          </w:tcPr>
          <w:p>
            <w:pPr>
              <w:jc w:val="right"/>
              <w:ind w:right="80"/>
              <w:spacing w:after="0" w:line="125" w:lineRule="exact"/>
              <w:rPr>
                <w:sz w:val="20"/>
                <w:szCs w:val="20"/>
                <w:color w:val="auto"/>
              </w:rPr>
            </w:pPr>
            <w:r>
              <w:rPr>
                <w:rFonts w:ascii="Arial" w:cs="Arial" w:eastAsia="Arial" w:hAnsi="Arial"/>
                <w:sz w:val="11"/>
                <w:szCs w:val="11"/>
                <w:color w:val="050505"/>
              </w:rPr>
              <w:t>0.55%</w:t>
            </w:r>
          </w:p>
        </w:tc>
        <w:tc>
          <w:tcPr>
            <w:tcW w:w="680" w:type="dxa"/>
            <w:vAlign w:val="bottom"/>
            <w:gridSpan w:val="2"/>
          </w:tcPr>
          <w:p>
            <w:pPr>
              <w:jc w:val="right"/>
              <w:ind w:right="100"/>
              <w:spacing w:after="0" w:line="125" w:lineRule="exact"/>
              <w:rPr>
                <w:sz w:val="20"/>
                <w:szCs w:val="20"/>
                <w:color w:val="auto"/>
              </w:rPr>
            </w:pPr>
            <w:r>
              <w:rPr>
                <w:rFonts w:ascii="Arial" w:cs="Arial" w:eastAsia="Arial" w:hAnsi="Arial"/>
                <w:sz w:val="11"/>
                <w:szCs w:val="11"/>
                <w:color w:val="050505"/>
              </w:rPr>
              <w:t>0.85%</w:t>
            </w:r>
          </w:p>
        </w:tc>
        <w:tc>
          <w:tcPr>
            <w:tcW w:w="680" w:type="dxa"/>
            <w:vAlign w:val="bottom"/>
            <w:gridSpan w:val="2"/>
          </w:tcPr>
          <w:p>
            <w:pPr>
              <w:jc w:val="right"/>
              <w:ind w:right="100"/>
              <w:spacing w:after="0" w:line="125" w:lineRule="exact"/>
              <w:rPr>
                <w:sz w:val="20"/>
                <w:szCs w:val="20"/>
                <w:color w:val="auto"/>
              </w:rPr>
            </w:pPr>
            <w:r>
              <w:rPr>
                <w:rFonts w:ascii="Arial" w:cs="Arial" w:eastAsia="Arial" w:hAnsi="Arial"/>
                <w:sz w:val="11"/>
                <w:szCs w:val="11"/>
                <w:color w:val="050505"/>
              </w:rPr>
              <w:t>0.50%</w:t>
            </w:r>
          </w:p>
        </w:tc>
        <w:tc>
          <w:tcPr>
            <w:tcW w:w="680" w:type="dxa"/>
            <w:vAlign w:val="bottom"/>
            <w:gridSpan w:val="2"/>
          </w:tcPr>
          <w:p>
            <w:pPr>
              <w:jc w:val="right"/>
              <w:ind w:right="100"/>
              <w:spacing w:after="0" w:line="125" w:lineRule="exact"/>
              <w:rPr>
                <w:sz w:val="20"/>
                <w:szCs w:val="20"/>
                <w:color w:val="auto"/>
              </w:rPr>
            </w:pPr>
            <w:r>
              <w:rPr>
                <w:rFonts w:ascii="Arial" w:cs="Arial" w:eastAsia="Arial" w:hAnsi="Arial"/>
                <w:sz w:val="11"/>
                <w:szCs w:val="11"/>
                <w:color w:val="050505"/>
              </w:rPr>
              <w:t>0.52%</w:t>
            </w:r>
          </w:p>
        </w:tc>
        <w:tc>
          <w:tcPr>
            <w:tcW w:w="680" w:type="dxa"/>
            <w:vAlign w:val="bottom"/>
            <w:gridSpan w:val="2"/>
          </w:tcPr>
          <w:p>
            <w:pPr>
              <w:jc w:val="right"/>
              <w:ind w:right="100"/>
              <w:spacing w:after="0" w:line="125" w:lineRule="exact"/>
              <w:rPr>
                <w:sz w:val="20"/>
                <w:szCs w:val="20"/>
                <w:color w:val="auto"/>
              </w:rPr>
            </w:pPr>
            <w:r>
              <w:rPr>
                <w:rFonts w:ascii="Arial" w:cs="Arial" w:eastAsia="Arial" w:hAnsi="Arial"/>
                <w:sz w:val="11"/>
                <w:szCs w:val="11"/>
                <w:color w:val="050505"/>
              </w:rPr>
              <w:t>0.68%</w:t>
            </w:r>
          </w:p>
        </w:tc>
        <w:tc>
          <w:tcPr>
            <w:tcW w:w="620" w:type="dxa"/>
            <w:vAlign w:val="bottom"/>
            <w:gridSpan w:val="2"/>
          </w:tcPr>
          <w:p>
            <w:pPr>
              <w:jc w:val="right"/>
              <w:ind w:right="60"/>
              <w:spacing w:after="0" w:line="125" w:lineRule="exact"/>
              <w:rPr>
                <w:sz w:val="20"/>
                <w:szCs w:val="20"/>
                <w:color w:val="auto"/>
              </w:rPr>
            </w:pPr>
            <w:r>
              <w:rPr>
                <w:rFonts w:ascii="Arial" w:cs="Arial" w:eastAsia="Arial" w:hAnsi="Arial"/>
                <w:sz w:val="11"/>
                <w:szCs w:val="11"/>
                <w:color w:val="050505"/>
              </w:rPr>
              <w:t>0.79%</w:t>
            </w:r>
          </w:p>
        </w:tc>
      </w:tr>
      <w:tr>
        <w:trPr>
          <w:trHeight w:val="126"/>
        </w:trPr>
        <w:tc>
          <w:tcPr>
            <w:tcW w:w="2000" w:type="dxa"/>
            <w:vAlign w:val="bottom"/>
            <w:shd w:val="clear" w:color="auto" w:fill="CCEEFF"/>
          </w:tcPr>
          <w:p>
            <w:pPr>
              <w:ind w:left="40"/>
              <w:spacing w:after="0"/>
              <w:rPr>
                <w:sz w:val="20"/>
                <w:szCs w:val="20"/>
                <w:color w:val="auto"/>
              </w:rPr>
            </w:pPr>
            <w:r>
              <w:rPr>
                <w:rFonts w:ascii="Arial" w:cs="Arial" w:eastAsia="Arial" w:hAnsi="Arial"/>
                <w:sz w:val="11"/>
                <w:szCs w:val="11"/>
                <w:color w:val="050505"/>
              </w:rPr>
              <w:t>Total Workouts (in thousands)</w:t>
            </w:r>
          </w:p>
        </w:tc>
        <w:tc>
          <w:tcPr>
            <w:tcW w:w="480" w:type="dxa"/>
            <w:vAlign w:val="bottom"/>
            <w:shd w:val="clear" w:color="auto" w:fill="CCEEFF"/>
          </w:tcPr>
          <w:p>
            <w:pPr>
              <w:jc w:val="right"/>
              <w:spacing w:after="0"/>
              <w:rPr>
                <w:sz w:val="20"/>
                <w:szCs w:val="20"/>
                <w:color w:val="auto"/>
              </w:rPr>
            </w:pPr>
            <w:r>
              <w:rPr>
                <w:rFonts w:ascii="Arial" w:cs="Arial" w:eastAsia="Arial" w:hAnsi="Arial"/>
                <w:sz w:val="11"/>
                <w:szCs w:val="11"/>
                <w:color w:val="050505"/>
              </w:rPr>
              <w:t>2,501</w:t>
            </w:r>
          </w:p>
        </w:tc>
        <w:tc>
          <w:tcPr>
            <w:tcW w:w="200" w:type="dxa"/>
            <w:vAlign w:val="bottom"/>
            <w:shd w:val="clear" w:color="auto" w:fill="CCEEFF"/>
          </w:tcPr>
          <w:p>
            <w:pPr>
              <w:spacing w:after="0"/>
              <w:rPr>
                <w:sz w:val="10"/>
                <w:szCs w:val="10"/>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1"/>
                <w:szCs w:val="11"/>
                <w:color w:val="050505"/>
              </w:rPr>
              <w:t>3,231</w:t>
            </w:r>
          </w:p>
        </w:tc>
        <w:tc>
          <w:tcPr>
            <w:tcW w:w="200" w:type="dxa"/>
            <w:vAlign w:val="bottom"/>
            <w:shd w:val="clear" w:color="auto" w:fill="CCEEFF"/>
          </w:tcPr>
          <w:p>
            <w:pPr>
              <w:spacing w:after="0"/>
              <w:rPr>
                <w:sz w:val="10"/>
                <w:szCs w:val="10"/>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1"/>
                <w:szCs w:val="11"/>
                <w:color w:val="050505"/>
              </w:rPr>
              <w:t>5,902</w:t>
            </w:r>
          </w:p>
        </w:tc>
        <w:tc>
          <w:tcPr>
            <w:tcW w:w="180" w:type="dxa"/>
            <w:vAlign w:val="bottom"/>
            <w:shd w:val="clear" w:color="auto" w:fill="CCEEFF"/>
          </w:tcPr>
          <w:p>
            <w:pPr>
              <w:spacing w:after="0"/>
              <w:rPr>
                <w:sz w:val="10"/>
                <w:szCs w:val="10"/>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1"/>
                <w:szCs w:val="11"/>
                <w:color w:val="050505"/>
              </w:rPr>
              <w:t>6,223</w:t>
            </w:r>
          </w:p>
        </w:tc>
        <w:tc>
          <w:tcPr>
            <w:tcW w:w="180" w:type="dxa"/>
            <w:vAlign w:val="bottom"/>
            <w:shd w:val="clear" w:color="auto" w:fill="CCEEFF"/>
          </w:tcPr>
          <w:p>
            <w:pPr>
              <w:spacing w:after="0"/>
              <w:rPr>
                <w:sz w:val="10"/>
                <w:szCs w:val="10"/>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1"/>
                <w:szCs w:val="11"/>
                <w:color w:val="050505"/>
              </w:rPr>
              <w:t>7,069</w:t>
            </w:r>
          </w:p>
        </w:tc>
        <w:tc>
          <w:tcPr>
            <w:tcW w:w="180" w:type="dxa"/>
            <w:vAlign w:val="bottom"/>
            <w:shd w:val="clear" w:color="auto" w:fill="CCEEFF"/>
          </w:tcPr>
          <w:p>
            <w:pPr>
              <w:spacing w:after="0"/>
              <w:rPr>
                <w:sz w:val="10"/>
                <w:szCs w:val="10"/>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1"/>
                <w:szCs w:val="11"/>
                <w:color w:val="050505"/>
              </w:rPr>
              <w:t>9,336</w:t>
            </w:r>
          </w:p>
        </w:tc>
        <w:tc>
          <w:tcPr>
            <w:tcW w:w="200" w:type="dxa"/>
            <w:vAlign w:val="bottom"/>
            <w:shd w:val="clear" w:color="auto" w:fill="CCEEFF"/>
          </w:tcPr>
          <w:p>
            <w:pPr>
              <w:spacing w:after="0"/>
              <w:rPr>
                <w:sz w:val="10"/>
                <w:szCs w:val="10"/>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1"/>
                <w:szCs w:val="11"/>
                <w:color w:val="050505"/>
              </w:rPr>
              <w:t>17,988</w:t>
            </w:r>
          </w:p>
        </w:tc>
        <w:tc>
          <w:tcPr>
            <w:tcW w:w="200" w:type="dxa"/>
            <w:vAlign w:val="bottom"/>
            <w:shd w:val="clear" w:color="auto" w:fill="CCEEFF"/>
          </w:tcPr>
          <w:p>
            <w:pPr>
              <w:spacing w:after="0"/>
              <w:rPr>
                <w:sz w:val="10"/>
                <w:szCs w:val="10"/>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1"/>
                <w:szCs w:val="11"/>
                <w:color w:val="050505"/>
              </w:rPr>
              <w:t>17,759</w:t>
            </w:r>
          </w:p>
        </w:tc>
        <w:tc>
          <w:tcPr>
            <w:tcW w:w="140" w:type="dxa"/>
            <w:vAlign w:val="bottom"/>
            <w:shd w:val="clear" w:color="auto" w:fill="CCEEFF"/>
          </w:tcPr>
          <w:p>
            <w:pPr>
              <w:spacing w:after="0"/>
              <w:rPr>
                <w:sz w:val="10"/>
                <w:szCs w:val="10"/>
                <w:color w:val="auto"/>
              </w:rPr>
            </w:pPr>
          </w:p>
        </w:tc>
      </w:tr>
      <w:tr>
        <w:trPr>
          <w:trHeight w:val="127"/>
        </w:trPr>
        <w:tc>
          <w:tcPr>
            <w:tcW w:w="2000" w:type="dxa"/>
            <w:vAlign w:val="bottom"/>
          </w:tcPr>
          <w:p>
            <w:pPr>
              <w:ind w:left="40"/>
              <w:spacing w:after="0"/>
              <w:rPr>
                <w:sz w:val="20"/>
                <w:szCs w:val="20"/>
                <w:color w:val="auto"/>
              </w:rPr>
            </w:pPr>
            <w:r>
              <w:rPr>
                <w:rFonts w:ascii="Arial" w:cs="Arial" w:eastAsia="Arial" w:hAnsi="Arial"/>
                <w:sz w:val="11"/>
                <w:szCs w:val="11"/>
                <w:color w:val="050505"/>
              </w:rPr>
              <w:t>Average Monthly Workouts per</w:t>
            </w: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r>
      <w:tr>
        <w:trPr>
          <w:trHeight w:val="130"/>
        </w:trPr>
        <w:tc>
          <w:tcPr>
            <w:tcW w:w="2000" w:type="dxa"/>
            <w:vAlign w:val="bottom"/>
          </w:tcPr>
          <w:p>
            <w:pPr>
              <w:ind w:left="160"/>
              <w:spacing w:after="0"/>
              <w:rPr>
                <w:sz w:val="20"/>
                <w:szCs w:val="20"/>
                <w:color w:val="auto"/>
              </w:rPr>
            </w:pPr>
            <w:r>
              <w:rPr>
                <w:rFonts w:ascii="Arial" w:cs="Arial" w:eastAsia="Arial" w:hAnsi="Arial"/>
                <w:sz w:val="11"/>
                <w:szCs w:val="11"/>
                <w:color w:val="050505"/>
              </w:rPr>
              <w:t>Connected Fitness Subscriber</w:t>
            </w:r>
          </w:p>
        </w:tc>
        <w:tc>
          <w:tcPr>
            <w:tcW w:w="480" w:type="dxa"/>
            <w:vAlign w:val="bottom"/>
          </w:tcPr>
          <w:p>
            <w:pPr>
              <w:jc w:val="right"/>
              <w:spacing w:after="0"/>
              <w:rPr>
                <w:sz w:val="20"/>
                <w:szCs w:val="20"/>
                <w:color w:val="auto"/>
              </w:rPr>
            </w:pPr>
            <w:r>
              <w:rPr>
                <w:rFonts w:ascii="Arial" w:cs="Arial" w:eastAsia="Arial" w:hAnsi="Arial"/>
                <w:sz w:val="11"/>
                <w:szCs w:val="11"/>
                <w:color w:val="050505"/>
              </w:rPr>
              <w:t>7.1</w:t>
            </w:r>
          </w:p>
        </w:tc>
        <w:tc>
          <w:tcPr>
            <w:tcW w:w="20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050505"/>
              </w:rPr>
              <w:t>7.4</w:t>
            </w:r>
          </w:p>
        </w:tc>
        <w:tc>
          <w:tcPr>
            <w:tcW w:w="20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050505"/>
              </w:rPr>
              <w:t>9.6</w:t>
            </w:r>
          </w:p>
        </w:tc>
        <w:tc>
          <w:tcPr>
            <w:tcW w:w="18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050505"/>
              </w:rPr>
              <w:t>8.7</w:t>
            </w:r>
          </w:p>
        </w:tc>
        <w:tc>
          <w:tcPr>
            <w:tcW w:w="18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050505"/>
              </w:rPr>
              <w:t>8.9</w:t>
            </w:r>
          </w:p>
        </w:tc>
        <w:tc>
          <w:tcPr>
            <w:tcW w:w="18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050505"/>
              </w:rPr>
              <w:t>9.7</w:t>
            </w:r>
          </w:p>
        </w:tc>
        <w:tc>
          <w:tcPr>
            <w:tcW w:w="20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050505"/>
              </w:rPr>
              <w:t>13.9</w:t>
            </w:r>
          </w:p>
        </w:tc>
        <w:tc>
          <w:tcPr>
            <w:tcW w:w="20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050505"/>
              </w:rPr>
              <w:t>12.0</w:t>
            </w:r>
          </w:p>
        </w:tc>
        <w:tc>
          <w:tcPr>
            <w:tcW w:w="140" w:type="dxa"/>
            <w:vAlign w:val="bottom"/>
          </w:tcPr>
          <w:p>
            <w:pPr>
              <w:spacing w:after="0"/>
              <w:rPr>
                <w:sz w:val="11"/>
                <w:szCs w:val="11"/>
                <w:color w:val="auto"/>
              </w:rPr>
            </w:pPr>
          </w:p>
        </w:tc>
      </w:tr>
    </w:tbl>
    <w:p>
      <w:pPr>
        <w:spacing w:after="0" w:line="128" w:lineRule="exact"/>
        <w:rPr>
          <w:sz w:val="20"/>
          <w:szCs w:val="20"/>
          <w:color w:val="auto"/>
        </w:rPr>
      </w:pPr>
    </w:p>
    <w:p>
      <w:pPr>
        <w:ind w:left="2060"/>
        <w:spacing w:after="0"/>
        <w:rPr>
          <w:sz w:val="20"/>
          <w:szCs w:val="20"/>
          <w:color w:val="auto"/>
        </w:rPr>
      </w:pPr>
      <w:r>
        <w:rPr>
          <w:rFonts w:ascii="Arial" w:cs="Arial" w:eastAsia="Arial" w:hAnsi="Arial"/>
          <w:sz w:val="11"/>
          <w:szCs w:val="11"/>
          <w:b w:val="1"/>
          <w:bCs w:val="1"/>
          <w:color w:val="auto"/>
        </w:rPr>
        <w:t>Liquidity and Capital Resources</w:t>
      </w:r>
    </w:p>
    <w:p>
      <w:pPr>
        <w:spacing w:after="0" w:line="12" w:lineRule="exact"/>
        <w:rPr>
          <w:sz w:val="20"/>
          <w:szCs w:val="20"/>
          <w:color w:val="auto"/>
        </w:rPr>
      </w:pPr>
    </w:p>
    <w:p>
      <w:pPr>
        <w:jc w:val="both"/>
        <w:ind w:left="2060" w:right="839"/>
        <w:spacing w:after="0" w:line="242" w:lineRule="auto"/>
        <w:rPr>
          <w:sz w:val="20"/>
          <w:szCs w:val="20"/>
          <w:color w:val="auto"/>
        </w:rPr>
      </w:pPr>
      <w:r>
        <w:rPr>
          <w:rFonts w:ascii="Arial" w:cs="Arial" w:eastAsia="Arial" w:hAnsi="Arial"/>
          <w:sz w:val="11"/>
          <w:szCs w:val="11"/>
          <w:color w:val="050505"/>
        </w:rPr>
        <w:t>Our operations have been financed primarily through cash flow from operating activities, net proceeds from the sale of redeemable convertible preferred stock and borrowings under our Credit Agreement. As of June 30, 2019, we had cash and cash equivalents of $162.1 million and marketable securities of $216.0 million.</w:t>
      </w:r>
    </w:p>
    <w:p>
      <w:pPr>
        <w:spacing w:after="0" w:line="140" w:lineRule="exact"/>
        <w:rPr>
          <w:sz w:val="20"/>
          <w:szCs w:val="20"/>
          <w:color w:val="auto"/>
        </w:rPr>
      </w:pPr>
    </w:p>
    <w:p>
      <w:pPr>
        <w:jc w:val="both"/>
        <w:ind w:left="2060" w:right="839"/>
        <w:spacing w:after="0" w:line="239" w:lineRule="auto"/>
        <w:rPr>
          <w:sz w:val="20"/>
          <w:szCs w:val="20"/>
          <w:color w:val="auto"/>
        </w:rPr>
      </w:pPr>
      <w:r>
        <w:rPr>
          <w:rFonts w:ascii="Arial" w:cs="Arial" w:eastAsia="Arial" w:hAnsi="Arial"/>
          <w:sz w:val="11"/>
          <w:szCs w:val="11"/>
          <w:color w:val="050505"/>
        </w:rPr>
        <w:t>We believe our existing cash and cash equivalent balances, cash flow from operations, marketable securities portfolio, and amounts available for borrowing under our Credit Agreement will be sufficient to meet our working capital and capital expenditure needs for at least the next 12 months. Our future capital requirements may vary materially from those currently planned and will depend on many factors, including our rate of revenue growth, the timing and extent of spending on research and development efforts and other growth initiatives, the expansion of sales and marketing activities, the timing of new Connected Fitness Product introductions, market acceptance of our Connected Fitness Products, and overall economic conditions. To the extent that current and anticipated future sources of liquidity are insufficient to fund our future business activities and requirements, we may be required to seek additional equity or debt financing. The sale of additional equity would result in additional dilution to our stockholders. The incurrence of debt financing would result in debt service obligations and the instruments governing such debt could provide for operating and financing covenants that would restrict our operations. There can be no assurances that we will be able to raise additional capital. The inability to raise capital would adversely affect our ability to achieve our business objectives.</w:t>
      </w:r>
    </w:p>
    <w:p>
      <w:pPr>
        <w:spacing w:after="0" w:line="100" w:lineRule="exact"/>
        <w:rPr>
          <w:sz w:val="20"/>
          <w:szCs w:val="20"/>
          <w:color w:val="auto"/>
        </w:rPr>
      </w:pPr>
    </w:p>
    <w:p>
      <w:pPr>
        <w:ind w:left="5680"/>
        <w:spacing w:after="0"/>
        <w:rPr>
          <w:sz w:val="20"/>
          <w:szCs w:val="20"/>
          <w:color w:val="auto"/>
        </w:rPr>
      </w:pPr>
      <w:r>
        <w:rPr>
          <w:rFonts w:ascii="Arial" w:cs="Arial" w:eastAsia="Arial" w:hAnsi="Arial"/>
          <w:sz w:val="11"/>
          <w:szCs w:val="11"/>
          <w:color w:val="050505"/>
        </w:rPr>
        <w:t>82</w:t>
      </w:r>
    </w:p>
    <w:p>
      <w:pPr>
        <w:sectPr>
          <w:pgSz w:w="11900" w:h="16838" w:orient="portrait"/>
          <w:cols w:equalWidth="0" w:num="1">
            <w:col w:w="10239"/>
          </w:cols>
          <w:pgMar w:left="220" w:top="354" w:right="1440" w:bottom="1440" w:gutter="0" w:footer="0" w:header="0"/>
        </w:sectPr>
      </w:pPr>
    </w:p>
    <w:bookmarkStart w:id="87" w:name="page88"/>
    <w:bookmarkEnd w:id="87"/>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hyperlink w:anchor="page5">
        <w:r>
          <w:rPr>
            <w:rFonts w:ascii="Arial" w:cs="Arial" w:eastAsia="Arial" w:hAnsi="Arial"/>
            <w:sz w:val="12"/>
            <w:szCs w:val="12"/>
            <w:b w:val="1"/>
            <w:bCs w:val="1"/>
            <w:u w:val="single" w:color="auto"/>
            <w:color w:val="0000EE"/>
          </w:rPr>
          <w:t>Table of Contents</w:t>
        </w:r>
      </w:hyperlink>
    </w:p>
    <w:p>
      <w:pPr>
        <w:spacing w:after="0" w:line="204" w:lineRule="exact"/>
        <w:rPr>
          <w:sz w:val="20"/>
          <w:szCs w:val="20"/>
          <w:color w:val="auto"/>
        </w:rPr>
      </w:pPr>
    </w:p>
    <w:p>
      <w:pPr>
        <w:ind w:left="2060"/>
        <w:spacing w:after="0"/>
        <w:rPr>
          <w:sz w:val="20"/>
          <w:szCs w:val="20"/>
          <w:color w:val="auto"/>
        </w:rPr>
      </w:pPr>
      <w:r>
        <w:rPr>
          <w:rFonts w:ascii="Arial" w:cs="Arial" w:eastAsia="Arial" w:hAnsi="Arial"/>
          <w:sz w:val="11"/>
          <w:szCs w:val="11"/>
          <w:b w:val="1"/>
          <w:bCs w:val="1"/>
          <w:i w:val="1"/>
          <w:iCs w:val="1"/>
          <w:u w:val="single" w:color="auto"/>
          <w:color w:val="auto"/>
        </w:rPr>
        <w:t>Amended and Restated Credit Agreement</w:t>
      </w:r>
    </w:p>
    <w:p>
      <w:pPr>
        <w:spacing w:after="0" w:line="12" w:lineRule="exact"/>
        <w:rPr>
          <w:sz w:val="20"/>
          <w:szCs w:val="20"/>
          <w:color w:val="auto"/>
        </w:rPr>
      </w:pPr>
    </w:p>
    <w:p>
      <w:pPr>
        <w:jc w:val="both"/>
        <w:ind w:left="2060" w:right="839"/>
        <w:spacing w:after="0" w:line="268" w:lineRule="auto"/>
        <w:rPr>
          <w:sz w:val="20"/>
          <w:szCs w:val="20"/>
          <w:color w:val="auto"/>
        </w:rPr>
      </w:pPr>
      <w:r>
        <w:rPr>
          <w:rFonts w:ascii="Arial" w:cs="Arial" w:eastAsia="Arial" w:hAnsi="Arial"/>
          <w:sz w:val="10"/>
          <w:szCs w:val="10"/>
          <w:color w:val="050505"/>
        </w:rPr>
        <w:t>In June 2019, we entered into the Credit Agreement with JPMorgan Chase Bank, N.A., as administrative agent, lead arranger and bookrunner and Bank of America, N.A., Barclays Bank PLC, Goldman Sachs Lending Partners LLC, and Silicon Valley Bank, as joint syndication agents, which amended and restated the loan and security agreement we previously entered into in November 2017. The Credit Agreement provides for a $250.0 million secured revolving credit facility, including up to the lesser of $150.0 million and the aggregate unused amount of the facility for the issuance of letters of credit. Interest on the Credit Agreement is paid based on LIBOR plus 2.75% or an Alternative Base Rate plus 1.75%. We are required to pay an annual commitment fee of 0.375% on a quarterly basis based on the unused portion of the revolving credit facility. The principal amount, if any, is payable in full in June 2024. As of June 30, 2019, we had not drawn on the credit facility and did not have outstanding borrowings under the Credit Agreement.</w:t>
      </w:r>
    </w:p>
    <w:p>
      <w:pPr>
        <w:spacing w:after="0" w:line="128" w:lineRule="exact"/>
        <w:rPr>
          <w:sz w:val="20"/>
          <w:szCs w:val="20"/>
          <w:color w:val="auto"/>
        </w:rPr>
      </w:pPr>
    </w:p>
    <w:p>
      <w:pPr>
        <w:jc w:val="both"/>
        <w:ind w:left="2060" w:right="839"/>
        <w:spacing w:after="0"/>
        <w:rPr>
          <w:sz w:val="20"/>
          <w:szCs w:val="20"/>
          <w:color w:val="auto"/>
        </w:rPr>
      </w:pPr>
      <w:r>
        <w:rPr>
          <w:rFonts w:ascii="Arial" w:cs="Arial" w:eastAsia="Arial" w:hAnsi="Arial"/>
          <w:sz w:val="11"/>
          <w:szCs w:val="11"/>
          <w:color w:val="050505"/>
        </w:rPr>
        <w:t>We have the option to repay our borrowings under the Credit Agreement without premium or penalty prior to maturity. The Credit Agreement contains customary affirmative covenants, such as financial statement reporting requirements and delivery of borrowing base certificates, as well as customary covenants that restrict our ability to, among other things, incur additional indebtedness, sell certain assets, guarantee obligations of third parties, declare dividends or make certain distributions, and undergo a merger or consolidation or certain other transactions. The Credit Agreement also contains certain financial condition covenants, including maintaining a total level of liquidity of not less than $125.0 million and maintaining certain minimum total revenue ranging from $725 million to $1,985 million depending on the applicable date of determination. As of June 30, 2019, we were in compliance with the covenants under the Credit Agreement. As of June 30, 2019, we had outstanding letters of credit totaling $40.1 million issued primarily to cover security deposits for our operating lease and inventory purchase obligations.</w:t>
      </w:r>
    </w:p>
    <w:p>
      <w:pPr>
        <w:spacing w:after="0" w:line="121" w:lineRule="exact"/>
        <w:rPr>
          <w:sz w:val="20"/>
          <w:szCs w:val="20"/>
          <w:color w:val="auto"/>
        </w:rPr>
      </w:pPr>
    </w:p>
    <w:tbl>
      <w:tblPr>
        <w:tblLayout w:type="fixed"/>
        <w:tblInd w:w="2060" w:type="dxa"/>
        <w:tblCellMar>
          <w:top w:w="0" w:type="dxa"/>
          <w:left w:w="0" w:type="dxa"/>
          <w:bottom w:w="0" w:type="dxa"/>
          <w:right w:w="0" w:type="dxa"/>
        </w:tblCellMar>
      </w:tblPr>
      <w:tr>
        <w:trPr>
          <w:trHeight w:val="126"/>
        </w:trPr>
        <w:tc>
          <w:tcPr>
            <w:tcW w:w="3960" w:type="dxa"/>
            <w:vAlign w:val="bottom"/>
            <w:gridSpan w:val="2"/>
          </w:tcPr>
          <w:p>
            <w:pPr>
              <w:spacing w:after="0"/>
              <w:rPr>
                <w:sz w:val="20"/>
                <w:szCs w:val="20"/>
                <w:color w:val="auto"/>
              </w:rPr>
            </w:pPr>
            <w:r>
              <w:rPr>
                <w:rFonts w:ascii="Arial" w:cs="Arial" w:eastAsia="Arial" w:hAnsi="Arial"/>
                <w:sz w:val="11"/>
                <w:szCs w:val="11"/>
                <w:b w:val="1"/>
                <w:bCs w:val="1"/>
                <w:color w:val="auto"/>
              </w:rPr>
              <w:t>Cash Flows</w:t>
            </w:r>
          </w:p>
        </w:tc>
        <w:tc>
          <w:tcPr>
            <w:tcW w:w="12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r>
      <w:tr>
        <w:trPr>
          <w:trHeight w:val="286"/>
        </w:trPr>
        <w:tc>
          <w:tcPr>
            <w:tcW w:w="600" w:type="dxa"/>
            <w:vAlign w:val="bottom"/>
            <w:tcBorders>
              <w:top w:val="single" w:sz="8" w:color="auto"/>
            </w:tcBorders>
          </w:tcPr>
          <w:p>
            <w:pPr>
              <w:spacing w:after="0"/>
              <w:rPr>
                <w:sz w:val="24"/>
                <w:szCs w:val="24"/>
                <w:color w:val="auto"/>
              </w:rPr>
            </w:pPr>
          </w:p>
        </w:tc>
        <w:tc>
          <w:tcPr>
            <w:tcW w:w="33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160" w:type="dxa"/>
            <w:vAlign w:val="bottom"/>
            <w:gridSpan w:val="5"/>
          </w:tcPr>
          <w:p>
            <w:pPr>
              <w:jc w:val="right"/>
              <w:ind w:right="420"/>
              <w:spacing w:after="0"/>
              <w:rPr>
                <w:sz w:val="20"/>
                <w:szCs w:val="20"/>
                <w:color w:val="auto"/>
              </w:rPr>
            </w:pPr>
            <w:r>
              <w:rPr>
                <w:rFonts w:ascii="Arial" w:cs="Arial" w:eastAsia="Arial" w:hAnsi="Arial"/>
                <w:sz w:val="11"/>
                <w:szCs w:val="11"/>
                <w:b w:val="1"/>
                <w:bCs w:val="1"/>
                <w:color w:val="050505"/>
              </w:rPr>
              <w:t>Fiscal Year Ended June 30,</w:t>
            </w:r>
          </w:p>
        </w:tc>
      </w:tr>
      <w:tr>
        <w:trPr>
          <w:trHeight w:val="115"/>
        </w:trPr>
        <w:tc>
          <w:tcPr>
            <w:tcW w:w="600" w:type="dxa"/>
            <w:vAlign w:val="bottom"/>
          </w:tcPr>
          <w:p>
            <w:pPr>
              <w:spacing w:after="0"/>
              <w:rPr>
                <w:sz w:val="10"/>
                <w:szCs w:val="10"/>
                <w:color w:val="auto"/>
              </w:rPr>
            </w:pPr>
          </w:p>
        </w:tc>
        <w:tc>
          <w:tcPr>
            <w:tcW w:w="336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620" w:type="dxa"/>
            <w:vAlign w:val="bottom"/>
            <w:tcBorders>
              <w:top w:val="single" w:sz="8" w:color="auto"/>
              <w:bottom w:val="single" w:sz="8" w:color="auto"/>
            </w:tcBorders>
          </w:tcPr>
          <w:p>
            <w:pPr>
              <w:jc w:val="right"/>
              <w:ind w:right="206"/>
              <w:spacing w:after="0" w:line="115" w:lineRule="exact"/>
              <w:rPr>
                <w:sz w:val="20"/>
                <w:szCs w:val="20"/>
                <w:color w:val="auto"/>
              </w:rPr>
            </w:pPr>
            <w:r>
              <w:rPr>
                <w:rFonts w:ascii="Arial" w:cs="Arial" w:eastAsia="Arial" w:hAnsi="Arial"/>
                <w:sz w:val="11"/>
                <w:szCs w:val="11"/>
                <w:b w:val="1"/>
                <w:bCs w:val="1"/>
                <w:color w:val="050505"/>
              </w:rPr>
              <w:t>2017</w:t>
            </w:r>
          </w:p>
        </w:tc>
        <w:tc>
          <w:tcPr>
            <w:tcW w:w="300" w:type="dxa"/>
            <w:vAlign w:val="bottom"/>
            <w:tcBorders>
              <w:top w:val="single" w:sz="8" w:color="auto"/>
              <w:bottom w:val="single" w:sz="8" w:color="auto"/>
            </w:tcBorders>
          </w:tcPr>
          <w:p>
            <w:pPr>
              <w:spacing w:after="0"/>
              <w:rPr>
                <w:sz w:val="10"/>
                <w:szCs w:val="10"/>
                <w:color w:val="auto"/>
              </w:rPr>
            </w:pPr>
          </w:p>
        </w:tc>
        <w:tc>
          <w:tcPr>
            <w:tcW w:w="540" w:type="dxa"/>
            <w:vAlign w:val="bottom"/>
            <w:tcBorders>
              <w:top w:val="single" w:sz="8" w:color="auto"/>
              <w:bottom w:val="single" w:sz="8" w:color="auto"/>
            </w:tcBorders>
          </w:tcPr>
          <w:p>
            <w:pPr>
              <w:jc w:val="right"/>
              <w:ind w:right="226"/>
              <w:spacing w:after="0" w:line="115" w:lineRule="exact"/>
              <w:rPr>
                <w:sz w:val="20"/>
                <w:szCs w:val="20"/>
                <w:color w:val="auto"/>
              </w:rPr>
            </w:pPr>
            <w:r>
              <w:rPr>
                <w:rFonts w:ascii="Arial" w:cs="Arial" w:eastAsia="Arial" w:hAnsi="Arial"/>
                <w:sz w:val="11"/>
                <w:szCs w:val="11"/>
                <w:b w:val="1"/>
                <w:bCs w:val="1"/>
                <w:color w:val="050505"/>
                <w:w w:val="97"/>
              </w:rPr>
              <w:t>2018</w:t>
            </w:r>
          </w:p>
        </w:tc>
        <w:tc>
          <w:tcPr>
            <w:tcW w:w="620" w:type="dxa"/>
            <w:vAlign w:val="bottom"/>
            <w:tcBorders>
              <w:top w:val="single" w:sz="8" w:color="auto"/>
              <w:bottom w:val="single" w:sz="8" w:color="auto"/>
            </w:tcBorders>
          </w:tcPr>
          <w:p>
            <w:pPr>
              <w:jc w:val="right"/>
              <w:ind w:right="66"/>
              <w:spacing w:after="0" w:line="115" w:lineRule="exact"/>
              <w:rPr>
                <w:sz w:val="20"/>
                <w:szCs w:val="20"/>
                <w:color w:val="auto"/>
              </w:rPr>
            </w:pPr>
            <w:r>
              <w:rPr>
                <w:rFonts w:ascii="Arial" w:cs="Arial" w:eastAsia="Arial" w:hAnsi="Arial"/>
                <w:sz w:val="11"/>
                <w:szCs w:val="11"/>
                <w:b w:val="1"/>
                <w:bCs w:val="1"/>
                <w:color w:val="050505"/>
              </w:rPr>
              <w:t>2019</w:t>
            </w:r>
          </w:p>
        </w:tc>
        <w:tc>
          <w:tcPr>
            <w:tcW w:w="80" w:type="dxa"/>
            <w:vAlign w:val="bottom"/>
          </w:tcPr>
          <w:p>
            <w:pPr>
              <w:spacing w:after="0"/>
              <w:rPr>
                <w:sz w:val="10"/>
                <w:szCs w:val="10"/>
                <w:color w:val="auto"/>
              </w:rPr>
            </w:pPr>
          </w:p>
        </w:tc>
      </w:tr>
      <w:tr>
        <w:trPr>
          <w:trHeight w:val="115"/>
        </w:trPr>
        <w:tc>
          <w:tcPr>
            <w:tcW w:w="600" w:type="dxa"/>
            <w:vAlign w:val="bottom"/>
          </w:tcPr>
          <w:p>
            <w:pPr>
              <w:spacing w:after="0"/>
              <w:rPr>
                <w:sz w:val="10"/>
                <w:szCs w:val="10"/>
                <w:color w:val="auto"/>
              </w:rPr>
            </w:pPr>
          </w:p>
        </w:tc>
        <w:tc>
          <w:tcPr>
            <w:tcW w:w="336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40" w:type="dxa"/>
            <w:vAlign w:val="bottom"/>
            <w:gridSpan w:val="2"/>
          </w:tcPr>
          <w:p>
            <w:pPr>
              <w:jc w:val="right"/>
              <w:ind w:right="66"/>
              <w:spacing w:after="0" w:line="115" w:lineRule="exact"/>
              <w:rPr>
                <w:sz w:val="20"/>
                <w:szCs w:val="20"/>
                <w:color w:val="auto"/>
              </w:rPr>
            </w:pPr>
            <w:r>
              <w:rPr>
                <w:rFonts w:ascii="Arial" w:cs="Arial" w:eastAsia="Arial" w:hAnsi="Arial"/>
                <w:sz w:val="11"/>
                <w:szCs w:val="11"/>
                <w:b w:val="1"/>
                <w:bCs w:val="1"/>
                <w:color w:val="050505"/>
              </w:rPr>
              <w:t>(in millions)</w:t>
            </w: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r>
      <w:tr>
        <w:trPr>
          <w:trHeight w:val="126"/>
        </w:trPr>
        <w:tc>
          <w:tcPr>
            <w:tcW w:w="3960" w:type="dxa"/>
            <w:vAlign w:val="bottom"/>
            <w:gridSpan w:val="2"/>
            <w:shd w:val="clear" w:color="auto" w:fill="CCEEFF"/>
          </w:tcPr>
          <w:p>
            <w:pPr>
              <w:ind w:left="40"/>
              <w:spacing w:after="0"/>
              <w:rPr>
                <w:sz w:val="20"/>
                <w:szCs w:val="20"/>
                <w:color w:val="auto"/>
              </w:rPr>
            </w:pPr>
            <w:r>
              <w:rPr>
                <w:rFonts w:ascii="Arial" w:cs="Arial" w:eastAsia="Arial" w:hAnsi="Arial"/>
                <w:sz w:val="11"/>
                <w:szCs w:val="11"/>
                <w:color w:val="050505"/>
              </w:rPr>
              <w:t>Net cash flows provided by (used in) operating activities</w:t>
            </w:r>
          </w:p>
        </w:tc>
        <w:tc>
          <w:tcPr>
            <w:tcW w:w="1860" w:type="dxa"/>
            <w:vAlign w:val="bottom"/>
            <w:gridSpan w:val="2"/>
            <w:shd w:val="clear" w:color="auto" w:fill="CCEEFF"/>
          </w:tcPr>
          <w:p>
            <w:pPr>
              <w:jc w:val="right"/>
              <w:ind w:right="46"/>
              <w:spacing w:after="0"/>
              <w:rPr>
                <w:sz w:val="20"/>
                <w:szCs w:val="20"/>
                <w:color w:val="auto"/>
              </w:rPr>
            </w:pPr>
            <w:r>
              <w:rPr>
                <w:rFonts w:ascii="Arial" w:cs="Arial" w:eastAsia="Arial" w:hAnsi="Arial"/>
                <w:sz w:val="11"/>
                <w:szCs w:val="11"/>
                <w:color w:val="050505"/>
              </w:rPr>
              <w:t>$   (18.6)</w:t>
            </w:r>
          </w:p>
        </w:tc>
        <w:tc>
          <w:tcPr>
            <w:tcW w:w="300" w:type="dxa"/>
            <w:vAlign w:val="bottom"/>
            <w:shd w:val="clear" w:color="auto" w:fill="CCEEFF"/>
          </w:tcPr>
          <w:p>
            <w:pPr>
              <w:jc w:val="right"/>
              <w:spacing w:after="0"/>
              <w:rPr>
                <w:sz w:val="20"/>
                <w:szCs w:val="20"/>
                <w:color w:val="auto"/>
              </w:rPr>
            </w:pPr>
            <w:r>
              <w:rPr>
                <w:rFonts w:ascii="Arial" w:cs="Arial" w:eastAsia="Arial" w:hAnsi="Arial"/>
                <w:sz w:val="11"/>
                <w:szCs w:val="11"/>
                <w:color w:val="050505"/>
              </w:rPr>
              <w:t>$</w:t>
            </w:r>
          </w:p>
        </w:tc>
        <w:tc>
          <w:tcPr>
            <w:tcW w:w="540" w:type="dxa"/>
            <w:vAlign w:val="bottom"/>
            <w:shd w:val="clear" w:color="auto" w:fill="CCEEFF"/>
          </w:tcPr>
          <w:p>
            <w:pPr>
              <w:jc w:val="right"/>
              <w:ind w:right="86"/>
              <w:spacing w:after="0"/>
              <w:rPr>
                <w:sz w:val="20"/>
                <w:szCs w:val="20"/>
                <w:color w:val="auto"/>
              </w:rPr>
            </w:pPr>
            <w:r>
              <w:rPr>
                <w:rFonts w:ascii="Arial" w:cs="Arial" w:eastAsia="Arial" w:hAnsi="Arial"/>
                <w:sz w:val="11"/>
                <w:szCs w:val="11"/>
                <w:color w:val="050505"/>
              </w:rPr>
              <w:t>49.7</w:t>
            </w: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050505"/>
              </w:rPr>
              <w:t>$  (108.6)</w:t>
            </w:r>
          </w:p>
        </w:tc>
      </w:tr>
      <w:tr>
        <w:trPr>
          <w:trHeight w:val="126"/>
        </w:trPr>
        <w:tc>
          <w:tcPr>
            <w:tcW w:w="3960" w:type="dxa"/>
            <w:vAlign w:val="bottom"/>
            <w:gridSpan w:val="2"/>
          </w:tcPr>
          <w:p>
            <w:pPr>
              <w:ind w:left="40"/>
              <w:spacing w:after="0"/>
              <w:rPr>
                <w:sz w:val="20"/>
                <w:szCs w:val="20"/>
                <w:color w:val="auto"/>
              </w:rPr>
            </w:pPr>
            <w:r>
              <w:rPr>
                <w:rFonts w:ascii="Arial" w:cs="Arial" w:eastAsia="Arial" w:hAnsi="Arial"/>
                <w:sz w:val="11"/>
                <w:szCs w:val="11"/>
                <w:color w:val="050505"/>
              </w:rPr>
              <w:t>Net cash flows used in investing activities</w:t>
            </w:r>
          </w:p>
        </w:tc>
        <w:tc>
          <w:tcPr>
            <w:tcW w:w="1860" w:type="dxa"/>
            <w:vAlign w:val="bottom"/>
            <w:gridSpan w:val="2"/>
          </w:tcPr>
          <w:p>
            <w:pPr>
              <w:jc w:val="right"/>
              <w:ind w:right="46"/>
              <w:spacing w:after="0"/>
              <w:rPr>
                <w:sz w:val="20"/>
                <w:szCs w:val="20"/>
                <w:color w:val="auto"/>
              </w:rPr>
            </w:pPr>
            <w:r>
              <w:rPr>
                <w:rFonts w:ascii="Arial" w:cs="Arial" w:eastAsia="Arial" w:hAnsi="Arial"/>
                <w:sz w:val="11"/>
                <w:szCs w:val="11"/>
                <w:color w:val="050505"/>
              </w:rPr>
              <w:t>(10.2)</w:t>
            </w:r>
          </w:p>
        </w:tc>
        <w:tc>
          <w:tcPr>
            <w:tcW w:w="300" w:type="dxa"/>
            <w:vAlign w:val="bottom"/>
          </w:tcPr>
          <w:p>
            <w:pPr>
              <w:spacing w:after="0"/>
              <w:rPr>
                <w:sz w:val="10"/>
                <w:szCs w:val="10"/>
                <w:color w:val="auto"/>
              </w:rPr>
            </w:pPr>
          </w:p>
        </w:tc>
        <w:tc>
          <w:tcPr>
            <w:tcW w:w="540" w:type="dxa"/>
            <w:vAlign w:val="bottom"/>
          </w:tcPr>
          <w:p>
            <w:pPr>
              <w:jc w:val="right"/>
              <w:ind w:right="66"/>
              <w:spacing w:after="0"/>
              <w:rPr>
                <w:sz w:val="20"/>
                <w:szCs w:val="20"/>
                <w:color w:val="auto"/>
              </w:rPr>
            </w:pPr>
            <w:r>
              <w:rPr>
                <w:rFonts w:ascii="Arial" w:cs="Arial" w:eastAsia="Arial" w:hAnsi="Arial"/>
                <w:sz w:val="11"/>
                <w:szCs w:val="11"/>
                <w:color w:val="050505"/>
              </w:rPr>
              <w:t>(56.7)</w:t>
            </w:r>
          </w:p>
        </w:tc>
        <w:tc>
          <w:tcPr>
            <w:tcW w:w="700" w:type="dxa"/>
            <w:vAlign w:val="bottom"/>
            <w:gridSpan w:val="2"/>
          </w:tcPr>
          <w:p>
            <w:pPr>
              <w:jc w:val="right"/>
              <w:ind w:right="40"/>
              <w:spacing w:after="0"/>
              <w:rPr>
                <w:sz w:val="20"/>
                <w:szCs w:val="20"/>
                <w:color w:val="auto"/>
              </w:rPr>
            </w:pPr>
            <w:r>
              <w:rPr>
                <w:rFonts w:ascii="Arial" w:cs="Arial" w:eastAsia="Arial" w:hAnsi="Arial"/>
                <w:sz w:val="11"/>
                <w:szCs w:val="11"/>
                <w:color w:val="050505"/>
              </w:rPr>
              <w:t>(297.5)</w:t>
            </w:r>
          </w:p>
        </w:tc>
      </w:tr>
      <w:tr>
        <w:trPr>
          <w:trHeight w:val="126"/>
        </w:trPr>
        <w:tc>
          <w:tcPr>
            <w:tcW w:w="3960" w:type="dxa"/>
            <w:vAlign w:val="bottom"/>
            <w:gridSpan w:val="2"/>
            <w:shd w:val="clear" w:color="auto" w:fill="CCEEFF"/>
          </w:tcPr>
          <w:p>
            <w:pPr>
              <w:ind w:left="40"/>
              <w:spacing w:after="0"/>
              <w:rPr>
                <w:sz w:val="20"/>
                <w:szCs w:val="20"/>
                <w:color w:val="auto"/>
              </w:rPr>
            </w:pPr>
            <w:r>
              <w:rPr>
                <w:rFonts w:ascii="Arial" w:cs="Arial" w:eastAsia="Arial" w:hAnsi="Arial"/>
                <w:sz w:val="11"/>
                <w:szCs w:val="11"/>
                <w:color w:val="050505"/>
              </w:rPr>
              <w:t>Net cash flow from financing activities</w:t>
            </w:r>
          </w:p>
        </w:tc>
        <w:tc>
          <w:tcPr>
            <w:tcW w:w="1860" w:type="dxa"/>
            <w:vAlign w:val="bottom"/>
            <w:gridSpan w:val="2"/>
            <w:shd w:val="clear" w:color="auto" w:fill="CCEEFF"/>
          </w:tcPr>
          <w:p>
            <w:pPr>
              <w:jc w:val="right"/>
              <w:ind w:right="86"/>
              <w:spacing w:after="0"/>
              <w:rPr>
                <w:sz w:val="20"/>
                <w:szCs w:val="20"/>
                <w:color w:val="auto"/>
              </w:rPr>
            </w:pPr>
            <w:r>
              <w:rPr>
                <w:rFonts w:ascii="Arial" w:cs="Arial" w:eastAsia="Arial" w:hAnsi="Arial"/>
                <w:sz w:val="11"/>
                <w:szCs w:val="11"/>
                <w:color w:val="050505"/>
              </w:rPr>
              <w:t>143.6</w:t>
            </w:r>
          </w:p>
        </w:tc>
        <w:tc>
          <w:tcPr>
            <w:tcW w:w="300" w:type="dxa"/>
            <w:vAlign w:val="bottom"/>
            <w:shd w:val="clear" w:color="auto" w:fill="CCEEFF"/>
          </w:tcPr>
          <w:p>
            <w:pPr>
              <w:spacing w:after="0"/>
              <w:rPr>
                <w:sz w:val="10"/>
                <w:szCs w:val="10"/>
                <w:color w:val="auto"/>
              </w:rPr>
            </w:pPr>
          </w:p>
        </w:tc>
        <w:tc>
          <w:tcPr>
            <w:tcW w:w="540" w:type="dxa"/>
            <w:vAlign w:val="bottom"/>
            <w:shd w:val="clear" w:color="auto" w:fill="CCEEFF"/>
          </w:tcPr>
          <w:p>
            <w:pPr>
              <w:jc w:val="right"/>
              <w:ind w:right="86"/>
              <w:spacing w:after="0"/>
              <w:rPr>
                <w:sz w:val="20"/>
                <w:szCs w:val="20"/>
                <w:color w:val="auto"/>
              </w:rPr>
            </w:pPr>
            <w:r>
              <w:rPr>
                <w:rFonts w:ascii="Arial" w:cs="Arial" w:eastAsia="Arial" w:hAnsi="Arial"/>
                <w:sz w:val="11"/>
                <w:szCs w:val="11"/>
                <w:color w:val="050505"/>
              </w:rPr>
              <w:t>3.1</w:t>
            </w:r>
          </w:p>
        </w:tc>
        <w:tc>
          <w:tcPr>
            <w:tcW w:w="620" w:type="dxa"/>
            <w:vAlign w:val="bottom"/>
            <w:shd w:val="clear" w:color="auto" w:fill="CCEEFF"/>
          </w:tcPr>
          <w:p>
            <w:pPr>
              <w:jc w:val="right"/>
              <w:spacing w:after="0"/>
              <w:rPr>
                <w:sz w:val="20"/>
                <w:szCs w:val="20"/>
                <w:color w:val="auto"/>
              </w:rPr>
            </w:pPr>
            <w:r>
              <w:rPr>
                <w:rFonts w:ascii="Arial" w:cs="Arial" w:eastAsia="Arial" w:hAnsi="Arial"/>
                <w:sz w:val="11"/>
                <w:szCs w:val="11"/>
                <w:color w:val="050505"/>
              </w:rPr>
              <w:t>417.2</w:t>
            </w:r>
          </w:p>
        </w:tc>
        <w:tc>
          <w:tcPr>
            <w:tcW w:w="80" w:type="dxa"/>
            <w:vAlign w:val="bottom"/>
            <w:shd w:val="clear" w:color="auto" w:fill="CCEEFF"/>
          </w:tcPr>
          <w:p>
            <w:pPr>
              <w:spacing w:after="0"/>
              <w:rPr>
                <w:sz w:val="10"/>
                <w:szCs w:val="10"/>
                <w:color w:val="auto"/>
              </w:rPr>
            </w:pPr>
          </w:p>
        </w:tc>
      </w:tr>
    </w:tbl>
    <w:p>
      <w:pPr>
        <w:spacing w:after="0" w:line="133" w:lineRule="exact"/>
        <w:rPr>
          <w:sz w:val="20"/>
          <w:szCs w:val="20"/>
          <w:color w:val="auto"/>
        </w:rPr>
      </w:pPr>
    </w:p>
    <w:p>
      <w:pPr>
        <w:ind w:left="2060"/>
        <w:spacing w:after="0"/>
        <w:rPr>
          <w:sz w:val="20"/>
          <w:szCs w:val="20"/>
          <w:color w:val="auto"/>
        </w:rPr>
      </w:pPr>
      <w:r>
        <w:rPr>
          <w:rFonts w:ascii="Arial" w:cs="Arial" w:eastAsia="Arial" w:hAnsi="Arial"/>
          <w:sz w:val="11"/>
          <w:szCs w:val="11"/>
          <w:b w:val="1"/>
          <w:bCs w:val="1"/>
          <w:i w:val="1"/>
          <w:iCs w:val="1"/>
          <w:color w:val="auto"/>
        </w:rPr>
        <w:t>Operating Activities</w:t>
      </w:r>
    </w:p>
    <w:p>
      <w:pPr>
        <w:spacing w:after="0" w:line="12" w:lineRule="exact"/>
        <w:rPr>
          <w:sz w:val="20"/>
          <w:szCs w:val="20"/>
          <w:color w:val="auto"/>
        </w:rPr>
      </w:pPr>
    </w:p>
    <w:p>
      <w:pPr>
        <w:jc w:val="both"/>
        <w:ind w:left="2060" w:right="839"/>
        <w:spacing w:after="0"/>
        <w:rPr>
          <w:sz w:val="20"/>
          <w:szCs w:val="20"/>
          <w:color w:val="auto"/>
        </w:rPr>
      </w:pPr>
      <w:r>
        <w:rPr>
          <w:rFonts w:ascii="Arial" w:cs="Arial" w:eastAsia="Arial" w:hAnsi="Arial"/>
          <w:sz w:val="11"/>
          <w:szCs w:val="11"/>
          <w:color w:val="050505"/>
        </w:rPr>
        <w:t>Net cash used in operating activities of $(108.6) million for fiscal 2019 was primarily due to a net loss of $195.6 million and a decrease in net change in operating assets and liabilities of $22.9 million, partially offset by non-cash adjustments of $109.8 million. The decrease in net operating assets and liabilities was primarily due to an $111.3 million increase in inventory levels as a result of our introduction of the Peloton Tread, as well as our expansion into the United Kingdom and Canada, and a $30.3 million increase in prepaid expenses and other current assets driven by general growth; partially offset by an $117.3 million increase in accounts payable and accrued expenses related to increased expenditures to support general business growth. Non-cash adjustments primarily consisted of stock-based compensation expense of $89.5 million of which $61.7 million related to a tender offer completed in October 2018.</w:t>
      </w:r>
    </w:p>
    <w:p>
      <w:pPr>
        <w:spacing w:after="0" w:line="141" w:lineRule="exact"/>
        <w:rPr>
          <w:sz w:val="20"/>
          <w:szCs w:val="20"/>
          <w:color w:val="auto"/>
        </w:rPr>
      </w:pPr>
    </w:p>
    <w:p>
      <w:pPr>
        <w:jc w:val="both"/>
        <w:ind w:left="2060" w:right="839"/>
        <w:spacing w:after="0" w:line="268" w:lineRule="auto"/>
        <w:rPr>
          <w:sz w:val="20"/>
          <w:szCs w:val="20"/>
          <w:color w:val="auto"/>
        </w:rPr>
      </w:pPr>
      <w:r>
        <w:rPr>
          <w:rFonts w:ascii="Arial" w:cs="Arial" w:eastAsia="Arial" w:hAnsi="Arial"/>
          <w:sz w:val="10"/>
          <w:szCs w:val="10"/>
          <w:color w:val="050505"/>
        </w:rPr>
        <w:t>Net cash provided by operating activities of $49.7 million for fiscal 2018 was primarily due to an increase in net change in operating assets and liabilities of $81.5 million and non-cash adjustments of $16.1 million, partially offset by a net loss of $47.9 million. The increase in net change in operating assets and liabilities was primarily due to a $63.0 million increase in deferred revenue associated with our prior Subscription offering launched in October 2017 whereby customers could purchase a subscription upfront for a 39-month term as well as overall growth in our sales of Connected Fitness Products, and a $41.0 million increase in accounts payable and accrued expenses related to growth of expenditures to support general business growth; partially offset by a $9.6 million increase in inventory levels and a $12.1 million increase in prepaid expenses and other current assets driven by general growth. Non-cash adjustments primarily consisted of stock-based compensation expense and depreciation and amortization expense.</w:t>
      </w:r>
    </w:p>
    <w:p>
      <w:pPr>
        <w:spacing w:after="0" w:line="128" w:lineRule="exact"/>
        <w:rPr>
          <w:sz w:val="20"/>
          <w:szCs w:val="20"/>
          <w:color w:val="auto"/>
        </w:rPr>
      </w:pPr>
    </w:p>
    <w:p>
      <w:pPr>
        <w:jc w:val="both"/>
        <w:ind w:left="2060" w:right="839"/>
        <w:spacing w:after="0" w:line="245" w:lineRule="auto"/>
        <w:rPr>
          <w:sz w:val="20"/>
          <w:szCs w:val="20"/>
          <w:color w:val="auto"/>
        </w:rPr>
      </w:pPr>
      <w:r>
        <w:rPr>
          <w:rFonts w:ascii="Arial" w:cs="Arial" w:eastAsia="Arial" w:hAnsi="Arial"/>
          <w:sz w:val="11"/>
          <w:szCs w:val="11"/>
          <w:color w:val="050505"/>
        </w:rPr>
        <w:t>Net cash used in operating activities of $18.6 million for fiscal 2017 was primarily due to a net loss of $71.1 million, partially offset by an increase in net change in operating assets and liabilities of $38.2 million and non-cash adjustments of</w:t>
      </w:r>
    </w:p>
    <w:p>
      <w:pPr>
        <w:spacing w:after="0" w:line="93" w:lineRule="exact"/>
        <w:rPr>
          <w:sz w:val="20"/>
          <w:szCs w:val="20"/>
          <w:color w:val="auto"/>
        </w:rPr>
      </w:pPr>
    </w:p>
    <w:p>
      <w:pPr>
        <w:ind w:left="5680"/>
        <w:spacing w:after="0"/>
        <w:rPr>
          <w:sz w:val="20"/>
          <w:szCs w:val="20"/>
          <w:color w:val="auto"/>
        </w:rPr>
      </w:pPr>
      <w:r>
        <w:rPr>
          <w:rFonts w:ascii="Arial" w:cs="Arial" w:eastAsia="Arial" w:hAnsi="Arial"/>
          <w:sz w:val="11"/>
          <w:szCs w:val="11"/>
          <w:color w:val="050505"/>
        </w:rPr>
        <w:t>83</w:t>
      </w:r>
    </w:p>
    <w:p>
      <w:pPr>
        <w:sectPr>
          <w:pgSz w:w="11900" w:h="16838" w:orient="portrait"/>
          <w:cols w:equalWidth="0" w:num="1">
            <w:col w:w="10239"/>
          </w:cols>
          <w:pgMar w:left="220" w:top="354" w:right="1440" w:bottom="1440" w:gutter="0" w:footer="0" w:header="0"/>
        </w:sectPr>
      </w:pPr>
    </w:p>
    <w:bookmarkStart w:id="88" w:name="page89"/>
    <w:bookmarkEnd w:id="88"/>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hyperlink w:anchor="page5">
        <w:r>
          <w:rPr>
            <w:rFonts w:ascii="Arial" w:cs="Arial" w:eastAsia="Arial" w:hAnsi="Arial"/>
            <w:sz w:val="12"/>
            <w:szCs w:val="12"/>
            <w:b w:val="1"/>
            <w:bCs w:val="1"/>
            <w:u w:val="single" w:color="auto"/>
            <w:color w:val="0000EE"/>
          </w:rPr>
          <w:t>Table of Contents</w:t>
        </w:r>
      </w:hyperlink>
    </w:p>
    <w:p>
      <w:pPr>
        <w:spacing w:after="0" w:line="216" w:lineRule="exact"/>
        <w:rPr>
          <w:sz w:val="20"/>
          <w:szCs w:val="20"/>
          <w:color w:val="auto"/>
        </w:rPr>
      </w:pPr>
    </w:p>
    <w:p>
      <w:pPr>
        <w:jc w:val="both"/>
        <w:ind w:left="2060" w:right="839"/>
        <w:spacing w:after="0" w:line="242" w:lineRule="auto"/>
        <w:rPr>
          <w:sz w:val="20"/>
          <w:szCs w:val="20"/>
          <w:color w:val="auto"/>
        </w:rPr>
      </w:pPr>
      <w:r>
        <w:rPr>
          <w:rFonts w:ascii="Arial" w:cs="Arial" w:eastAsia="Arial" w:hAnsi="Arial"/>
          <w:sz w:val="11"/>
          <w:szCs w:val="11"/>
          <w:color w:val="050505"/>
        </w:rPr>
        <w:t>$14.3 million. The increase in net change in operating assets and liabilities was primarily due to a $22.1 million increase in accounts payable and accrued expenses related to growth of expenditures to support general business growth, and a $19.0 million increase in deferred revenue associated with overall growth in our sales of Connected Fitness Products. Non-cash adjustments primarily consisted of stock-based compensation expense.</w:t>
      </w:r>
    </w:p>
    <w:p>
      <w:pPr>
        <w:spacing w:after="0" w:line="128" w:lineRule="exact"/>
        <w:rPr>
          <w:sz w:val="20"/>
          <w:szCs w:val="20"/>
          <w:color w:val="auto"/>
        </w:rPr>
      </w:pPr>
    </w:p>
    <w:p>
      <w:pPr>
        <w:ind w:left="2060"/>
        <w:spacing w:after="0"/>
        <w:rPr>
          <w:sz w:val="20"/>
          <w:szCs w:val="20"/>
          <w:color w:val="auto"/>
        </w:rPr>
      </w:pPr>
      <w:r>
        <w:rPr>
          <w:rFonts w:ascii="Arial" w:cs="Arial" w:eastAsia="Arial" w:hAnsi="Arial"/>
          <w:sz w:val="11"/>
          <w:szCs w:val="11"/>
          <w:b w:val="1"/>
          <w:bCs w:val="1"/>
          <w:i w:val="1"/>
          <w:iCs w:val="1"/>
          <w:color w:val="auto"/>
        </w:rPr>
        <w:t>Investing Activities</w:t>
      </w:r>
    </w:p>
    <w:p>
      <w:pPr>
        <w:spacing w:after="0" w:line="12" w:lineRule="exact"/>
        <w:rPr>
          <w:sz w:val="20"/>
          <w:szCs w:val="20"/>
          <w:color w:val="auto"/>
        </w:rPr>
      </w:pPr>
    </w:p>
    <w:p>
      <w:pPr>
        <w:jc w:val="both"/>
        <w:ind w:left="2060" w:right="839"/>
        <w:spacing w:after="0" w:line="245" w:lineRule="auto"/>
        <w:rPr>
          <w:sz w:val="20"/>
          <w:szCs w:val="20"/>
          <w:color w:val="auto"/>
        </w:rPr>
      </w:pPr>
      <w:r>
        <w:rPr>
          <w:rFonts w:ascii="Arial" w:cs="Arial" w:eastAsia="Arial" w:hAnsi="Arial"/>
          <w:sz w:val="11"/>
          <w:szCs w:val="11"/>
          <w:color w:val="050505"/>
        </w:rPr>
        <w:t>Cash used in investing activities for fiscal 2019 of $297.5 million was primarily related to the purchase of marketable securities of $249.8 million and capital expenditures of $83.0 million, partially offset by maturities of marketable securities of $36.0 million.</w:t>
      </w:r>
    </w:p>
    <w:p>
      <w:pPr>
        <w:spacing w:after="0" w:line="138" w:lineRule="exact"/>
        <w:rPr>
          <w:sz w:val="20"/>
          <w:szCs w:val="20"/>
          <w:color w:val="auto"/>
        </w:rPr>
      </w:pPr>
    </w:p>
    <w:p>
      <w:pPr>
        <w:jc w:val="both"/>
        <w:ind w:left="2060" w:right="839"/>
        <w:spacing w:after="0" w:line="241" w:lineRule="auto"/>
        <w:rPr>
          <w:sz w:val="20"/>
          <w:szCs w:val="20"/>
          <w:color w:val="auto"/>
        </w:rPr>
      </w:pPr>
      <w:r>
        <w:rPr>
          <w:rFonts w:ascii="Arial" w:cs="Arial" w:eastAsia="Arial" w:hAnsi="Arial"/>
          <w:sz w:val="11"/>
          <w:szCs w:val="11"/>
          <w:color w:val="050505"/>
        </w:rPr>
        <w:t>Cash used in investing activities for fiscal 2018 of $56.7 million was due to the cash portion of the acquisition of Neurotic Media of $28.7 million, net of cash acquired, and cash used of $28.0 million for capital expenditures. We acquired Neurotic Media primarily to automate and streamline content rights management and to enhance Member engagement through new music features. Of the total purchase consideration, $4.2 million has been recorded to goodwill, $24.8 million to acquired developed technology, and $0.1 million in tangible net assets.</w:t>
      </w:r>
    </w:p>
    <w:p>
      <w:pPr>
        <w:spacing w:after="0" w:line="140" w:lineRule="exact"/>
        <w:rPr>
          <w:sz w:val="20"/>
          <w:szCs w:val="20"/>
          <w:color w:val="auto"/>
        </w:rPr>
      </w:pPr>
    </w:p>
    <w:p>
      <w:pPr>
        <w:ind w:left="2060"/>
        <w:spacing w:after="0"/>
        <w:rPr>
          <w:sz w:val="20"/>
          <w:szCs w:val="20"/>
          <w:color w:val="auto"/>
        </w:rPr>
      </w:pPr>
      <w:r>
        <w:rPr>
          <w:rFonts w:ascii="Arial" w:cs="Arial" w:eastAsia="Arial" w:hAnsi="Arial"/>
          <w:sz w:val="11"/>
          <w:szCs w:val="11"/>
          <w:color w:val="050505"/>
        </w:rPr>
        <w:t>Cash used in investing activities for fiscal 2017 of $10.2 million for capital expenditures.</w:t>
      </w:r>
    </w:p>
    <w:p>
      <w:pPr>
        <w:spacing w:after="0" w:line="132" w:lineRule="exact"/>
        <w:rPr>
          <w:sz w:val="20"/>
          <w:szCs w:val="20"/>
          <w:color w:val="auto"/>
        </w:rPr>
      </w:pPr>
    </w:p>
    <w:p>
      <w:pPr>
        <w:ind w:left="2060"/>
        <w:spacing w:after="0"/>
        <w:rPr>
          <w:sz w:val="20"/>
          <w:szCs w:val="20"/>
          <w:color w:val="auto"/>
        </w:rPr>
      </w:pPr>
      <w:r>
        <w:rPr>
          <w:rFonts w:ascii="Arial" w:cs="Arial" w:eastAsia="Arial" w:hAnsi="Arial"/>
          <w:sz w:val="11"/>
          <w:szCs w:val="11"/>
          <w:b w:val="1"/>
          <w:bCs w:val="1"/>
          <w:i w:val="1"/>
          <w:iCs w:val="1"/>
          <w:color w:val="auto"/>
        </w:rPr>
        <w:t>Financing Activities</w:t>
      </w:r>
    </w:p>
    <w:p>
      <w:pPr>
        <w:spacing w:after="0" w:line="12" w:lineRule="exact"/>
        <w:rPr>
          <w:sz w:val="20"/>
          <w:szCs w:val="20"/>
          <w:color w:val="auto"/>
        </w:rPr>
      </w:pPr>
    </w:p>
    <w:p>
      <w:pPr>
        <w:jc w:val="both"/>
        <w:ind w:left="2060" w:right="839"/>
        <w:spacing w:after="0" w:line="242" w:lineRule="auto"/>
        <w:rPr>
          <w:sz w:val="20"/>
          <w:szCs w:val="20"/>
          <w:color w:val="auto"/>
        </w:rPr>
      </w:pPr>
      <w:r>
        <w:rPr>
          <w:rFonts w:ascii="Arial" w:cs="Arial" w:eastAsia="Arial" w:hAnsi="Arial"/>
          <w:sz w:val="11"/>
          <w:szCs w:val="11"/>
          <w:color w:val="050505"/>
        </w:rPr>
        <w:t>Net cash provided by financing activities of $417.2 million for fiscal 2019 was primarily related to net proceeds from issuance of Series F redeemable convertible preferred stock of $408.8 million, net of issuance costs and repurchases of common stock and preferred stock, as well as $9.3 million in proceeds from exercises of stock options.</w:t>
      </w:r>
    </w:p>
    <w:p>
      <w:pPr>
        <w:spacing w:after="0" w:line="140" w:lineRule="exact"/>
        <w:rPr>
          <w:sz w:val="20"/>
          <w:szCs w:val="20"/>
          <w:color w:val="auto"/>
        </w:rPr>
      </w:pPr>
    </w:p>
    <w:p>
      <w:pPr>
        <w:jc w:val="both"/>
        <w:ind w:left="2060" w:right="839"/>
        <w:spacing w:after="0" w:line="245" w:lineRule="auto"/>
        <w:rPr>
          <w:sz w:val="20"/>
          <w:szCs w:val="20"/>
          <w:color w:val="auto"/>
        </w:rPr>
      </w:pPr>
      <w:r>
        <w:rPr>
          <w:rFonts w:ascii="Arial" w:cs="Arial" w:eastAsia="Arial" w:hAnsi="Arial"/>
          <w:sz w:val="11"/>
          <w:szCs w:val="11"/>
          <w:color w:val="050505"/>
        </w:rPr>
        <w:t>Net cash provided by financing activities of $3.1 million for fiscal 2018 was primarily related to proceeds from exercises of stock options of $7.4 million, partially offset by $4.3 million in debt repayment and issuance costs.</w:t>
      </w:r>
    </w:p>
    <w:p>
      <w:pPr>
        <w:spacing w:after="0" w:line="138" w:lineRule="exact"/>
        <w:rPr>
          <w:sz w:val="20"/>
          <w:szCs w:val="20"/>
          <w:color w:val="auto"/>
        </w:rPr>
      </w:pPr>
    </w:p>
    <w:p>
      <w:pPr>
        <w:jc w:val="both"/>
        <w:ind w:left="2060" w:right="839"/>
        <w:spacing w:after="0" w:line="278" w:lineRule="auto"/>
        <w:rPr>
          <w:sz w:val="20"/>
          <w:szCs w:val="20"/>
          <w:color w:val="auto"/>
        </w:rPr>
      </w:pPr>
      <w:r>
        <w:rPr>
          <w:rFonts w:ascii="Arial" w:cs="Arial" w:eastAsia="Arial" w:hAnsi="Arial"/>
          <w:sz w:val="10"/>
          <w:szCs w:val="10"/>
          <w:color w:val="050505"/>
        </w:rPr>
        <w:t>Net cash provided by financing activities of $143.6 million for fiscal 2017 was primarily related to net proceeds from issuance of Series E redeemable convertible preferred stock of $145.6 million, net of issuance costs and repurchases of common stock and preferred stock, as well as proceeds from borrowings under our credit facility of $10.5 million. These amounts were partially offset by the $13.0 million debt repayment of our term loan and revolver.</w:t>
      </w:r>
    </w:p>
    <w:p>
      <w:pPr>
        <w:spacing w:after="0" w:line="111" w:lineRule="exact"/>
        <w:rPr>
          <w:sz w:val="20"/>
          <w:szCs w:val="20"/>
          <w:color w:val="auto"/>
        </w:rPr>
      </w:pPr>
    </w:p>
    <w:p>
      <w:pPr>
        <w:ind w:left="2060"/>
        <w:spacing w:after="0"/>
        <w:rPr>
          <w:sz w:val="20"/>
          <w:szCs w:val="20"/>
          <w:color w:val="auto"/>
        </w:rPr>
      </w:pPr>
      <w:r>
        <w:rPr>
          <w:rFonts w:ascii="Arial" w:cs="Arial" w:eastAsia="Arial" w:hAnsi="Arial"/>
          <w:sz w:val="11"/>
          <w:szCs w:val="11"/>
          <w:b w:val="1"/>
          <w:bCs w:val="1"/>
          <w:u w:val="single" w:color="auto"/>
          <w:color w:val="auto"/>
        </w:rPr>
        <w:t>Contractual Obligations and Other Commitments</w:t>
      </w:r>
    </w:p>
    <w:p>
      <w:pPr>
        <w:spacing w:after="0" w:line="12" w:lineRule="exact"/>
        <w:rPr>
          <w:sz w:val="20"/>
          <w:szCs w:val="20"/>
          <w:color w:val="auto"/>
        </w:rPr>
      </w:pPr>
    </w:p>
    <w:p>
      <w:pPr>
        <w:ind w:left="2060"/>
        <w:spacing w:after="0"/>
        <w:rPr>
          <w:sz w:val="20"/>
          <w:szCs w:val="20"/>
          <w:color w:val="auto"/>
        </w:rPr>
      </w:pPr>
      <w:r>
        <w:rPr>
          <w:rFonts w:ascii="Arial" w:cs="Arial" w:eastAsia="Arial" w:hAnsi="Arial"/>
          <w:sz w:val="11"/>
          <w:szCs w:val="11"/>
          <w:color w:val="050505"/>
        </w:rPr>
        <w:t>The following table summarizes our contractual cash obligations as of June 30, 2019:</w:t>
      </w:r>
    </w:p>
    <w:p>
      <w:pPr>
        <w:spacing w:after="0" w:line="150" w:lineRule="exact"/>
        <w:rPr>
          <w:sz w:val="20"/>
          <w:szCs w:val="20"/>
          <w:color w:val="auto"/>
        </w:rPr>
      </w:pPr>
    </w:p>
    <w:tbl>
      <w:tblPr>
        <w:tblLayout w:type="fixed"/>
        <w:tblInd w:w="2060" w:type="dxa"/>
        <w:tblCellMar>
          <w:top w:w="0" w:type="dxa"/>
          <w:left w:w="0" w:type="dxa"/>
          <w:bottom w:w="0" w:type="dxa"/>
          <w:right w:w="0" w:type="dxa"/>
        </w:tblCellMar>
      </w:tblPr>
      <w:tr>
        <w:trPr>
          <w:trHeight w:val="137"/>
        </w:trPr>
        <w:tc>
          <w:tcPr>
            <w:tcW w:w="336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1300" w:type="dxa"/>
            <w:vAlign w:val="bottom"/>
            <w:tcBorders>
              <w:bottom w:val="single" w:sz="8" w:color="auto"/>
            </w:tcBorders>
            <w:gridSpan w:val="6"/>
          </w:tcPr>
          <w:p>
            <w:pPr>
              <w:jc w:val="right"/>
              <w:ind w:right="20"/>
              <w:spacing w:after="0"/>
              <w:rPr>
                <w:sz w:val="20"/>
                <w:szCs w:val="20"/>
                <w:color w:val="auto"/>
              </w:rPr>
            </w:pPr>
            <w:r>
              <w:rPr>
                <w:rFonts w:ascii="Arial" w:cs="Arial" w:eastAsia="Arial" w:hAnsi="Arial"/>
                <w:sz w:val="11"/>
                <w:szCs w:val="11"/>
                <w:b w:val="1"/>
                <w:bCs w:val="1"/>
                <w:color w:val="050505"/>
                <w:w w:val="96"/>
              </w:rPr>
              <w:t>Payments Due By Period</w:t>
            </w:r>
          </w:p>
        </w:tc>
        <w:tc>
          <w:tcPr>
            <w:tcW w:w="46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40" w:type="dxa"/>
            <w:vAlign w:val="bottom"/>
          </w:tcPr>
          <w:p>
            <w:pPr>
              <w:spacing w:after="0"/>
              <w:rPr>
                <w:sz w:val="11"/>
                <w:szCs w:val="11"/>
                <w:color w:val="auto"/>
              </w:rPr>
            </w:pPr>
          </w:p>
        </w:tc>
      </w:tr>
      <w:tr>
        <w:trPr>
          <w:trHeight w:val="104"/>
        </w:trPr>
        <w:tc>
          <w:tcPr>
            <w:tcW w:w="336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860" w:type="dxa"/>
            <w:vAlign w:val="bottom"/>
            <w:gridSpan w:val="3"/>
          </w:tcPr>
          <w:p>
            <w:pPr>
              <w:ind w:left="340"/>
              <w:spacing w:after="0" w:line="105" w:lineRule="exact"/>
              <w:rPr>
                <w:sz w:val="20"/>
                <w:szCs w:val="20"/>
                <w:color w:val="auto"/>
              </w:rPr>
            </w:pPr>
            <w:r>
              <w:rPr>
                <w:rFonts w:ascii="Arial" w:cs="Arial" w:eastAsia="Arial" w:hAnsi="Arial"/>
                <w:sz w:val="11"/>
                <w:szCs w:val="11"/>
                <w:b w:val="1"/>
                <w:bCs w:val="1"/>
                <w:color w:val="050505"/>
                <w:w w:val="97"/>
              </w:rPr>
              <w:t>Less than</w:t>
            </w:r>
          </w:p>
        </w:tc>
        <w:tc>
          <w:tcPr>
            <w:tcW w:w="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60" w:type="dxa"/>
            <w:vAlign w:val="bottom"/>
          </w:tcPr>
          <w:p>
            <w:pPr>
              <w:jc w:val="right"/>
              <w:ind w:right="166"/>
              <w:spacing w:after="0" w:line="105" w:lineRule="exact"/>
              <w:rPr>
                <w:sz w:val="20"/>
                <w:szCs w:val="20"/>
                <w:color w:val="auto"/>
              </w:rPr>
            </w:pPr>
            <w:r>
              <w:rPr>
                <w:rFonts w:ascii="Arial" w:cs="Arial" w:eastAsia="Arial" w:hAnsi="Arial"/>
                <w:sz w:val="11"/>
                <w:szCs w:val="11"/>
                <w:b w:val="1"/>
                <w:bCs w:val="1"/>
                <w:color w:val="050505"/>
              </w:rPr>
              <w:t>1-3</w:t>
            </w: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jc w:val="right"/>
              <w:ind w:right="166"/>
              <w:spacing w:after="0" w:line="105" w:lineRule="exact"/>
              <w:rPr>
                <w:sz w:val="20"/>
                <w:szCs w:val="20"/>
                <w:color w:val="auto"/>
              </w:rPr>
            </w:pPr>
            <w:r>
              <w:rPr>
                <w:rFonts w:ascii="Arial" w:cs="Arial" w:eastAsia="Arial" w:hAnsi="Arial"/>
                <w:sz w:val="11"/>
                <w:szCs w:val="11"/>
                <w:b w:val="1"/>
                <w:bCs w:val="1"/>
                <w:color w:val="050505"/>
              </w:rPr>
              <w:t>3-5</w:t>
            </w:r>
          </w:p>
        </w:tc>
        <w:tc>
          <w:tcPr>
            <w:tcW w:w="860" w:type="dxa"/>
            <w:vAlign w:val="bottom"/>
            <w:gridSpan w:val="2"/>
          </w:tcPr>
          <w:p>
            <w:pPr>
              <w:ind w:left="340"/>
              <w:spacing w:after="0" w:line="105" w:lineRule="exact"/>
              <w:rPr>
                <w:sz w:val="20"/>
                <w:szCs w:val="20"/>
                <w:color w:val="auto"/>
              </w:rPr>
            </w:pPr>
            <w:r>
              <w:rPr>
                <w:rFonts w:ascii="Arial" w:cs="Arial" w:eastAsia="Arial" w:hAnsi="Arial"/>
                <w:sz w:val="11"/>
                <w:szCs w:val="11"/>
                <w:b w:val="1"/>
                <w:bCs w:val="1"/>
                <w:color w:val="050505"/>
                <w:w w:val="95"/>
              </w:rPr>
              <w:t>More than</w:t>
            </w:r>
          </w:p>
        </w:tc>
        <w:tc>
          <w:tcPr>
            <w:tcW w:w="40" w:type="dxa"/>
            <w:vAlign w:val="bottom"/>
          </w:tcPr>
          <w:p>
            <w:pPr>
              <w:spacing w:after="0"/>
              <w:rPr>
                <w:sz w:val="9"/>
                <w:szCs w:val="9"/>
                <w:color w:val="auto"/>
              </w:rPr>
            </w:pPr>
          </w:p>
        </w:tc>
      </w:tr>
      <w:tr>
        <w:trPr>
          <w:trHeight w:val="137"/>
        </w:trPr>
        <w:tc>
          <w:tcPr>
            <w:tcW w:w="3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jc w:val="right"/>
              <w:ind w:right="66"/>
              <w:spacing w:after="0"/>
              <w:rPr>
                <w:sz w:val="20"/>
                <w:szCs w:val="20"/>
                <w:color w:val="auto"/>
              </w:rPr>
            </w:pPr>
            <w:r>
              <w:rPr>
                <w:rFonts w:ascii="Arial" w:cs="Arial" w:eastAsia="Arial" w:hAnsi="Arial"/>
                <w:sz w:val="11"/>
                <w:szCs w:val="11"/>
                <w:b w:val="1"/>
                <w:bCs w:val="1"/>
                <w:color w:val="050505"/>
                <w:w w:val="98"/>
              </w:rPr>
              <w:t>Total</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jc w:val="right"/>
              <w:ind w:right="46"/>
              <w:spacing w:after="0"/>
              <w:rPr>
                <w:sz w:val="20"/>
                <w:szCs w:val="20"/>
                <w:color w:val="auto"/>
              </w:rPr>
            </w:pPr>
            <w:r>
              <w:rPr>
                <w:rFonts w:ascii="Arial" w:cs="Arial" w:eastAsia="Arial" w:hAnsi="Arial"/>
                <w:sz w:val="11"/>
                <w:szCs w:val="11"/>
                <w:b w:val="1"/>
                <w:bCs w:val="1"/>
                <w:color w:val="050505"/>
                <w:w w:val="96"/>
              </w:rPr>
              <w:t>1 Year</w:t>
            </w: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gridSpan w:val="2"/>
          </w:tcPr>
          <w:p>
            <w:pPr>
              <w:ind w:left="40"/>
              <w:spacing w:after="0"/>
              <w:rPr>
                <w:sz w:val="20"/>
                <w:szCs w:val="20"/>
                <w:color w:val="auto"/>
              </w:rPr>
            </w:pPr>
            <w:r>
              <w:rPr>
                <w:rFonts w:ascii="Arial" w:cs="Arial" w:eastAsia="Arial" w:hAnsi="Arial"/>
                <w:sz w:val="11"/>
                <w:szCs w:val="11"/>
                <w:b w:val="1"/>
                <w:bCs w:val="1"/>
                <w:color w:val="050505"/>
              </w:rPr>
              <w:t>Years</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jc w:val="right"/>
              <w:ind w:right="86"/>
              <w:spacing w:after="0"/>
              <w:rPr>
                <w:sz w:val="20"/>
                <w:szCs w:val="20"/>
                <w:color w:val="auto"/>
              </w:rPr>
            </w:pPr>
            <w:r>
              <w:rPr>
                <w:rFonts w:ascii="Arial" w:cs="Arial" w:eastAsia="Arial" w:hAnsi="Arial"/>
                <w:sz w:val="11"/>
                <w:szCs w:val="11"/>
                <w:b w:val="1"/>
                <w:bCs w:val="1"/>
                <w:color w:val="050505"/>
                <w:w w:val="99"/>
              </w:rPr>
              <w:t>Years</w:t>
            </w:r>
          </w:p>
        </w:tc>
        <w:tc>
          <w:tcPr>
            <w:tcW w:w="400" w:type="dxa"/>
            <w:vAlign w:val="bottom"/>
          </w:tcPr>
          <w:p>
            <w:pPr>
              <w:spacing w:after="0"/>
              <w:rPr>
                <w:sz w:val="11"/>
                <w:szCs w:val="11"/>
                <w:color w:val="auto"/>
              </w:rPr>
            </w:pPr>
          </w:p>
        </w:tc>
        <w:tc>
          <w:tcPr>
            <w:tcW w:w="500" w:type="dxa"/>
            <w:vAlign w:val="bottom"/>
            <w:gridSpan w:val="2"/>
          </w:tcPr>
          <w:p>
            <w:pPr>
              <w:spacing w:after="0"/>
              <w:rPr>
                <w:sz w:val="20"/>
                <w:szCs w:val="20"/>
                <w:color w:val="auto"/>
              </w:rPr>
            </w:pPr>
            <w:r>
              <w:rPr>
                <w:rFonts w:ascii="Arial" w:cs="Arial" w:eastAsia="Arial" w:hAnsi="Arial"/>
                <w:sz w:val="11"/>
                <w:szCs w:val="11"/>
                <w:b w:val="1"/>
                <w:bCs w:val="1"/>
                <w:color w:val="050505"/>
              </w:rPr>
              <w:t>5 Years</w:t>
            </w:r>
          </w:p>
        </w:tc>
      </w:tr>
      <w:tr>
        <w:trPr>
          <w:trHeight w:val="115"/>
        </w:trPr>
        <w:tc>
          <w:tcPr>
            <w:tcW w:w="336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400" w:type="dxa"/>
            <w:vAlign w:val="bottom"/>
            <w:tcBorders>
              <w:top w:val="single" w:sz="8" w:color="auto"/>
            </w:tcBorders>
          </w:tcPr>
          <w:p>
            <w:pPr>
              <w:spacing w:after="0"/>
              <w:rPr>
                <w:sz w:val="10"/>
                <w:szCs w:val="10"/>
                <w:color w:val="auto"/>
              </w:rPr>
            </w:pPr>
          </w:p>
        </w:tc>
        <w:tc>
          <w:tcPr>
            <w:tcW w:w="34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440" w:type="dxa"/>
            <w:vAlign w:val="bottom"/>
            <w:tcBorders>
              <w:top w:val="single" w:sz="8" w:color="auto"/>
            </w:tcBorders>
          </w:tcPr>
          <w:p>
            <w:pPr>
              <w:spacing w:after="0"/>
              <w:rPr>
                <w:sz w:val="10"/>
                <w:szCs w:val="10"/>
                <w:color w:val="auto"/>
              </w:rPr>
            </w:pPr>
          </w:p>
        </w:tc>
        <w:tc>
          <w:tcPr>
            <w:tcW w:w="1080" w:type="dxa"/>
            <w:vAlign w:val="bottom"/>
            <w:tcBorders>
              <w:top w:val="single" w:sz="8" w:color="auto"/>
            </w:tcBorders>
            <w:gridSpan w:val="4"/>
          </w:tcPr>
          <w:p>
            <w:pPr>
              <w:ind w:left="320"/>
              <w:spacing w:after="0" w:line="115" w:lineRule="exact"/>
              <w:rPr>
                <w:sz w:val="20"/>
                <w:szCs w:val="20"/>
                <w:color w:val="auto"/>
              </w:rPr>
            </w:pPr>
            <w:r>
              <w:rPr>
                <w:rFonts w:ascii="Arial" w:cs="Arial" w:eastAsia="Arial" w:hAnsi="Arial"/>
                <w:sz w:val="11"/>
                <w:szCs w:val="11"/>
                <w:b w:val="1"/>
                <w:bCs w:val="1"/>
                <w:color w:val="050505"/>
              </w:rPr>
              <w:t>(in millions)</w:t>
            </w:r>
          </w:p>
        </w:tc>
        <w:tc>
          <w:tcPr>
            <w:tcW w:w="14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460" w:type="dxa"/>
            <w:vAlign w:val="bottom"/>
            <w:tcBorders>
              <w:top w:val="single" w:sz="8" w:color="auto"/>
            </w:tcBorders>
          </w:tcPr>
          <w:p>
            <w:pPr>
              <w:spacing w:after="0"/>
              <w:rPr>
                <w:sz w:val="10"/>
                <w:szCs w:val="10"/>
                <w:color w:val="auto"/>
              </w:rPr>
            </w:pPr>
          </w:p>
        </w:tc>
        <w:tc>
          <w:tcPr>
            <w:tcW w:w="400" w:type="dxa"/>
            <w:vAlign w:val="bottom"/>
            <w:tcBorders>
              <w:top w:val="single" w:sz="8" w:color="auto"/>
            </w:tcBorders>
          </w:tcPr>
          <w:p>
            <w:pPr>
              <w:spacing w:after="0"/>
              <w:rPr>
                <w:sz w:val="10"/>
                <w:szCs w:val="10"/>
                <w:color w:val="auto"/>
              </w:rPr>
            </w:pPr>
          </w:p>
        </w:tc>
        <w:tc>
          <w:tcPr>
            <w:tcW w:w="460" w:type="dxa"/>
            <w:vAlign w:val="bottom"/>
            <w:tcBorders>
              <w:top w:val="single" w:sz="8" w:color="auto"/>
            </w:tcBorders>
          </w:tcPr>
          <w:p>
            <w:pPr>
              <w:spacing w:after="0"/>
              <w:rPr>
                <w:sz w:val="10"/>
                <w:szCs w:val="10"/>
                <w:color w:val="auto"/>
              </w:rPr>
            </w:pPr>
          </w:p>
        </w:tc>
        <w:tc>
          <w:tcPr>
            <w:tcW w:w="40" w:type="dxa"/>
            <w:vAlign w:val="bottom"/>
          </w:tcPr>
          <w:p>
            <w:pPr>
              <w:spacing w:after="0"/>
              <w:rPr>
                <w:sz w:val="10"/>
                <w:szCs w:val="10"/>
                <w:color w:val="auto"/>
              </w:rPr>
            </w:pPr>
          </w:p>
        </w:tc>
      </w:tr>
      <w:tr>
        <w:trPr>
          <w:trHeight w:val="126"/>
        </w:trPr>
        <w:tc>
          <w:tcPr>
            <w:tcW w:w="3360" w:type="dxa"/>
            <w:vAlign w:val="bottom"/>
            <w:tcBorders>
              <w:right w:val="single" w:sz="8" w:color="CCEEFF"/>
            </w:tcBorders>
            <w:shd w:val="clear" w:color="auto" w:fill="CCEEFF"/>
          </w:tcPr>
          <w:p>
            <w:pPr>
              <w:ind w:left="40"/>
              <w:spacing w:after="0" w:line="126" w:lineRule="exact"/>
              <w:rPr>
                <w:sz w:val="20"/>
                <w:szCs w:val="20"/>
                <w:color w:val="auto"/>
              </w:rPr>
            </w:pPr>
            <w:r>
              <w:rPr>
                <w:rFonts w:ascii="Arial" w:cs="Arial" w:eastAsia="Arial" w:hAnsi="Arial"/>
                <w:sz w:val="9"/>
                <w:szCs w:val="9"/>
                <w:color w:val="050505"/>
              </w:rPr>
              <w:t>Operating lease obligations</w:t>
            </w:r>
            <w:r>
              <w:rPr>
                <w:rFonts w:ascii="Arial" w:cs="Arial" w:eastAsia="Arial" w:hAnsi="Arial"/>
                <w:sz w:val="14"/>
                <w:szCs w:val="14"/>
                <w:color w:val="050505"/>
                <w:vertAlign w:val="superscript"/>
              </w:rPr>
              <w:t>(1)</w:t>
            </w:r>
          </w:p>
        </w:tc>
        <w:tc>
          <w:tcPr>
            <w:tcW w:w="80" w:type="dxa"/>
            <w:vAlign w:val="bottom"/>
            <w:shd w:val="clear" w:color="auto" w:fill="CCEEFF"/>
          </w:tcPr>
          <w:p>
            <w:pPr>
              <w:jc w:val="right"/>
              <w:ind w:right="13"/>
              <w:spacing w:after="0"/>
              <w:rPr>
                <w:sz w:val="20"/>
                <w:szCs w:val="20"/>
                <w:color w:val="auto"/>
              </w:rPr>
            </w:pPr>
            <w:r>
              <w:rPr>
                <w:rFonts w:ascii="Arial" w:cs="Arial" w:eastAsia="Arial" w:hAnsi="Arial"/>
                <w:sz w:val="5"/>
                <w:szCs w:val="5"/>
                <w:color w:val="050505"/>
                <w:w w:val="70"/>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1"/>
                <w:szCs w:val="11"/>
                <w:color w:val="050505"/>
              </w:rPr>
              <w:t>784.9</w:t>
            </w:r>
          </w:p>
        </w:tc>
        <w:tc>
          <w:tcPr>
            <w:tcW w:w="420" w:type="dxa"/>
            <w:vAlign w:val="bottom"/>
            <w:gridSpan w:val="2"/>
            <w:shd w:val="clear" w:color="auto" w:fill="CCEEFF"/>
          </w:tcPr>
          <w:p>
            <w:pPr>
              <w:ind w:left="340"/>
              <w:spacing w:after="0"/>
              <w:rPr>
                <w:sz w:val="20"/>
                <w:szCs w:val="20"/>
                <w:color w:val="auto"/>
              </w:rPr>
            </w:pPr>
            <w:r>
              <w:rPr>
                <w:rFonts w:ascii="Arial" w:cs="Arial" w:eastAsia="Arial" w:hAnsi="Arial"/>
                <w:sz w:val="11"/>
                <w:szCs w:val="11"/>
                <w:color w:val="050505"/>
                <w:w w:val="97"/>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1"/>
                <w:szCs w:val="11"/>
                <w:color w:val="050505"/>
              </w:rPr>
              <w:t>33.0</w:t>
            </w:r>
          </w:p>
        </w:tc>
        <w:tc>
          <w:tcPr>
            <w:tcW w:w="420" w:type="dxa"/>
            <w:vAlign w:val="bottom"/>
            <w:gridSpan w:val="2"/>
            <w:shd w:val="clear" w:color="auto" w:fill="CCEEFF"/>
          </w:tcPr>
          <w:p>
            <w:pPr>
              <w:ind w:left="320"/>
              <w:spacing w:after="0"/>
              <w:rPr>
                <w:sz w:val="20"/>
                <w:szCs w:val="20"/>
                <w:color w:val="auto"/>
              </w:rPr>
            </w:pPr>
            <w:r>
              <w:rPr>
                <w:rFonts w:ascii="Arial" w:cs="Arial" w:eastAsia="Arial" w:hAnsi="Arial"/>
                <w:sz w:val="11"/>
                <w:szCs w:val="11"/>
                <w:color w:val="050505"/>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1"/>
                <w:szCs w:val="11"/>
                <w:color w:val="050505"/>
              </w:rPr>
              <w:t>99.1</w:t>
            </w:r>
          </w:p>
        </w:tc>
        <w:tc>
          <w:tcPr>
            <w:tcW w:w="200" w:type="dxa"/>
            <w:vAlign w:val="bottom"/>
            <w:shd w:val="clear" w:color="auto" w:fill="CCEEFF"/>
          </w:tcPr>
          <w:p>
            <w:pPr>
              <w:spacing w:after="0"/>
              <w:rPr>
                <w:sz w:val="10"/>
                <w:szCs w:val="10"/>
                <w:color w:val="auto"/>
              </w:rPr>
            </w:pP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050505"/>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1"/>
                <w:szCs w:val="11"/>
                <w:color w:val="050505"/>
              </w:rPr>
              <w:t>107.4</w:t>
            </w:r>
          </w:p>
        </w:tc>
        <w:tc>
          <w:tcPr>
            <w:tcW w:w="400" w:type="dxa"/>
            <w:vAlign w:val="bottom"/>
            <w:tcBorders>
              <w:right w:val="single" w:sz="8" w:color="CCEEFF"/>
            </w:tcBorders>
            <w:shd w:val="clear" w:color="auto" w:fill="CCEEFF"/>
          </w:tcPr>
          <w:p>
            <w:pPr>
              <w:ind w:left="340"/>
              <w:spacing w:after="0"/>
              <w:rPr>
                <w:sz w:val="20"/>
                <w:szCs w:val="20"/>
                <w:color w:val="auto"/>
              </w:rPr>
            </w:pPr>
            <w:r>
              <w:rPr>
                <w:rFonts w:ascii="Arial" w:cs="Arial" w:eastAsia="Arial" w:hAnsi="Arial"/>
                <w:sz w:val="5"/>
                <w:szCs w:val="5"/>
                <w:color w:val="050505"/>
                <w:w w:val="70"/>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1"/>
                <w:szCs w:val="11"/>
                <w:color w:val="050505"/>
              </w:rPr>
              <w:t>545.4</w:t>
            </w:r>
          </w:p>
        </w:tc>
        <w:tc>
          <w:tcPr>
            <w:tcW w:w="40" w:type="dxa"/>
            <w:vAlign w:val="bottom"/>
            <w:shd w:val="clear" w:color="auto" w:fill="CCEEFF"/>
          </w:tcPr>
          <w:p>
            <w:pPr>
              <w:spacing w:after="0"/>
              <w:rPr>
                <w:sz w:val="10"/>
                <w:szCs w:val="10"/>
                <w:color w:val="auto"/>
              </w:rPr>
            </w:pPr>
          </w:p>
        </w:tc>
      </w:tr>
      <w:tr>
        <w:trPr>
          <w:trHeight w:val="126"/>
        </w:trPr>
        <w:tc>
          <w:tcPr>
            <w:tcW w:w="3360" w:type="dxa"/>
            <w:vAlign w:val="bottom"/>
          </w:tcPr>
          <w:p>
            <w:pPr>
              <w:ind w:left="40"/>
              <w:spacing w:after="0" w:line="126" w:lineRule="exact"/>
              <w:rPr>
                <w:sz w:val="20"/>
                <w:szCs w:val="20"/>
                <w:color w:val="auto"/>
              </w:rPr>
            </w:pPr>
            <w:r>
              <w:rPr>
                <w:rFonts w:ascii="Arial" w:cs="Arial" w:eastAsia="Arial" w:hAnsi="Arial"/>
                <w:sz w:val="9"/>
                <w:szCs w:val="9"/>
                <w:color w:val="050505"/>
              </w:rPr>
              <w:t>Minimum guarantees</w:t>
            </w:r>
            <w:r>
              <w:rPr>
                <w:rFonts w:ascii="Arial" w:cs="Arial" w:eastAsia="Arial" w:hAnsi="Arial"/>
                <w:sz w:val="14"/>
                <w:szCs w:val="14"/>
                <w:color w:val="050505"/>
                <w:vertAlign w:val="superscript"/>
              </w:rPr>
              <w:t>(2)</w:t>
            </w:r>
          </w:p>
        </w:tc>
        <w:tc>
          <w:tcPr>
            <w:tcW w:w="80" w:type="dxa"/>
            <w:vAlign w:val="bottom"/>
          </w:tcPr>
          <w:p>
            <w:pPr>
              <w:spacing w:after="0"/>
              <w:rPr>
                <w:sz w:val="10"/>
                <w:szCs w:val="10"/>
                <w:color w:val="auto"/>
              </w:rPr>
            </w:pPr>
          </w:p>
        </w:tc>
        <w:tc>
          <w:tcPr>
            <w:tcW w:w="400" w:type="dxa"/>
            <w:vAlign w:val="bottom"/>
          </w:tcPr>
          <w:p>
            <w:pPr>
              <w:jc w:val="right"/>
              <w:spacing w:after="0"/>
              <w:rPr>
                <w:sz w:val="20"/>
                <w:szCs w:val="20"/>
                <w:color w:val="auto"/>
              </w:rPr>
            </w:pPr>
            <w:r>
              <w:rPr>
                <w:rFonts w:ascii="Arial" w:cs="Arial" w:eastAsia="Arial" w:hAnsi="Arial"/>
                <w:sz w:val="11"/>
                <w:szCs w:val="11"/>
                <w:color w:val="050505"/>
              </w:rPr>
              <w:t>42.0</w:t>
            </w: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jc w:val="right"/>
              <w:spacing w:after="0"/>
              <w:rPr>
                <w:sz w:val="20"/>
                <w:szCs w:val="20"/>
                <w:color w:val="auto"/>
              </w:rPr>
            </w:pPr>
            <w:r>
              <w:rPr>
                <w:rFonts w:ascii="Arial" w:cs="Arial" w:eastAsia="Arial" w:hAnsi="Arial"/>
                <w:sz w:val="11"/>
                <w:szCs w:val="11"/>
                <w:color w:val="050505"/>
              </w:rPr>
              <w:t>13.3</w:t>
            </w:r>
          </w:p>
        </w:tc>
        <w:tc>
          <w:tcPr>
            <w:tcW w:w="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050505"/>
              </w:rPr>
              <w:t>28.7</w:t>
            </w: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050505"/>
              </w:rPr>
              <w:t>—</w:t>
            </w:r>
          </w:p>
        </w:tc>
        <w:tc>
          <w:tcPr>
            <w:tcW w:w="400" w:type="dxa"/>
            <w:vAlign w:val="bottom"/>
          </w:tcPr>
          <w:p>
            <w:pPr>
              <w:spacing w:after="0"/>
              <w:rPr>
                <w:sz w:val="10"/>
                <w:szCs w:val="10"/>
                <w:color w:val="auto"/>
              </w:rPr>
            </w:pPr>
          </w:p>
        </w:tc>
        <w:tc>
          <w:tcPr>
            <w:tcW w:w="500" w:type="dxa"/>
            <w:vAlign w:val="bottom"/>
            <w:gridSpan w:val="2"/>
          </w:tcPr>
          <w:p>
            <w:pPr>
              <w:jc w:val="right"/>
              <w:ind w:right="40"/>
              <w:spacing w:after="0"/>
              <w:rPr>
                <w:sz w:val="20"/>
                <w:szCs w:val="20"/>
                <w:color w:val="auto"/>
              </w:rPr>
            </w:pPr>
            <w:r>
              <w:rPr>
                <w:rFonts w:ascii="Arial" w:cs="Arial" w:eastAsia="Arial" w:hAnsi="Arial"/>
                <w:sz w:val="11"/>
                <w:szCs w:val="11"/>
                <w:color w:val="050505"/>
              </w:rPr>
              <w:t>—</w:t>
            </w:r>
          </w:p>
        </w:tc>
      </w:tr>
      <w:tr>
        <w:trPr>
          <w:trHeight w:val="126"/>
        </w:trPr>
        <w:tc>
          <w:tcPr>
            <w:tcW w:w="3360" w:type="dxa"/>
            <w:vAlign w:val="bottom"/>
            <w:tcBorders>
              <w:right w:val="single" w:sz="8" w:color="CCEEFF"/>
            </w:tcBorders>
            <w:shd w:val="clear" w:color="auto" w:fill="CCEEFF"/>
          </w:tcPr>
          <w:p>
            <w:pPr>
              <w:ind w:left="40"/>
              <w:spacing w:after="0" w:line="126" w:lineRule="exact"/>
              <w:rPr>
                <w:sz w:val="20"/>
                <w:szCs w:val="20"/>
                <w:color w:val="auto"/>
              </w:rPr>
            </w:pPr>
            <w:r>
              <w:rPr>
                <w:rFonts w:ascii="Arial" w:cs="Arial" w:eastAsia="Arial" w:hAnsi="Arial"/>
                <w:sz w:val="9"/>
                <w:szCs w:val="9"/>
                <w:color w:val="050505"/>
              </w:rPr>
              <w:t>Unused credit fee payments</w:t>
            </w:r>
            <w:r>
              <w:rPr>
                <w:rFonts w:ascii="Arial" w:cs="Arial" w:eastAsia="Arial" w:hAnsi="Arial"/>
                <w:sz w:val="14"/>
                <w:szCs w:val="14"/>
                <w:color w:val="050505"/>
                <w:vertAlign w:val="superscript"/>
              </w:rPr>
              <w:t>(3)</w:t>
            </w:r>
          </w:p>
        </w:tc>
        <w:tc>
          <w:tcPr>
            <w:tcW w:w="80" w:type="dxa"/>
            <w:vAlign w:val="bottom"/>
            <w:tcBorders>
              <w:bottom w:val="single" w:sz="8" w:color="auto"/>
            </w:tcBorders>
            <w:shd w:val="clear" w:color="auto" w:fill="CCEEFF"/>
          </w:tcPr>
          <w:p>
            <w:pPr>
              <w:spacing w:after="0"/>
              <w:rPr>
                <w:sz w:val="10"/>
                <w:szCs w:val="10"/>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050505"/>
              </w:rPr>
              <w:t>3.9</w:t>
            </w:r>
          </w:p>
        </w:tc>
        <w:tc>
          <w:tcPr>
            <w:tcW w:w="340" w:type="dxa"/>
            <w:vAlign w:val="bottom"/>
            <w:shd w:val="clear" w:color="auto" w:fill="CCEEFF"/>
          </w:tcPr>
          <w:p>
            <w:pPr>
              <w:spacing w:after="0"/>
              <w:rPr>
                <w:sz w:val="10"/>
                <w:szCs w:val="10"/>
                <w:color w:val="auto"/>
              </w:rPr>
            </w:pPr>
          </w:p>
        </w:tc>
        <w:tc>
          <w:tcPr>
            <w:tcW w:w="80" w:type="dxa"/>
            <w:vAlign w:val="bottom"/>
            <w:tcBorders>
              <w:bottom w:val="single" w:sz="8" w:color="auto"/>
            </w:tcBorders>
            <w:shd w:val="clear" w:color="auto" w:fill="CCEEFF"/>
          </w:tcPr>
          <w:p>
            <w:pPr>
              <w:spacing w:after="0"/>
              <w:rPr>
                <w:sz w:val="10"/>
                <w:szCs w:val="10"/>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050505"/>
              </w:rPr>
              <w:t>0.8</w:t>
            </w:r>
          </w:p>
        </w:tc>
        <w:tc>
          <w:tcPr>
            <w:tcW w:w="320" w:type="dxa"/>
            <w:vAlign w:val="bottom"/>
            <w:shd w:val="clear" w:color="auto" w:fill="CCEEFF"/>
          </w:tcPr>
          <w:p>
            <w:pPr>
              <w:spacing w:after="0"/>
              <w:rPr>
                <w:sz w:val="10"/>
                <w:szCs w:val="10"/>
                <w:color w:val="auto"/>
              </w:rPr>
            </w:pPr>
          </w:p>
        </w:tc>
        <w:tc>
          <w:tcPr>
            <w:tcW w:w="100" w:type="dxa"/>
            <w:vAlign w:val="bottom"/>
            <w:tcBorders>
              <w:bottom w:val="single" w:sz="8" w:color="auto"/>
            </w:tcBorders>
            <w:shd w:val="clear" w:color="auto" w:fill="CCEEFF"/>
          </w:tcPr>
          <w:p>
            <w:pPr>
              <w:spacing w:after="0"/>
              <w:rPr>
                <w:sz w:val="10"/>
                <w:szCs w:val="10"/>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050505"/>
              </w:rPr>
              <w:t>1.6</w:t>
            </w:r>
          </w:p>
        </w:tc>
        <w:tc>
          <w:tcPr>
            <w:tcW w:w="2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tcBorders>
              <w:bottom w:val="single" w:sz="8" w:color="auto"/>
            </w:tcBorders>
            <w:shd w:val="clear" w:color="auto" w:fill="CCEEFF"/>
          </w:tcPr>
          <w:p>
            <w:pPr>
              <w:spacing w:after="0"/>
              <w:rPr>
                <w:sz w:val="10"/>
                <w:szCs w:val="10"/>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050505"/>
              </w:rPr>
              <w:t>1.6</w:t>
            </w:r>
          </w:p>
        </w:tc>
        <w:tc>
          <w:tcPr>
            <w:tcW w:w="400" w:type="dxa"/>
            <w:vAlign w:val="bottom"/>
            <w:tcBorders>
              <w:right w:val="single" w:sz="8" w:color="CCEEFF"/>
            </w:tcBorders>
            <w:shd w:val="clear" w:color="auto" w:fill="CCEEFF"/>
          </w:tcPr>
          <w:p>
            <w:pPr>
              <w:spacing w:after="0"/>
              <w:rPr>
                <w:sz w:val="10"/>
                <w:szCs w:val="10"/>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050505"/>
              </w:rPr>
              <w:t>—</w:t>
            </w:r>
          </w:p>
        </w:tc>
        <w:tc>
          <w:tcPr>
            <w:tcW w:w="40" w:type="dxa"/>
            <w:vAlign w:val="bottom"/>
            <w:shd w:val="clear" w:color="auto" w:fill="CCEEFF"/>
          </w:tcPr>
          <w:p>
            <w:pPr>
              <w:spacing w:after="0"/>
              <w:rPr>
                <w:sz w:val="10"/>
                <w:szCs w:val="10"/>
                <w:color w:val="auto"/>
              </w:rPr>
            </w:pPr>
          </w:p>
        </w:tc>
      </w:tr>
      <w:tr>
        <w:trPr>
          <w:trHeight w:val="124"/>
        </w:trPr>
        <w:tc>
          <w:tcPr>
            <w:tcW w:w="3360" w:type="dxa"/>
            <w:vAlign w:val="bottom"/>
          </w:tcPr>
          <w:p>
            <w:pPr>
              <w:ind w:left="280"/>
              <w:spacing w:after="0" w:line="124" w:lineRule="exact"/>
              <w:rPr>
                <w:sz w:val="20"/>
                <w:szCs w:val="20"/>
                <w:color w:val="auto"/>
              </w:rPr>
            </w:pPr>
            <w:r>
              <w:rPr>
                <w:rFonts w:ascii="Arial" w:cs="Arial" w:eastAsia="Arial" w:hAnsi="Arial"/>
                <w:sz w:val="11"/>
                <w:szCs w:val="11"/>
                <w:color w:val="050505"/>
              </w:rPr>
              <w:t>Total</w:t>
            </w:r>
          </w:p>
        </w:tc>
        <w:tc>
          <w:tcPr>
            <w:tcW w:w="80" w:type="dxa"/>
            <w:vAlign w:val="bottom"/>
          </w:tcPr>
          <w:p>
            <w:pPr>
              <w:jc w:val="right"/>
              <w:ind w:right="13"/>
              <w:spacing w:after="0"/>
              <w:rPr>
                <w:sz w:val="20"/>
                <w:szCs w:val="20"/>
                <w:color w:val="auto"/>
              </w:rPr>
            </w:pPr>
            <w:r>
              <w:rPr>
                <w:rFonts w:ascii="Arial" w:cs="Arial" w:eastAsia="Arial" w:hAnsi="Arial"/>
                <w:sz w:val="5"/>
                <w:szCs w:val="5"/>
                <w:color w:val="050505"/>
                <w:w w:val="70"/>
              </w:rPr>
              <w:t>$</w:t>
            </w:r>
          </w:p>
        </w:tc>
        <w:tc>
          <w:tcPr>
            <w:tcW w:w="400" w:type="dxa"/>
            <w:vAlign w:val="bottom"/>
          </w:tcPr>
          <w:p>
            <w:pPr>
              <w:jc w:val="right"/>
              <w:spacing w:after="0" w:line="124" w:lineRule="exact"/>
              <w:rPr>
                <w:sz w:val="20"/>
                <w:szCs w:val="20"/>
                <w:color w:val="auto"/>
              </w:rPr>
            </w:pPr>
            <w:r>
              <w:rPr>
                <w:rFonts w:ascii="Arial" w:cs="Arial" w:eastAsia="Arial" w:hAnsi="Arial"/>
                <w:sz w:val="11"/>
                <w:szCs w:val="11"/>
                <w:color w:val="050505"/>
              </w:rPr>
              <w:t>830.8</w:t>
            </w:r>
          </w:p>
        </w:tc>
        <w:tc>
          <w:tcPr>
            <w:tcW w:w="420" w:type="dxa"/>
            <w:vAlign w:val="bottom"/>
            <w:gridSpan w:val="2"/>
          </w:tcPr>
          <w:p>
            <w:pPr>
              <w:ind w:left="340"/>
              <w:spacing w:after="0" w:line="124" w:lineRule="exact"/>
              <w:rPr>
                <w:sz w:val="20"/>
                <w:szCs w:val="20"/>
                <w:color w:val="auto"/>
              </w:rPr>
            </w:pPr>
            <w:r>
              <w:rPr>
                <w:rFonts w:ascii="Arial" w:cs="Arial" w:eastAsia="Arial" w:hAnsi="Arial"/>
                <w:sz w:val="11"/>
                <w:szCs w:val="11"/>
                <w:color w:val="050505"/>
                <w:w w:val="97"/>
              </w:rPr>
              <w:t>$</w:t>
            </w:r>
          </w:p>
        </w:tc>
        <w:tc>
          <w:tcPr>
            <w:tcW w:w="440" w:type="dxa"/>
            <w:vAlign w:val="bottom"/>
          </w:tcPr>
          <w:p>
            <w:pPr>
              <w:jc w:val="right"/>
              <w:spacing w:after="0" w:line="124" w:lineRule="exact"/>
              <w:rPr>
                <w:sz w:val="20"/>
                <w:szCs w:val="20"/>
                <w:color w:val="auto"/>
              </w:rPr>
            </w:pPr>
            <w:r>
              <w:rPr>
                <w:rFonts w:ascii="Arial" w:cs="Arial" w:eastAsia="Arial" w:hAnsi="Arial"/>
                <w:sz w:val="11"/>
                <w:szCs w:val="11"/>
                <w:color w:val="050505"/>
              </w:rPr>
              <w:t>47.0</w:t>
            </w:r>
          </w:p>
        </w:tc>
        <w:tc>
          <w:tcPr>
            <w:tcW w:w="420" w:type="dxa"/>
            <w:vAlign w:val="bottom"/>
            <w:gridSpan w:val="2"/>
          </w:tcPr>
          <w:p>
            <w:pPr>
              <w:ind w:left="320"/>
              <w:spacing w:after="0" w:line="124" w:lineRule="exact"/>
              <w:rPr>
                <w:sz w:val="20"/>
                <w:szCs w:val="20"/>
                <w:color w:val="auto"/>
              </w:rPr>
            </w:pPr>
            <w:r>
              <w:rPr>
                <w:rFonts w:ascii="Arial" w:cs="Arial" w:eastAsia="Arial" w:hAnsi="Arial"/>
                <w:sz w:val="11"/>
                <w:szCs w:val="11"/>
                <w:color w:val="050505"/>
              </w:rPr>
              <w:t>$</w:t>
            </w:r>
          </w:p>
        </w:tc>
        <w:tc>
          <w:tcPr>
            <w:tcW w:w="460" w:type="dxa"/>
            <w:vAlign w:val="bottom"/>
          </w:tcPr>
          <w:p>
            <w:pPr>
              <w:jc w:val="right"/>
              <w:spacing w:after="0" w:line="124" w:lineRule="exact"/>
              <w:rPr>
                <w:sz w:val="20"/>
                <w:szCs w:val="20"/>
                <w:color w:val="auto"/>
              </w:rPr>
            </w:pPr>
            <w:r>
              <w:rPr>
                <w:rFonts w:ascii="Arial" w:cs="Arial" w:eastAsia="Arial" w:hAnsi="Arial"/>
                <w:sz w:val="11"/>
                <w:szCs w:val="11"/>
                <w:color w:val="050505"/>
              </w:rPr>
              <w:t>129.4</w:t>
            </w:r>
          </w:p>
        </w:tc>
        <w:tc>
          <w:tcPr>
            <w:tcW w:w="200" w:type="dxa"/>
            <w:vAlign w:val="bottom"/>
          </w:tcPr>
          <w:p>
            <w:pPr>
              <w:spacing w:after="0"/>
              <w:rPr>
                <w:sz w:val="10"/>
                <w:szCs w:val="10"/>
                <w:color w:val="auto"/>
              </w:rPr>
            </w:pPr>
          </w:p>
        </w:tc>
        <w:tc>
          <w:tcPr>
            <w:tcW w:w="220" w:type="dxa"/>
            <w:vAlign w:val="bottom"/>
            <w:gridSpan w:val="2"/>
          </w:tcPr>
          <w:p>
            <w:pPr>
              <w:jc w:val="right"/>
              <w:ind w:right="40"/>
              <w:spacing w:after="0" w:line="124" w:lineRule="exact"/>
              <w:rPr>
                <w:sz w:val="20"/>
                <w:szCs w:val="20"/>
                <w:color w:val="auto"/>
              </w:rPr>
            </w:pPr>
            <w:r>
              <w:rPr>
                <w:rFonts w:ascii="Arial" w:cs="Arial" w:eastAsia="Arial" w:hAnsi="Arial"/>
                <w:sz w:val="11"/>
                <w:szCs w:val="11"/>
                <w:color w:val="050505"/>
              </w:rPr>
              <w:t>$</w:t>
            </w:r>
          </w:p>
        </w:tc>
        <w:tc>
          <w:tcPr>
            <w:tcW w:w="460" w:type="dxa"/>
            <w:vAlign w:val="bottom"/>
          </w:tcPr>
          <w:p>
            <w:pPr>
              <w:jc w:val="right"/>
              <w:spacing w:after="0" w:line="124" w:lineRule="exact"/>
              <w:rPr>
                <w:sz w:val="20"/>
                <w:szCs w:val="20"/>
                <w:color w:val="auto"/>
              </w:rPr>
            </w:pPr>
            <w:r>
              <w:rPr>
                <w:rFonts w:ascii="Arial" w:cs="Arial" w:eastAsia="Arial" w:hAnsi="Arial"/>
                <w:sz w:val="11"/>
                <w:szCs w:val="11"/>
                <w:color w:val="050505"/>
              </w:rPr>
              <w:t>109.0</w:t>
            </w:r>
          </w:p>
        </w:tc>
        <w:tc>
          <w:tcPr>
            <w:tcW w:w="400" w:type="dxa"/>
            <w:vAlign w:val="bottom"/>
          </w:tcPr>
          <w:p>
            <w:pPr>
              <w:ind w:left="340"/>
              <w:spacing w:after="0"/>
              <w:rPr>
                <w:sz w:val="20"/>
                <w:szCs w:val="20"/>
                <w:color w:val="auto"/>
              </w:rPr>
            </w:pPr>
            <w:r>
              <w:rPr>
                <w:rFonts w:ascii="Arial" w:cs="Arial" w:eastAsia="Arial" w:hAnsi="Arial"/>
                <w:sz w:val="5"/>
                <w:szCs w:val="5"/>
                <w:color w:val="050505"/>
                <w:w w:val="70"/>
              </w:rPr>
              <w:t>$</w:t>
            </w:r>
          </w:p>
        </w:tc>
        <w:tc>
          <w:tcPr>
            <w:tcW w:w="460" w:type="dxa"/>
            <w:vAlign w:val="bottom"/>
          </w:tcPr>
          <w:p>
            <w:pPr>
              <w:jc w:val="right"/>
              <w:spacing w:after="0" w:line="124" w:lineRule="exact"/>
              <w:rPr>
                <w:sz w:val="20"/>
                <w:szCs w:val="20"/>
                <w:color w:val="auto"/>
              </w:rPr>
            </w:pPr>
            <w:r>
              <w:rPr>
                <w:rFonts w:ascii="Arial" w:cs="Arial" w:eastAsia="Arial" w:hAnsi="Arial"/>
                <w:sz w:val="11"/>
                <w:szCs w:val="11"/>
                <w:color w:val="050505"/>
              </w:rPr>
              <w:t>545.4</w:t>
            </w:r>
          </w:p>
        </w:tc>
        <w:tc>
          <w:tcPr>
            <w:tcW w:w="40" w:type="dxa"/>
            <w:vAlign w:val="bottom"/>
          </w:tcPr>
          <w:p>
            <w:pPr>
              <w:spacing w:after="0"/>
              <w:rPr>
                <w:sz w:val="10"/>
                <w:szCs w:val="10"/>
                <w:color w:val="auto"/>
              </w:rPr>
            </w:pPr>
          </w:p>
        </w:tc>
      </w:tr>
      <w:tr>
        <w:trPr>
          <w:trHeight w:val="27"/>
        </w:trPr>
        <w:tc>
          <w:tcPr>
            <w:tcW w:w="3360" w:type="dxa"/>
            <w:vAlign w:val="bottom"/>
            <w:tcBorders>
              <w:right w:val="single" w:sz="8" w:color="auto"/>
            </w:tcBorders>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00" w:type="dxa"/>
            <w:vAlign w:val="bottom"/>
            <w:tcBorders>
              <w:right w:val="single" w:sz="8" w:color="auto"/>
            </w:tcBorders>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1310640</wp:posOffset>
            </wp:positionH>
            <wp:positionV relativeFrom="paragraph">
              <wp:posOffset>62865</wp:posOffset>
            </wp:positionV>
            <wp:extent cx="1212215" cy="571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1212215" cy="5715"/>
                    </a:xfrm>
                    <a:prstGeom prst="rect">
                      <a:avLst/>
                    </a:prstGeom>
                    <a:noFill/>
                  </pic:spPr>
                </pic:pic>
              </a:graphicData>
            </a:graphic>
          </wp:anchor>
        </w:drawing>
      </w:r>
    </w:p>
    <w:p>
      <w:pPr>
        <w:spacing w:after="0" w:line="111" w:lineRule="exact"/>
        <w:rPr>
          <w:sz w:val="20"/>
          <w:szCs w:val="20"/>
          <w:color w:val="auto"/>
        </w:rPr>
      </w:pPr>
    </w:p>
    <w:p>
      <w:pPr>
        <w:ind w:left="2280" w:right="839" w:hanging="221"/>
        <w:spacing w:after="0" w:line="256" w:lineRule="auto"/>
        <w:tabs>
          <w:tab w:leader="none" w:pos="2280" w:val="left"/>
        </w:tabs>
        <w:numPr>
          <w:ilvl w:val="0"/>
          <w:numId w:val="53"/>
        </w:numPr>
        <w:rPr>
          <w:rFonts w:ascii="Arial" w:cs="Arial" w:eastAsia="Arial" w:hAnsi="Arial"/>
          <w:sz w:val="8"/>
          <w:szCs w:val="8"/>
          <w:color w:val="050505"/>
        </w:rPr>
      </w:pPr>
      <w:r>
        <w:rPr>
          <w:rFonts w:ascii="Arial" w:cs="Arial" w:eastAsia="Arial" w:hAnsi="Arial"/>
          <w:sz w:val="8"/>
          <w:szCs w:val="8"/>
          <w:color w:val="050505"/>
        </w:rPr>
        <w:t>Operating lease obligations relate to our office space, warehouses, production studios, and retail showrooms and microstores. The lease terms are between one and twenty-one years, and the majority of the lease agreements are renewable at the end of the lease period.</w:t>
      </w:r>
    </w:p>
    <w:p>
      <w:pPr>
        <w:spacing w:after="0" w:line="28" w:lineRule="exact"/>
        <w:rPr>
          <w:rFonts w:ascii="Arial" w:cs="Arial" w:eastAsia="Arial" w:hAnsi="Arial"/>
          <w:sz w:val="8"/>
          <w:szCs w:val="8"/>
          <w:color w:val="050505"/>
        </w:rPr>
      </w:pPr>
    </w:p>
    <w:p>
      <w:pPr>
        <w:jc w:val="both"/>
        <w:ind w:left="2280" w:right="839" w:hanging="221"/>
        <w:spacing w:after="0" w:line="245" w:lineRule="auto"/>
        <w:tabs>
          <w:tab w:leader="none" w:pos="2280" w:val="left"/>
        </w:tabs>
        <w:numPr>
          <w:ilvl w:val="0"/>
          <w:numId w:val="53"/>
        </w:numPr>
        <w:rPr>
          <w:rFonts w:ascii="Arial" w:cs="Arial" w:eastAsia="Arial" w:hAnsi="Arial"/>
          <w:sz w:val="8"/>
          <w:szCs w:val="8"/>
          <w:color w:val="050505"/>
        </w:rPr>
      </w:pPr>
      <w:r>
        <w:rPr>
          <w:rFonts w:ascii="Arial" w:cs="Arial" w:eastAsia="Arial" w:hAnsi="Arial"/>
          <w:sz w:val="8"/>
          <w:szCs w:val="8"/>
          <w:color w:val="050505"/>
        </w:rPr>
        <w:t>We are subject to minimum royalty payments associated with our license agreements for the use of licensed content. See “Risk Factors—Risks Related to Our Business—We are party to many music license agreements that are complex and impose numerous obligations upon us that may make it difficult to operate our business, and a breach of such agreements could adversely affect our business, operating results, and financial condition.”</w:t>
      </w:r>
    </w:p>
    <w:p>
      <w:pPr>
        <w:spacing w:after="0" w:line="33" w:lineRule="exact"/>
        <w:rPr>
          <w:rFonts w:ascii="Arial" w:cs="Arial" w:eastAsia="Arial" w:hAnsi="Arial"/>
          <w:sz w:val="8"/>
          <w:szCs w:val="8"/>
          <w:color w:val="050505"/>
        </w:rPr>
      </w:pPr>
    </w:p>
    <w:p>
      <w:pPr>
        <w:ind w:left="2280" w:right="839" w:hanging="221"/>
        <w:spacing w:after="0" w:line="256" w:lineRule="auto"/>
        <w:tabs>
          <w:tab w:leader="none" w:pos="2280" w:val="left"/>
        </w:tabs>
        <w:numPr>
          <w:ilvl w:val="0"/>
          <w:numId w:val="53"/>
        </w:numPr>
        <w:rPr>
          <w:rFonts w:ascii="Arial" w:cs="Arial" w:eastAsia="Arial" w:hAnsi="Arial"/>
          <w:sz w:val="8"/>
          <w:szCs w:val="8"/>
          <w:color w:val="050505"/>
        </w:rPr>
      </w:pPr>
      <w:r>
        <w:rPr>
          <w:rFonts w:ascii="Arial" w:cs="Arial" w:eastAsia="Arial" w:hAnsi="Arial"/>
          <w:sz w:val="8"/>
          <w:szCs w:val="8"/>
          <w:color w:val="050505"/>
        </w:rPr>
        <w:t>We are required to pay a commitment fee of 0.375% based on the unused portion of the revolving credit facility. As of June 30, 2019, we were contingently liable for approximately $40.1 million in standby letters of credit as security for our operating lease obligations.</w:t>
      </w:r>
    </w:p>
    <w:p>
      <w:pPr>
        <w:spacing w:after="0" w:line="133" w:lineRule="exact"/>
        <w:rPr>
          <w:sz w:val="20"/>
          <w:szCs w:val="20"/>
          <w:color w:val="auto"/>
        </w:rPr>
      </w:pPr>
    </w:p>
    <w:p>
      <w:pPr>
        <w:jc w:val="both"/>
        <w:ind w:left="2060" w:right="839"/>
        <w:spacing w:after="0" w:line="242" w:lineRule="auto"/>
        <w:rPr>
          <w:sz w:val="20"/>
          <w:szCs w:val="20"/>
          <w:color w:val="auto"/>
        </w:rPr>
      </w:pPr>
      <w:r>
        <w:rPr>
          <w:rFonts w:ascii="Arial" w:cs="Arial" w:eastAsia="Arial" w:hAnsi="Arial"/>
          <w:sz w:val="11"/>
          <w:szCs w:val="11"/>
          <w:color w:val="050505"/>
        </w:rPr>
        <w:t>The commitment amounts in the table above are associated with contracts that are enforceable and legally binding and that specify all significant terms, including fixed or minimum services to be used, fixed, minimum or variable price provisions, and the approximate timing of the actions under the contracts.</w:t>
      </w:r>
    </w:p>
    <w:p>
      <w:pPr>
        <w:spacing w:after="0" w:line="95" w:lineRule="exact"/>
        <w:rPr>
          <w:sz w:val="20"/>
          <w:szCs w:val="20"/>
          <w:color w:val="auto"/>
        </w:rPr>
      </w:pPr>
    </w:p>
    <w:p>
      <w:pPr>
        <w:ind w:left="5680"/>
        <w:spacing w:after="0"/>
        <w:rPr>
          <w:sz w:val="20"/>
          <w:szCs w:val="20"/>
          <w:color w:val="auto"/>
        </w:rPr>
      </w:pPr>
      <w:r>
        <w:rPr>
          <w:rFonts w:ascii="Arial" w:cs="Arial" w:eastAsia="Arial" w:hAnsi="Arial"/>
          <w:sz w:val="11"/>
          <w:szCs w:val="11"/>
          <w:color w:val="050505"/>
        </w:rPr>
        <w:t>84</w:t>
      </w:r>
    </w:p>
    <w:p>
      <w:pPr>
        <w:sectPr>
          <w:pgSz w:w="11900" w:h="16838" w:orient="portrait"/>
          <w:cols w:equalWidth="0" w:num="1">
            <w:col w:w="10239"/>
          </w:cols>
          <w:pgMar w:left="220" w:top="354" w:right="1440" w:bottom="1440" w:gutter="0" w:footer="0" w:header="0"/>
        </w:sectPr>
      </w:pPr>
    </w:p>
    <w:bookmarkStart w:id="89" w:name="page90"/>
    <w:bookmarkEnd w:id="89"/>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hyperlink w:anchor="page5">
        <w:r>
          <w:rPr>
            <w:rFonts w:ascii="Arial" w:cs="Arial" w:eastAsia="Arial" w:hAnsi="Arial"/>
            <w:sz w:val="12"/>
            <w:szCs w:val="12"/>
            <w:b w:val="1"/>
            <w:bCs w:val="1"/>
            <w:u w:val="single" w:color="auto"/>
            <w:color w:val="0000EE"/>
          </w:rPr>
          <w:t>Table of Contents</w:t>
        </w:r>
      </w:hyperlink>
    </w:p>
    <w:p>
      <w:pPr>
        <w:spacing w:after="0" w:line="216" w:lineRule="exact"/>
        <w:rPr>
          <w:sz w:val="20"/>
          <w:szCs w:val="20"/>
          <w:color w:val="auto"/>
        </w:rPr>
      </w:pPr>
    </w:p>
    <w:p>
      <w:pPr>
        <w:jc w:val="both"/>
        <w:ind w:left="2060" w:right="839"/>
        <w:spacing w:after="0"/>
        <w:rPr>
          <w:sz w:val="20"/>
          <w:szCs w:val="20"/>
          <w:color w:val="auto"/>
        </w:rPr>
      </w:pPr>
      <w:r>
        <w:rPr>
          <w:rFonts w:ascii="Arial" w:cs="Arial" w:eastAsia="Arial" w:hAnsi="Arial"/>
          <w:sz w:val="11"/>
          <w:szCs w:val="11"/>
          <w:color w:val="050505"/>
        </w:rPr>
        <w:t>Purchase orders or contracts for the purchase of certain goods and services are not included in the table. We cannot determine the aggregate amount of such purchase orders that represent contractual obligations because purchase orders may represent authorizations to purchase rather than binding agreements. Our purchase orders are based on our current needs and are fulfilled by our suppliers and manufacturers within short periods of time. We subcontract with other companies to manufacture our products. During the normal course of business, we and our manufacturers procure components based upon a forecasted production plan. If we cancel all or part of the orders, we may be liable to our suppliers and manufacturers for the cost of the unutilized component orders or components purchased by our manufacturers.</w:t>
      </w:r>
    </w:p>
    <w:p>
      <w:pPr>
        <w:spacing w:after="0" w:line="142" w:lineRule="exact"/>
        <w:rPr>
          <w:sz w:val="20"/>
          <w:szCs w:val="20"/>
          <w:color w:val="auto"/>
        </w:rPr>
      </w:pPr>
    </w:p>
    <w:p>
      <w:pPr>
        <w:jc w:val="both"/>
        <w:ind w:left="2060" w:right="839"/>
        <w:spacing w:after="0" w:line="241" w:lineRule="auto"/>
        <w:rPr>
          <w:sz w:val="20"/>
          <w:szCs w:val="20"/>
          <w:color w:val="auto"/>
        </w:rPr>
      </w:pPr>
      <w:r>
        <w:rPr>
          <w:rFonts w:ascii="Arial" w:cs="Arial" w:eastAsia="Arial" w:hAnsi="Arial"/>
          <w:sz w:val="11"/>
          <w:szCs w:val="11"/>
          <w:color w:val="050505"/>
        </w:rPr>
        <w:t>In December 2017, we entered into a 21-year operating lease agreement for our new fitness programming hub in New York City. This lease commenced in October 2018, upon the date we took possession of the leased space and committed to make $99.5 million in minimum fixed payments over the term of the lease agreement, although cash payments for rental obligations under the lease do not begin until October 2019. This lease contains a renewal option for two additional five-year periods and includes a tenant improvement allowance of $3.0 million.</w:t>
      </w:r>
    </w:p>
    <w:p>
      <w:pPr>
        <w:spacing w:after="0" w:line="140" w:lineRule="exact"/>
        <w:rPr>
          <w:sz w:val="20"/>
          <w:szCs w:val="20"/>
          <w:color w:val="auto"/>
        </w:rPr>
      </w:pPr>
    </w:p>
    <w:p>
      <w:pPr>
        <w:jc w:val="both"/>
        <w:ind w:left="2060" w:right="839"/>
        <w:spacing w:after="0" w:line="241" w:lineRule="auto"/>
        <w:rPr>
          <w:sz w:val="20"/>
          <w:szCs w:val="20"/>
          <w:color w:val="auto"/>
        </w:rPr>
      </w:pPr>
      <w:r>
        <w:rPr>
          <w:rFonts w:ascii="Arial" w:cs="Arial" w:eastAsia="Arial" w:hAnsi="Arial"/>
          <w:sz w:val="11"/>
          <w:szCs w:val="11"/>
          <w:color w:val="050505"/>
        </w:rPr>
        <w:t>In November 2018, we entered into a 16-year operating lease agreement for space to be used as our new corporate headquarters in New York City. This lease is expected to commence in August 2019 when we take possession of the leased space and commit to pay $503.0 million in minimum fixed payments over the term of the lease. This lease contains a renewal option for an additional 10-year period and includes a tenant improvement allowance of $28.0 million.</w:t>
      </w:r>
    </w:p>
    <w:p>
      <w:pPr>
        <w:spacing w:after="0" w:line="140" w:lineRule="exact"/>
        <w:rPr>
          <w:sz w:val="20"/>
          <w:szCs w:val="20"/>
          <w:color w:val="auto"/>
        </w:rPr>
      </w:pPr>
    </w:p>
    <w:p>
      <w:pPr>
        <w:jc w:val="both"/>
        <w:ind w:left="2060" w:right="839"/>
        <w:spacing w:after="0" w:line="242" w:lineRule="auto"/>
        <w:rPr>
          <w:sz w:val="20"/>
          <w:szCs w:val="20"/>
          <w:color w:val="auto"/>
        </w:rPr>
      </w:pPr>
      <w:r>
        <w:rPr>
          <w:rFonts w:ascii="Arial" w:cs="Arial" w:eastAsia="Arial" w:hAnsi="Arial"/>
          <w:sz w:val="11"/>
          <w:szCs w:val="11"/>
          <w:color w:val="050505"/>
        </w:rPr>
        <w:t>Between July 1, 2019 and June 30, 2020, the end of our 2020 fiscal year, we anticipate making capital expenditures of approximately $250.0 million to $300.0 million, which will be largely attributable to the build out of our new headquarters in New York City, our investment in developing our New York and London production studios, and an increase in the number of showrooms that we operate.</w:t>
      </w:r>
    </w:p>
    <w:p>
      <w:pPr>
        <w:spacing w:after="0" w:line="140" w:lineRule="exact"/>
        <w:rPr>
          <w:sz w:val="20"/>
          <w:szCs w:val="20"/>
          <w:color w:val="auto"/>
        </w:rPr>
      </w:pPr>
    </w:p>
    <w:p>
      <w:pPr>
        <w:jc w:val="both"/>
        <w:ind w:left="2060" w:right="839"/>
        <w:spacing w:after="0" w:line="245" w:lineRule="auto"/>
        <w:rPr>
          <w:sz w:val="20"/>
          <w:szCs w:val="20"/>
          <w:color w:val="auto"/>
        </w:rPr>
      </w:pPr>
      <w:r>
        <w:rPr>
          <w:rFonts w:ascii="Arial" w:cs="Arial" w:eastAsia="Arial" w:hAnsi="Arial"/>
          <w:sz w:val="11"/>
          <w:szCs w:val="11"/>
          <w:color w:val="050505"/>
        </w:rPr>
        <w:t>In June 2019, we entered into an agreement to acquire a third party for approximately $50.0 million. The agreement is subject to standard closing conditions and third-party approvals. We expect to close the transaction in September 2019.</w:t>
      </w:r>
    </w:p>
    <w:p>
      <w:pPr>
        <w:spacing w:after="0" w:line="126" w:lineRule="exact"/>
        <w:rPr>
          <w:sz w:val="20"/>
          <w:szCs w:val="20"/>
          <w:color w:val="auto"/>
        </w:rPr>
      </w:pPr>
    </w:p>
    <w:p>
      <w:pPr>
        <w:ind w:left="2060"/>
        <w:spacing w:after="0"/>
        <w:rPr>
          <w:sz w:val="20"/>
          <w:szCs w:val="20"/>
          <w:color w:val="auto"/>
        </w:rPr>
      </w:pPr>
      <w:r>
        <w:rPr>
          <w:rFonts w:ascii="Arial" w:cs="Arial" w:eastAsia="Arial" w:hAnsi="Arial"/>
          <w:sz w:val="11"/>
          <w:szCs w:val="11"/>
          <w:b w:val="1"/>
          <w:bCs w:val="1"/>
          <w:u w:val="single" w:color="auto"/>
          <w:color w:val="auto"/>
        </w:rPr>
        <w:t>Off-Balance Sheet Arrangements</w:t>
      </w:r>
    </w:p>
    <w:p>
      <w:pPr>
        <w:spacing w:after="0" w:line="12" w:lineRule="exact"/>
        <w:rPr>
          <w:sz w:val="20"/>
          <w:szCs w:val="20"/>
          <w:color w:val="auto"/>
        </w:rPr>
      </w:pPr>
    </w:p>
    <w:p>
      <w:pPr>
        <w:ind w:left="2060"/>
        <w:spacing w:after="0"/>
        <w:rPr>
          <w:sz w:val="20"/>
          <w:szCs w:val="20"/>
          <w:color w:val="auto"/>
        </w:rPr>
      </w:pPr>
      <w:r>
        <w:rPr>
          <w:rFonts w:ascii="Arial" w:cs="Arial" w:eastAsia="Arial" w:hAnsi="Arial"/>
          <w:sz w:val="11"/>
          <w:szCs w:val="11"/>
          <w:color w:val="050505"/>
        </w:rPr>
        <w:t>We did not have any off-balance sheet arrangements as of June 30, 2019.</w:t>
      </w:r>
    </w:p>
    <w:p>
      <w:pPr>
        <w:spacing w:after="0" w:line="132" w:lineRule="exact"/>
        <w:rPr>
          <w:sz w:val="20"/>
          <w:szCs w:val="20"/>
          <w:color w:val="auto"/>
        </w:rPr>
      </w:pPr>
    </w:p>
    <w:p>
      <w:pPr>
        <w:ind w:left="2060"/>
        <w:spacing w:after="0"/>
        <w:rPr>
          <w:sz w:val="20"/>
          <w:szCs w:val="20"/>
          <w:color w:val="auto"/>
        </w:rPr>
      </w:pPr>
      <w:r>
        <w:rPr>
          <w:rFonts w:ascii="Arial" w:cs="Arial" w:eastAsia="Arial" w:hAnsi="Arial"/>
          <w:sz w:val="11"/>
          <w:szCs w:val="11"/>
          <w:b w:val="1"/>
          <w:bCs w:val="1"/>
          <w:u w:val="single" w:color="auto"/>
          <w:color w:val="auto"/>
        </w:rPr>
        <w:t>Quantitative and Qualitative Disclosure About Market Risk</w:t>
      </w:r>
    </w:p>
    <w:p>
      <w:pPr>
        <w:spacing w:after="0" w:line="144" w:lineRule="exact"/>
        <w:rPr>
          <w:sz w:val="20"/>
          <w:szCs w:val="20"/>
          <w:color w:val="auto"/>
        </w:rPr>
      </w:pPr>
    </w:p>
    <w:p>
      <w:pPr>
        <w:ind w:left="2060"/>
        <w:spacing w:after="0"/>
        <w:rPr>
          <w:sz w:val="20"/>
          <w:szCs w:val="20"/>
          <w:color w:val="auto"/>
        </w:rPr>
      </w:pPr>
      <w:r>
        <w:rPr>
          <w:rFonts w:ascii="Arial" w:cs="Arial" w:eastAsia="Arial" w:hAnsi="Arial"/>
          <w:sz w:val="11"/>
          <w:szCs w:val="11"/>
          <w:b w:val="1"/>
          <w:bCs w:val="1"/>
          <w:i w:val="1"/>
          <w:iCs w:val="1"/>
          <w:color w:val="auto"/>
        </w:rPr>
        <w:t>Interest Rate Risk</w:t>
      </w:r>
    </w:p>
    <w:p>
      <w:pPr>
        <w:spacing w:after="0" w:line="12" w:lineRule="exact"/>
        <w:rPr>
          <w:sz w:val="20"/>
          <w:szCs w:val="20"/>
          <w:color w:val="auto"/>
        </w:rPr>
      </w:pPr>
    </w:p>
    <w:p>
      <w:pPr>
        <w:jc w:val="both"/>
        <w:ind w:left="2060" w:right="839"/>
        <w:spacing w:after="0" w:line="242" w:lineRule="auto"/>
        <w:rPr>
          <w:sz w:val="20"/>
          <w:szCs w:val="20"/>
          <w:color w:val="auto"/>
        </w:rPr>
      </w:pPr>
      <w:r>
        <w:rPr>
          <w:rFonts w:ascii="Arial" w:cs="Arial" w:eastAsia="Arial" w:hAnsi="Arial"/>
          <w:sz w:val="11"/>
          <w:szCs w:val="11"/>
          <w:color w:val="050505"/>
        </w:rPr>
        <w:t>We are primarily exposed to changes in short-term interest rates with respect to our cost of borrowing under our Credit Agreement. We monitor our cost of borrowing under our facility, taking into account our funding requirements, and our expectations for short-term rates in the future. A hypothetical 10% change in the interest rate on our Credit Agreement for all periods presented would not have a material impact on our financial statements.</w:t>
      </w:r>
    </w:p>
    <w:p>
      <w:pPr>
        <w:spacing w:after="0" w:line="128" w:lineRule="exact"/>
        <w:rPr>
          <w:sz w:val="20"/>
          <w:szCs w:val="20"/>
          <w:color w:val="auto"/>
        </w:rPr>
      </w:pPr>
    </w:p>
    <w:p>
      <w:pPr>
        <w:ind w:left="2060"/>
        <w:spacing w:after="0"/>
        <w:rPr>
          <w:sz w:val="20"/>
          <w:szCs w:val="20"/>
          <w:color w:val="auto"/>
        </w:rPr>
      </w:pPr>
      <w:r>
        <w:rPr>
          <w:rFonts w:ascii="Arial" w:cs="Arial" w:eastAsia="Arial" w:hAnsi="Arial"/>
          <w:sz w:val="11"/>
          <w:szCs w:val="11"/>
          <w:b w:val="1"/>
          <w:bCs w:val="1"/>
          <w:i w:val="1"/>
          <w:iCs w:val="1"/>
          <w:color w:val="auto"/>
        </w:rPr>
        <w:t>Foreign Currency Risk</w:t>
      </w:r>
    </w:p>
    <w:p>
      <w:pPr>
        <w:spacing w:after="0" w:line="12" w:lineRule="exact"/>
        <w:rPr>
          <w:sz w:val="20"/>
          <w:szCs w:val="20"/>
          <w:color w:val="auto"/>
        </w:rPr>
      </w:pPr>
    </w:p>
    <w:p>
      <w:pPr>
        <w:jc w:val="both"/>
        <w:ind w:left="2060" w:right="839"/>
        <w:spacing w:after="0" w:line="239" w:lineRule="auto"/>
        <w:rPr>
          <w:sz w:val="20"/>
          <w:szCs w:val="20"/>
          <w:color w:val="auto"/>
        </w:rPr>
      </w:pPr>
      <w:r>
        <w:rPr>
          <w:rFonts w:ascii="Arial" w:cs="Arial" w:eastAsia="Arial" w:hAnsi="Arial"/>
          <w:sz w:val="11"/>
          <w:szCs w:val="11"/>
          <w:color w:val="050505"/>
        </w:rPr>
        <w:t>To date, all of our inventory purchases have been denominated in U.S. dollars. Our international sales are primarily denominated in foreign currencies and any unfavorable movement in the exchange rate between U.S. dollars and the currencies in which we conduct sales in foreign countries could have an adverse impact on our revenue. A portion of our operating expenses are incurred outside the United States and are denominated in foreign currencies, which are also subject to fluctuations due to changes in foreign currency exchange rates. In addition, our suppliers incur many costs, including labor and supply costs, in other currencies. While we are not currently contractually obligated to pay increased costs due to changes in exchange rates, to the extent that exchange rates move unfavorably for our suppliers, they may seek to pass these additional costs on to us, which could have a material impact on our gross margins. Our operating results and cash flows are, therefore, subject to fluctuations due to changes in foreign currency exchange rates. However, we believe that the exposure to foreign currency fluctuation from operating expenses is relatively small at this time as the related costs do not constitute a significant portion of our total expenses. To date, we have not entered into derivatives or hedging transactions, as our exposure to foreign currency exchange rates has historically been partially hedged as our foreign currency denominated inflows have covered our foreign currency denominated expenses. However, we may enter into derivative or hedging transactions in the future if our exposure to foreign currency should become more significant.</w:t>
      </w:r>
    </w:p>
    <w:p>
      <w:pPr>
        <w:spacing w:after="0" w:line="101" w:lineRule="exact"/>
        <w:rPr>
          <w:sz w:val="20"/>
          <w:szCs w:val="20"/>
          <w:color w:val="auto"/>
        </w:rPr>
      </w:pPr>
    </w:p>
    <w:p>
      <w:pPr>
        <w:ind w:left="5680"/>
        <w:spacing w:after="0"/>
        <w:rPr>
          <w:sz w:val="20"/>
          <w:szCs w:val="20"/>
          <w:color w:val="auto"/>
        </w:rPr>
      </w:pPr>
      <w:r>
        <w:rPr>
          <w:rFonts w:ascii="Arial" w:cs="Arial" w:eastAsia="Arial" w:hAnsi="Arial"/>
          <w:sz w:val="11"/>
          <w:szCs w:val="11"/>
          <w:color w:val="050505"/>
        </w:rPr>
        <w:t>85</w:t>
      </w:r>
    </w:p>
    <w:p>
      <w:pPr>
        <w:sectPr>
          <w:pgSz w:w="11900" w:h="16838" w:orient="portrait"/>
          <w:cols w:equalWidth="0" w:num="1">
            <w:col w:w="10239"/>
          </w:cols>
          <w:pgMar w:left="220" w:top="354" w:right="1440" w:bottom="1440" w:gutter="0" w:footer="0" w:header="0"/>
        </w:sectPr>
      </w:pPr>
    </w:p>
    <w:bookmarkStart w:id="90" w:name="page91"/>
    <w:bookmarkEnd w:id="90"/>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hyperlink w:anchor="page5">
        <w:r>
          <w:rPr>
            <w:rFonts w:ascii="Arial" w:cs="Arial" w:eastAsia="Arial" w:hAnsi="Arial"/>
            <w:sz w:val="12"/>
            <w:szCs w:val="12"/>
            <w:b w:val="1"/>
            <w:bCs w:val="1"/>
            <w:u w:val="single" w:color="auto"/>
            <w:color w:val="0000EE"/>
          </w:rPr>
          <w:t>Table of Contents</w:t>
        </w:r>
      </w:hyperlink>
    </w:p>
    <w:p>
      <w:pPr>
        <w:spacing w:after="0" w:line="204" w:lineRule="exact"/>
        <w:rPr>
          <w:sz w:val="20"/>
          <w:szCs w:val="20"/>
          <w:color w:val="auto"/>
        </w:rPr>
      </w:pPr>
    </w:p>
    <w:p>
      <w:pPr>
        <w:ind w:left="2060"/>
        <w:spacing w:after="0"/>
        <w:rPr>
          <w:sz w:val="20"/>
          <w:szCs w:val="20"/>
          <w:color w:val="auto"/>
        </w:rPr>
      </w:pPr>
      <w:r>
        <w:rPr>
          <w:rFonts w:ascii="Arial" w:cs="Arial" w:eastAsia="Arial" w:hAnsi="Arial"/>
          <w:sz w:val="11"/>
          <w:szCs w:val="11"/>
          <w:b w:val="1"/>
          <w:bCs w:val="1"/>
          <w:i w:val="1"/>
          <w:iCs w:val="1"/>
          <w:color w:val="auto"/>
        </w:rPr>
        <w:t>Inflation Risk</w:t>
      </w:r>
    </w:p>
    <w:p>
      <w:pPr>
        <w:spacing w:after="0" w:line="12" w:lineRule="exact"/>
        <w:rPr>
          <w:sz w:val="20"/>
          <w:szCs w:val="20"/>
          <w:color w:val="auto"/>
        </w:rPr>
      </w:pPr>
    </w:p>
    <w:p>
      <w:pPr>
        <w:jc w:val="both"/>
        <w:ind w:left="2060" w:right="839"/>
        <w:spacing w:after="0" w:line="242" w:lineRule="auto"/>
        <w:rPr>
          <w:sz w:val="20"/>
          <w:szCs w:val="20"/>
          <w:color w:val="auto"/>
        </w:rPr>
      </w:pPr>
      <w:r>
        <w:rPr>
          <w:rFonts w:ascii="Arial" w:cs="Arial" w:eastAsia="Arial" w:hAnsi="Arial"/>
          <w:sz w:val="11"/>
          <w:szCs w:val="11"/>
          <w:color w:val="050505"/>
        </w:rPr>
        <w:t>We do not believe that inflation has had a material effect on our business, financial condition or results of operations. If our costs become subject to significant inflationary pressures, we may not be able to fully offset such higher costs through price increases. Our inability or failure to do so could harm our business, financial condition, and operating results.</w:t>
      </w:r>
    </w:p>
    <w:p>
      <w:pPr>
        <w:spacing w:after="0" w:line="128" w:lineRule="exact"/>
        <w:rPr>
          <w:sz w:val="20"/>
          <w:szCs w:val="20"/>
          <w:color w:val="auto"/>
        </w:rPr>
      </w:pPr>
    </w:p>
    <w:p>
      <w:pPr>
        <w:ind w:left="2060"/>
        <w:spacing w:after="0"/>
        <w:rPr>
          <w:sz w:val="20"/>
          <w:szCs w:val="20"/>
          <w:color w:val="auto"/>
        </w:rPr>
      </w:pPr>
      <w:r>
        <w:rPr>
          <w:rFonts w:ascii="Arial" w:cs="Arial" w:eastAsia="Arial" w:hAnsi="Arial"/>
          <w:sz w:val="11"/>
          <w:szCs w:val="11"/>
          <w:b w:val="1"/>
          <w:bCs w:val="1"/>
          <w:u w:val="single" w:color="auto"/>
          <w:color w:val="auto"/>
        </w:rPr>
        <w:t>Critical Accounting Policies and Estimates</w:t>
      </w:r>
    </w:p>
    <w:p>
      <w:pPr>
        <w:spacing w:after="0" w:line="12" w:lineRule="exact"/>
        <w:rPr>
          <w:sz w:val="20"/>
          <w:szCs w:val="20"/>
          <w:color w:val="auto"/>
        </w:rPr>
      </w:pPr>
    </w:p>
    <w:p>
      <w:pPr>
        <w:jc w:val="both"/>
        <w:ind w:left="2060" w:right="839"/>
        <w:spacing w:after="0"/>
        <w:rPr>
          <w:sz w:val="20"/>
          <w:szCs w:val="20"/>
          <w:color w:val="auto"/>
        </w:rPr>
      </w:pPr>
      <w:r>
        <w:rPr>
          <w:rFonts w:ascii="Arial" w:cs="Arial" w:eastAsia="Arial" w:hAnsi="Arial"/>
          <w:sz w:val="11"/>
          <w:szCs w:val="11"/>
          <w:color w:val="050505"/>
        </w:rPr>
        <w:t>Our discussion and analysis of our financial condition and results of operations are based upon our consolidated financial statements, which have been prepared in accordance with GAAP. In preparing the consolidated financial statements, we make estimates and judgments that affect the reported amounts of assets, liabilities, stockholders’ equity/deficit, revenue, expenses, and related disclosures. We re-evaluate our estimates on an on-going basis. Our estimates are based on historical experience and on various other assumptions that we believe to be reasonable under the circumstances. Because of the uncertainty inherent in these matters, actual results may differ from these estimates and could differ based upon other assumptions or conditions. The critical accounting policies that reflect our more significant judgments and estimates used in the preparation of our consolidated financial statements include those noted below.</w:t>
      </w:r>
    </w:p>
    <w:p>
      <w:pPr>
        <w:spacing w:after="0" w:line="129" w:lineRule="exact"/>
        <w:rPr>
          <w:sz w:val="20"/>
          <w:szCs w:val="20"/>
          <w:color w:val="auto"/>
        </w:rPr>
      </w:pPr>
    </w:p>
    <w:p>
      <w:pPr>
        <w:ind w:left="2060"/>
        <w:spacing w:after="0"/>
        <w:rPr>
          <w:sz w:val="20"/>
          <w:szCs w:val="20"/>
          <w:color w:val="auto"/>
        </w:rPr>
      </w:pPr>
      <w:r>
        <w:rPr>
          <w:rFonts w:ascii="Arial" w:cs="Arial" w:eastAsia="Arial" w:hAnsi="Arial"/>
          <w:sz w:val="11"/>
          <w:szCs w:val="11"/>
          <w:b w:val="1"/>
          <w:bCs w:val="1"/>
          <w:i w:val="1"/>
          <w:iCs w:val="1"/>
          <w:color w:val="auto"/>
        </w:rPr>
        <w:t>Revenue Recognition</w:t>
      </w:r>
    </w:p>
    <w:p>
      <w:pPr>
        <w:spacing w:after="0" w:line="12" w:lineRule="exact"/>
        <w:rPr>
          <w:sz w:val="20"/>
          <w:szCs w:val="20"/>
          <w:color w:val="auto"/>
        </w:rPr>
      </w:pPr>
    </w:p>
    <w:p>
      <w:pPr>
        <w:jc w:val="both"/>
        <w:ind w:left="2060" w:right="839"/>
        <w:spacing w:after="0" w:line="245" w:lineRule="auto"/>
        <w:rPr>
          <w:sz w:val="20"/>
          <w:szCs w:val="20"/>
          <w:color w:val="auto"/>
        </w:rPr>
      </w:pPr>
      <w:r>
        <w:rPr>
          <w:rFonts w:ascii="Arial" w:cs="Arial" w:eastAsia="Arial" w:hAnsi="Arial"/>
          <w:sz w:val="11"/>
          <w:szCs w:val="11"/>
          <w:color w:val="050505"/>
        </w:rPr>
        <w:t>Our primary source of revenues are from sales of our Connected Fitness Products including our Bike and Tread, related accessories, and monthly Connected Fitness Subscriptions.</w:t>
      </w:r>
    </w:p>
    <w:p>
      <w:pPr>
        <w:spacing w:after="0" w:line="138" w:lineRule="exact"/>
        <w:rPr>
          <w:sz w:val="20"/>
          <w:szCs w:val="20"/>
          <w:color w:val="auto"/>
        </w:rPr>
      </w:pPr>
    </w:p>
    <w:p>
      <w:pPr>
        <w:jc w:val="both"/>
        <w:ind w:left="2060" w:right="839"/>
        <w:spacing w:after="0" w:line="245" w:lineRule="auto"/>
        <w:rPr>
          <w:sz w:val="20"/>
          <w:szCs w:val="20"/>
          <w:color w:val="auto"/>
        </w:rPr>
      </w:pPr>
      <w:r>
        <w:rPr>
          <w:rFonts w:ascii="Arial" w:cs="Arial" w:eastAsia="Arial" w:hAnsi="Arial"/>
          <w:sz w:val="11"/>
          <w:szCs w:val="11"/>
          <w:color w:val="050505"/>
        </w:rPr>
        <w:t>We determine revenue recognition through the following steps in accordance with Topic 606 which we adopted as of July 1, 2018 on a full retrospective basis:</w:t>
      </w:r>
    </w:p>
    <w:p>
      <w:pPr>
        <w:spacing w:after="0" w:line="156" w:lineRule="exact"/>
        <w:rPr>
          <w:sz w:val="20"/>
          <w:szCs w:val="20"/>
          <w:color w:val="auto"/>
        </w:rPr>
      </w:pPr>
    </w:p>
    <w:p>
      <w:pPr>
        <w:ind w:left="2420" w:hanging="217"/>
        <w:spacing w:after="0"/>
        <w:tabs>
          <w:tab w:leader="none" w:pos="2420" w:val="left"/>
        </w:tabs>
        <w:numPr>
          <w:ilvl w:val="0"/>
          <w:numId w:val="54"/>
        </w:numPr>
        <w:rPr>
          <w:rFonts w:ascii="Arial" w:cs="Arial" w:eastAsia="Arial" w:hAnsi="Arial"/>
          <w:sz w:val="11"/>
          <w:szCs w:val="11"/>
          <w:color w:val="F7323F"/>
        </w:rPr>
      </w:pPr>
      <w:r>
        <w:rPr>
          <w:rFonts w:ascii="Arial" w:cs="Arial" w:eastAsia="Arial" w:hAnsi="Arial"/>
          <w:sz w:val="11"/>
          <w:szCs w:val="11"/>
          <w:color w:val="050505"/>
        </w:rPr>
        <w:t>identification of the contract, or contracts, with a customer;</w:t>
      </w:r>
    </w:p>
    <w:p>
      <w:pPr>
        <w:spacing w:after="0" w:line="44" w:lineRule="exact"/>
        <w:rPr>
          <w:rFonts w:ascii="Arial" w:cs="Arial" w:eastAsia="Arial" w:hAnsi="Arial"/>
          <w:sz w:val="11"/>
          <w:szCs w:val="11"/>
          <w:color w:val="F7323F"/>
        </w:rPr>
      </w:pPr>
    </w:p>
    <w:p>
      <w:pPr>
        <w:ind w:left="2420" w:hanging="217"/>
        <w:spacing w:after="0"/>
        <w:tabs>
          <w:tab w:leader="none" w:pos="2420" w:val="left"/>
        </w:tabs>
        <w:numPr>
          <w:ilvl w:val="0"/>
          <w:numId w:val="54"/>
        </w:numPr>
        <w:rPr>
          <w:rFonts w:ascii="Arial" w:cs="Arial" w:eastAsia="Arial" w:hAnsi="Arial"/>
          <w:sz w:val="11"/>
          <w:szCs w:val="11"/>
          <w:color w:val="F7323F"/>
        </w:rPr>
      </w:pPr>
      <w:r>
        <w:rPr>
          <w:rFonts w:ascii="Arial" w:cs="Arial" w:eastAsia="Arial" w:hAnsi="Arial"/>
          <w:sz w:val="11"/>
          <w:szCs w:val="11"/>
          <w:color w:val="050505"/>
        </w:rPr>
        <w:t>identification of the performance obligations in the contract;</w:t>
      </w:r>
    </w:p>
    <w:p>
      <w:pPr>
        <w:spacing w:after="0" w:line="44" w:lineRule="exact"/>
        <w:rPr>
          <w:rFonts w:ascii="Arial" w:cs="Arial" w:eastAsia="Arial" w:hAnsi="Arial"/>
          <w:sz w:val="11"/>
          <w:szCs w:val="11"/>
          <w:color w:val="F7323F"/>
        </w:rPr>
      </w:pPr>
    </w:p>
    <w:p>
      <w:pPr>
        <w:ind w:left="2420" w:hanging="217"/>
        <w:spacing w:after="0"/>
        <w:tabs>
          <w:tab w:leader="none" w:pos="2420" w:val="left"/>
        </w:tabs>
        <w:numPr>
          <w:ilvl w:val="0"/>
          <w:numId w:val="54"/>
        </w:numPr>
        <w:rPr>
          <w:rFonts w:ascii="Arial" w:cs="Arial" w:eastAsia="Arial" w:hAnsi="Arial"/>
          <w:sz w:val="11"/>
          <w:szCs w:val="11"/>
          <w:color w:val="F7323F"/>
        </w:rPr>
      </w:pPr>
      <w:r>
        <w:rPr>
          <w:rFonts w:ascii="Arial" w:cs="Arial" w:eastAsia="Arial" w:hAnsi="Arial"/>
          <w:sz w:val="11"/>
          <w:szCs w:val="11"/>
          <w:color w:val="050505"/>
        </w:rPr>
        <w:t>determination of the transaction price;</w:t>
      </w:r>
    </w:p>
    <w:p>
      <w:pPr>
        <w:spacing w:after="0" w:line="44" w:lineRule="exact"/>
        <w:rPr>
          <w:rFonts w:ascii="Arial" w:cs="Arial" w:eastAsia="Arial" w:hAnsi="Arial"/>
          <w:sz w:val="11"/>
          <w:szCs w:val="11"/>
          <w:color w:val="F7323F"/>
        </w:rPr>
      </w:pPr>
    </w:p>
    <w:p>
      <w:pPr>
        <w:ind w:left="2420" w:hanging="217"/>
        <w:spacing w:after="0"/>
        <w:tabs>
          <w:tab w:leader="none" w:pos="2420" w:val="left"/>
        </w:tabs>
        <w:numPr>
          <w:ilvl w:val="0"/>
          <w:numId w:val="54"/>
        </w:numPr>
        <w:rPr>
          <w:rFonts w:ascii="Arial" w:cs="Arial" w:eastAsia="Arial" w:hAnsi="Arial"/>
          <w:sz w:val="11"/>
          <w:szCs w:val="11"/>
          <w:color w:val="F7323F"/>
        </w:rPr>
      </w:pPr>
      <w:r>
        <w:rPr>
          <w:rFonts w:ascii="Arial" w:cs="Arial" w:eastAsia="Arial" w:hAnsi="Arial"/>
          <w:sz w:val="11"/>
          <w:szCs w:val="11"/>
          <w:color w:val="050505"/>
        </w:rPr>
        <w:t>allocation of the transaction price to the performance obligations in the contract; and</w:t>
      </w:r>
    </w:p>
    <w:p>
      <w:pPr>
        <w:spacing w:after="0" w:line="44" w:lineRule="exact"/>
        <w:rPr>
          <w:rFonts w:ascii="Arial" w:cs="Arial" w:eastAsia="Arial" w:hAnsi="Arial"/>
          <w:sz w:val="11"/>
          <w:szCs w:val="11"/>
          <w:color w:val="F7323F"/>
        </w:rPr>
      </w:pPr>
    </w:p>
    <w:p>
      <w:pPr>
        <w:ind w:left="2420" w:hanging="217"/>
        <w:spacing w:after="0"/>
        <w:tabs>
          <w:tab w:leader="none" w:pos="2420" w:val="left"/>
        </w:tabs>
        <w:numPr>
          <w:ilvl w:val="0"/>
          <w:numId w:val="54"/>
        </w:numPr>
        <w:rPr>
          <w:rFonts w:ascii="Arial" w:cs="Arial" w:eastAsia="Arial" w:hAnsi="Arial"/>
          <w:sz w:val="11"/>
          <w:szCs w:val="11"/>
          <w:color w:val="F7323F"/>
        </w:rPr>
      </w:pPr>
      <w:r>
        <w:rPr>
          <w:rFonts w:ascii="Arial" w:cs="Arial" w:eastAsia="Arial" w:hAnsi="Arial"/>
          <w:sz w:val="11"/>
          <w:szCs w:val="11"/>
          <w:color w:val="050505"/>
        </w:rPr>
        <w:t>recognition of revenue when, or as, we satisfy a performance obligation.</w:t>
      </w:r>
    </w:p>
    <w:p>
      <w:pPr>
        <w:spacing w:after="0" w:line="144" w:lineRule="exact"/>
        <w:rPr>
          <w:sz w:val="20"/>
          <w:szCs w:val="20"/>
          <w:color w:val="auto"/>
        </w:rPr>
      </w:pPr>
    </w:p>
    <w:p>
      <w:pPr>
        <w:jc w:val="both"/>
        <w:ind w:left="2060" w:right="839"/>
        <w:spacing w:after="0"/>
        <w:rPr>
          <w:sz w:val="20"/>
          <w:szCs w:val="20"/>
          <w:color w:val="auto"/>
        </w:rPr>
      </w:pPr>
      <w:r>
        <w:rPr>
          <w:rFonts w:ascii="Arial" w:cs="Arial" w:eastAsia="Arial" w:hAnsi="Arial"/>
          <w:sz w:val="11"/>
          <w:szCs w:val="11"/>
          <w:color w:val="050505"/>
        </w:rPr>
        <w:t>Revenue is recognized when control of the promised goods or services are transferred to our customers, in an amount that reflects the consideration we expect to be entitled to in exchange for those goods or services. Our revenue is reported net of sales returns and discounts, which to date have not been material to our financial statements. We estimate our liability for product returns based on historical return trends by product category and seasonality and an evaluation of current economic and market conditions, and record the expected customer refund liability as a reduction to revenue, and the expected inventory right of recovery as a reduction of cost of revenue. If actual return costs differ from previous estimates, the amount of the liability and corresponding revenue are adjusted in the period in which such costs occur.</w:t>
      </w:r>
    </w:p>
    <w:p>
      <w:pPr>
        <w:spacing w:after="0" w:line="142" w:lineRule="exact"/>
        <w:rPr>
          <w:sz w:val="20"/>
          <w:szCs w:val="20"/>
          <w:color w:val="auto"/>
        </w:rPr>
      </w:pPr>
    </w:p>
    <w:p>
      <w:pPr>
        <w:jc w:val="both"/>
        <w:ind w:left="2060" w:right="839"/>
        <w:spacing w:after="0" w:line="242" w:lineRule="auto"/>
        <w:rPr>
          <w:sz w:val="20"/>
          <w:szCs w:val="20"/>
          <w:color w:val="auto"/>
        </w:rPr>
      </w:pPr>
      <w:r>
        <w:rPr>
          <w:rFonts w:ascii="Arial" w:cs="Arial" w:eastAsia="Arial" w:hAnsi="Arial"/>
          <w:sz w:val="11"/>
          <w:szCs w:val="11"/>
          <w:color w:val="050505"/>
        </w:rPr>
        <w:t>Some of our contracts with customers contain multiple performance obligations. For customer contracts that include multiple performance obligations, we account for individual performance obligations if they are distinct. The transaction price is then allocated to each performance obligation based on its standalone selling price. We generally determine standalone selling price based on the prices charged to customers.</w:t>
      </w:r>
    </w:p>
    <w:p>
      <w:pPr>
        <w:spacing w:after="0" w:line="140" w:lineRule="exact"/>
        <w:rPr>
          <w:sz w:val="20"/>
          <w:szCs w:val="20"/>
          <w:color w:val="auto"/>
        </w:rPr>
      </w:pPr>
    </w:p>
    <w:p>
      <w:pPr>
        <w:jc w:val="both"/>
        <w:ind w:left="2060" w:right="839"/>
        <w:spacing w:after="0" w:line="241" w:lineRule="auto"/>
        <w:rPr>
          <w:sz w:val="20"/>
          <w:szCs w:val="20"/>
          <w:color w:val="auto"/>
        </w:rPr>
      </w:pPr>
      <w:r>
        <w:rPr>
          <w:rFonts w:ascii="Arial" w:cs="Arial" w:eastAsia="Arial" w:hAnsi="Arial"/>
          <w:sz w:val="11"/>
          <w:szCs w:val="11"/>
          <w:color w:val="050505"/>
        </w:rPr>
        <w:t>Deferred revenue is recorded for nonrefundable cash payments received for our performance obligation to transfer or stand ready to transfer, goods or services in the future. Deferred revenue consists of Subscription fees billed that have not been recognized. Customer deposits represent payments received in advance in instances where the revenue contract is cancelable in nature, and therefore, we do not have an unconditional obligation to transfer control to a customer.</w:t>
      </w:r>
    </w:p>
    <w:p>
      <w:pPr>
        <w:spacing w:after="0" w:line="128" w:lineRule="exact"/>
        <w:rPr>
          <w:sz w:val="20"/>
          <w:szCs w:val="20"/>
          <w:color w:val="auto"/>
        </w:rPr>
      </w:pPr>
    </w:p>
    <w:p>
      <w:pPr>
        <w:ind w:left="2060"/>
        <w:spacing w:after="0"/>
        <w:rPr>
          <w:sz w:val="20"/>
          <w:szCs w:val="20"/>
          <w:color w:val="auto"/>
        </w:rPr>
      </w:pPr>
      <w:r>
        <w:rPr>
          <w:rFonts w:ascii="Arial" w:cs="Arial" w:eastAsia="Arial" w:hAnsi="Arial"/>
          <w:sz w:val="11"/>
          <w:szCs w:val="11"/>
          <w:b w:val="1"/>
          <w:bCs w:val="1"/>
          <w:i w:val="1"/>
          <w:iCs w:val="1"/>
          <w:color w:val="auto"/>
        </w:rPr>
        <w:t>Product Warranty</w:t>
      </w:r>
    </w:p>
    <w:p>
      <w:pPr>
        <w:spacing w:after="0" w:line="12" w:lineRule="exact"/>
        <w:rPr>
          <w:sz w:val="20"/>
          <w:szCs w:val="20"/>
          <w:color w:val="auto"/>
        </w:rPr>
      </w:pPr>
    </w:p>
    <w:p>
      <w:pPr>
        <w:jc w:val="both"/>
        <w:ind w:left="2060" w:right="839"/>
        <w:spacing w:after="0"/>
        <w:rPr>
          <w:sz w:val="20"/>
          <w:szCs w:val="20"/>
          <w:color w:val="auto"/>
        </w:rPr>
      </w:pPr>
      <w:r>
        <w:rPr>
          <w:rFonts w:ascii="Arial" w:cs="Arial" w:eastAsia="Arial" w:hAnsi="Arial"/>
          <w:sz w:val="11"/>
          <w:szCs w:val="11"/>
          <w:color w:val="050505"/>
        </w:rPr>
        <w:t>We offer a standard product warranty that our products will operate under normal, non-commercial use for a period of one-year from the date of original delivery. We have the obligation, at our option, to either repair or replace a defective product. At the time revenue is recognized, an estimate of future warranty costs is recorded as a component of cost of revenue. The estimate of future warranty costs is based on historical as well as current product failure rates, service delivery costs incurred in correcting product failures, and warranty policies. We regularly review these estimates to assess the appropriateness of our recorded warranty liabilities and adjust the amounts as necessary. Should actual product</w:t>
      </w:r>
    </w:p>
    <w:p>
      <w:pPr>
        <w:spacing w:after="0" w:line="97" w:lineRule="exact"/>
        <w:rPr>
          <w:sz w:val="20"/>
          <w:szCs w:val="20"/>
          <w:color w:val="auto"/>
        </w:rPr>
      </w:pPr>
    </w:p>
    <w:p>
      <w:pPr>
        <w:ind w:left="5680"/>
        <w:spacing w:after="0"/>
        <w:rPr>
          <w:sz w:val="20"/>
          <w:szCs w:val="20"/>
          <w:color w:val="auto"/>
        </w:rPr>
      </w:pPr>
      <w:r>
        <w:rPr>
          <w:rFonts w:ascii="Arial" w:cs="Arial" w:eastAsia="Arial" w:hAnsi="Arial"/>
          <w:sz w:val="11"/>
          <w:szCs w:val="11"/>
          <w:color w:val="050505"/>
        </w:rPr>
        <w:t>86</w:t>
      </w:r>
    </w:p>
    <w:p>
      <w:pPr>
        <w:sectPr>
          <w:pgSz w:w="11900" w:h="16838" w:orient="portrait"/>
          <w:cols w:equalWidth="0" w:num="1">
            <w:col w:w="10239"/>
          </w:cols>
          <w:pgMar w:left="220" w:top="354" w:right="1440" w:bottom="1440" w:gutter="0" w:footer="0" w:header="0"/>
        </w:sectPr>
      </w:pPr>
    </w:p>
    <w:bookmarkStart w:id="91" w:name="page92"/>
    <w:bookmarkEnd w:id="91"/>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hyperlink w:anchor="page5">
        <w:r>
          <w:rPr>
            <w:rFonts w:ascii="Arial" w:cs="Arial" w:eastAsia="Arial" w:hAnsi="Arial"/>
            <w:sz w:val="12"/>
            <w:szCs w:val="12"/>
            <w:b w:val="1"/>
            <w:bCs w:val="1"/>
            <w:u w:val="single" w:color="auto"/>
            <w:color w:val="0000EE"/>
          </w:rPr>
          <w:t>Table of Contents</w:t>
        </w:r>
      </w:hyperlink>
    </w:p>
    <w:p>
      <w:pPr>
        <w:spacing w:after="0" w:line="216" w:lineRule="exact"/>
        <w:rPr>
          <w:sz w:val="20"/>
          <w:szCs w:val="20"/>
          <w:color w:val="auto"/>
        </w:rPr>
      </w:pPr>
    </w:p>
    <w:p>
      <w:pPr>
        <w:jc w:val="both"/>
        <w:ind w:left="2060" w:right="839"/>
        <w:spacing w:after="0" w:line="242" w:lineRule="auto"/>
        <w:rPr>
          <w:sz w:val="20"/>
          <w:szCs w:val="20"/>
          <w:color w:val="auto"/>
        </w:rPr>
      </w:pPr>
      <w:r>
        <w:rPr>
          <w:rFonts w:ascii="Arial" w:cs="Arial" w:eastAsia="Arial" w:hAnsi="Arial"/>
          <w:sz w:val="11"/>
          <w:szCs w:val="11"/>
          <w:color w:val="050505"/>
        </w:rPr>
        <w:t>failures, use of materials or other costs differ from our estimates, additional warranty liabilities could be incurred, which could materially affect our results of operations. The estimates and assumptions used to reserve for product warranty have been accurate in all material respects and have not materially changed historically.</w:t>
      </w:r>
    </w:p>
    <w:p>
      <w:pPr>
        <w:spacing w:after="0" w:line="128" w:lineRule="exact"/>
        <w:rPr>
          <w:sz w:val="20"/>
          <w:szCs w:val="20"/>
          <w:color w:val="auto"/>
        </w:rPr>
      </w:pPr>
    </w:p>
    <w:p>
      <w:pPr>
        <w:ind w:left="2060"/>
        <w:spacing w:after="0"/>
        <w:rPr>
          <w:sz w:val="20"/>
          <w:szCs w:val="20"/>
          <w:color w:val="auto"/>
        </w:rPr>
      </w:pPr>
      <w:r>
        <w:rPr>
          <w:rFonts w:ascii="Arial" w:cs="Arial" w:eastAsia="Arial" w:hAnsi="Arial"/>
          <w:sz w:val="11"/>
          <w:szCs w:val="11"/>
          <w:b w:val="1"/>
          <w:bCs w:val="1"/>
          <w:i w:val="1"/>
          <w:iCs w:val="1"/>
          <w:color w:val="auto"/>
        </w:rPr>
        <w:t>Goodwill and Intangible Assets</w:t>
      </w:r>
    </w:p>
    <w:p>
      <w:pPr>
        <w:spacing w:after="0" w:line="12" w:lineRule="exact"/>
        <w:rPr>
          <w:sz w:val="20"/>
          <w:szCs w:val="20"/>
          <w:color w:val="auto"/>
        </w:rPr>
      </w:pPr>
    </w:p>
    <w:p>
      <w:pPr>
        <w:jc w:val="both"/>
        <w:ind w:left="2060" w:right="839"/>
        <w:spacing w:after="0" w:line="245" w:lineRule="auto"/>
        <w:rPr>
          <w:sz w:val="20"/>
          <w:szCs w:val="20"/>
          <w:color w:val="auto"/>
        </w:rPr>
      </w:pPr>
      <w:r>
        <w:rPr>
          <w:rFonts w:ascii="Arial" w:cs="Arial" w:eastAsia="Arial" w:hAnsi="Arial"/>
          <w:sz w:val="11"/>
          <w:szCs w:val="11"/>
          <w:color w:val="050505"/>
        </w:rPr>
        <w:t>Goodwill represents the excess of the aggregate of the consideration transferred and the fair value of any non-controlling interest recognized, if any, over the fair value of identifiable assets acquired and liabilities assumed in a business combination.</w:t>
      </w:r>
    </w:p>
    <w:p>
      <w:pPr>
        <w:spacing w:after="0" w:line="138" w:lineRule="exact"/>
        <w:rPr>
          <w:sz w:val="20"/>
          <w:szCs w:val="20"/>
          <w:color w:val="auto"/>
        </w:rPr>
      </w:pPr>
    </w:p>
    <w:p>
      <w:pPr>
        <w:jc w:val="both"/>
        <w:ind w:left="2060" w:right="839"/>
        <w:spacing w:after="0" w:line="239" w:lineRule="auto"/>
        <w:rPr>
          <w:sz w:val="20"/>
          <w:szCs w:val="20"/>
          <w:color w:val="auto"/>
        </w:rPr>
      </w:pPr>
      <w:r>
        <w:rPr>
          <w:rFonts w:ascii="Arial" w:cs="Arial" w:eastAsia="Arial" w:hAnsi="Arial"/>
          <w:sz w:val="11"/>
          <w:szCs w:val="11"/>
          <w:color w:val="050505"/>
        </w:rPr>
        <w:t>Intangible assets other than goodwill are comprised of acquired developed technology. At initial recognition, intangible assets acquired in a business combination are recognized at their fair value as of the date of acquisition. Following initial recognition, intangible assets are carried at cost less accumulated amortization and impairment losses, if any, and are amortized on a straight-line basis over the estimated useful life of the asset, which was determined based on management’s estimate of the period over which the asset will contribute to our future cash flows. We review goodwill for impairment annually or whenever events or changes in circumstances indicate the carrying amount of the asset may not be recoverable. In conducting our annual goodwill impairment test, we first review qualitative factors to determine whether it is more likely than not that the fair value of the asset is less than its carrying amount. If factors indicate that the fair value of the asset is less than its carrying amount, we perform a quantitative impairment assessment of the asset, analyzing the expected present value of future cash flows to quantify the amount of impairment, if any. We perform our annual impairment tests in the fourth quarter of each fiscal year. We assess the impairment of intangible assets whenever events or changing circumstances indicate that the carrying amount may not be recoverable.</w:t>
      </w:r>
    </w:p>
    <w:p>
      <w:pPr>
        <w:spacing w:after="0" w:line="134" w:lineRule="exact"/>
        <w:rPr>
          <w:sz w:val="20"/>
          <w:szCs w:val="20"/>
          <w:color w:val="auto"/>
        </w:rPr>
      </w:pPr>
    </w:p>
    <w:p>
      <w:pPr>
        <w:ind w:left="2060"/>
        <w:spacing w:after="0"/>
        <w:rPr>
          <w:sz w:val="20"/>
          <w:szCs w:val="20"/>
          <w:color w:val="auto"/>
        </w:rPr>
      </w:pPr>
      <w:r>
        <w:rPr>
          <w:rFonts w:ascii="Arial" w:cs="Arial" w:eastAsia="Arial" w:hAnsi="Arial"/>
          <w:sz w:val="11"/>
          <w:szCs w:val="11"/>
          <w:b w:val="1"/>
          <w:bCs w:val="1"/>
          <w:i w:val="1"/>
          <w:iCs w:val="1"/>
          <w:color w:val="auto"/>
        </w:rPr>
        <w:t>Music Royalty Fees</w:t>
      </w:r>
    </w:p>
    <w:p>
      <w:pPr>
        <w:spacing w:after="0" w:line="12" w:lineRule="exact"/>
        <w:rPr>
          <w:sz w:val="20"/>
          <w:szCs w:val="20"/>
          <w:color w:val="auto"/>
        </w:rPr>
      </w:pPr>
    </w:p>
    <w:p>
      <w:pPr>
        <w:jc w:val="both"/>
        <w:ind w:left="2060" w:right="839"/>
        <w:spacing w:after="0"/>
        <w:rPr>
          <w:sz w:val="20"/>
          <w:szCs w:val="20"/>
          <w:color w:val="auto"/>
        </w:rPr>
      </w:pPr>
      <w:r>
        <w:rPr>
          <w:rFonts w:ascii="Arial" w:cs="Arial" w:eastAsia="Arial" w:hAnsi="Arial"/>
          <w:sz w:val="11"/>
          <w:szCs w:val="11"/>
          <w:color w:val="050505"/>
        </w:rPr>
        <w:t>We recognize music royalty fees on all music we stream to Members as these fees are incurred in accordance with the terms of the relevant license agreement with the music rights holder. The incurrence of the royalties is primarily driven by content usage by our Members on a fee-per-play basis through the use of our Subscriptions and classified within subscription cost of revenue within the our statement of operations. Our license agreements with music rights holders generally include provisions for advance royalties as well as minimum guarantees. When a minimum guarantee is paid in advance, the guarantee is recorded as a prepaid expense and amortized to subscription cost of revenue.</w:t>
      </w:r>
    </w:p>
    <w:p>
      <w:pPr>
        <w:spacing w:after="0" w:line="142" w:lineRule="exact"/>
        <w:rPr>
          <w:sz w:val="20"/>
          <w:szCs w:val="20"/>
          <w:color w:val="auto"/>
        </w:rPr>
      </w:pPr>
    </w:p>
    <w:p>
      <w:pPr>
        <w:jc w:val="both"/>
        <w:ind w:left="2060" w:right="839"/>
        <w:spacing w:after="0"/>
        <w:rPr>
          <w:sz w:val="20"/>
          <w:szCs w:val="20"/>
          <w:color w:val="auto"/>
        </w:rPr>
      </w:pPr>
      <w:r>
        <w:rPr>
          <w:rFonts w:ascii="Arial" w:cs="Arial" w:eastAsia="Arial" w:hAnsi="Arial"/>
          <w:sz w:val="11"/>
          <w:szCs w:val="11"/>
          <w:color w:val="050505"/>
        </w:rPr>
        <w:t>As we execute music license agreements with various music rights holders for go-forward usage, we may also simultaneously enter into a settlement agreement whereby we are released from all potential licensor claims regarding our alleged past use of copyrighted material in exchange for a negotiated payment. These are referred to as “content costs for past use” and are recorded within subscription cost of revenue. We have entered into agreements with music rights holders who represent all the music catalogs that we need to operate our service, however, given the uncertain and opaque nature of music rights ownership, our archived library may continue to include music for which certain rights or fractional interests have not been accurately determined or fully licensed. Prior to the execution of a music license agreement, we estimate and record a charge based upon license agreements previously entered into and the market share and size of the music rights holder.</w:t>
      </w:r>
    </w:p>
    <w:p>
      <w:pPr>
        <w:spacing w:after="0" w:line="129" w:lineRule="exact"/>
        <w:rPr>
          <w:sz w:val="20"/>
          <w:szCs w:val="20"/>
          <w:color w:val="auto"/>
        </w:rPr>
      </w:pPr>
    </w:p>
    <w:p>
      <w:pPr>
        <w:ind w:left="2060"/>
        <w:spacing w:after="0"/>
        <w:rPr>
          <w:sz w:val="20"/>
          <w:szCs w:val="20"/>
          <w:color w:val="auto"/>
        </w:rPr>
      </w:pPr>
      <w:r>
        <w:rPr>
          <w:rFonts w:ascii="Arial" w:cs="Arial" w:eastAsia="Arial" w:hAnsi="Arial"/>
          <w:sz w:val="11"/>
          <w:szCs w:val="11"/>
          <w:b w:val="1"/>
          <w:bCs w:val="1"/>
          <w:i w:val="1"/>
          <w:iCs w:val="1"/>
          <w:color w:val="auto"/>
        </w:rPr>
        <w:t>Stock-Based Compensation</w:t>
      </w:r>
    </w:p>
    <w:p>
      <w:pPr>
        <w:spacing w:after="0" w:line="12" w:lineRule="exact"/>
        <w:rPr>
          <w:sz w:val="20"/>
          <w:szCs w:val="20"/>
          <w:color w:val="auto"/>
        </w:rPr>
      </w:pPr>
    </w:p>
    <w:p>
      <w:pPr>
        <w:jc w:val="both"/>
        <w:ind w:left="2060" w:right="839"/>
        <w:spacing w:after="0" w:line="241" w:lineRule="auto"/>
        <w:rPr>
          <w:sz w:val="20"/>
          <w:szCs w:val="20"/>
          <w:color w:val="auto"/>
        </w:rPr>
      </w:pPr>
      <w:r>
        <w:rPr>
          <w:rFonts w:ascii="Arial" w:cs="Arial" w:eastAsia="Arial" w:hAnsi="Arial"/>
          <w:sz w:val="11"/>
          <w:szCs w:val="11"/>
          <w:color w:val="050505"/>
        </w:rPr>
        <w:t>Stock-based awards are measured at the grant date based on the fair value of the award and is recognized as expense, net of actual forfeitures, on a straight-line basis over the requisite service period, which is generally the vesting period of the respective award. For performance-based stock options issued, the value of the instrument is measured at the grant date as the fair value of the award and expensed over the vesting term when the performance targets are considered probable of being achieved.</w:t>
      </w:r>
    </w:p>
    <w:p>
      <w:pPr>
        <w:spacing w:after="0" w:line="140" w:lineRule="exact"/>
        <w:rPr>
          <w:sz w:val="20"/>
          <w:szCs w:val="20"/>
          <w:color w:val="auto"/>
        </w:rPr>
      </w:pPr>
    </w:p>
    <w:p>
      <w:pPr>
        <w:jc w:val="both"/>
        <w:ind w:left="2060" w:right="839"/>
        <w:spacing w:after="0" w:line="241" w:lineRule="auto"/>
        <w:rPr>
          <w:sz w:val="20"/>
          <w:szCs w:val="20"/>
          <w:color w:val="auto"/>
        </w:rPr>
      </w:pPr>
      <w:r>
        <w:rPr>
          <w:rFonts w:ascii="Arial" w:cs="Arial" w:eastAsia="Arial" w:hAnsi="Arial"/>
          <w:sz w:val="11"/>
          <w:szCs w:val="11"/>
          <w:color w:val="050505"/>
        </w:rPr>
        <w:t>We calculate the fair value of stock options on the date of grant using the Black-Scholes option pricing model. The determination of the grant date fair value of stock option awards issued is affected by a number of variables, including the fair value of our underlying common stock, our expected common stock price volatility over the term of the option award, the expected term of the award, risk-free interest rates, and the expected dividend yield of our common stock.</w:t>
      </w:r>
    </w:p>
    <w:p>
      <w:pPr>
        <w:spacing w:after="0" w:line="140" w:lineRule="exact"/>
        <w:rPr>
          <w:sz w:val="20"/>
          <w:szCs w:val="20"/>
          <w:color w:val="auto"/>
        </w:rPr>
      </w:pPr>
    </w:p>
    <w:p>
      <w:pPr>
        <w:jc w:val="both"/>
        <w:ind w:left="2060" w:right="839"/>
        <w:spacing w:after="0" w:line="245" w:lineRule="auto"/>
        <w:rPr>
          <w:sz w:val="20"/>
          <w:szCs w:val="20"/>
          <w:color w:val="auto"/>
        </w:rPr>
      </w:pPr>
      <w:r>
        <w:rPr>
          <w:rFonts w:ascii="Arial" w:cs="Arial" w:eastAsia="Arial" w:hAnsi="Arial"/>
          <w:sz w:val="11"/>
          <w:szCs w:val="11"/>
          <w:color w:val="050505"/>
        </w:rPr>
        <w:t>Generally, our stock option awards permit early exercise. The unvested portion of shares exercised is recorded as a liability on our balance sheet and reclassified to equity as vesting occurs.</w:t>
      </w:r>
    </w:p>
    <w:p>
      <w:pPr>
        <w:spacing w:after="0" w:line="93" w:lineRule="exact"/>
        <w:rPr>
          <w:sz w:val="20"/>
          <w:szCs w:val="20"/>
          <w:color w:val="auto"/>
        </w:rPr>
      </w:pPr>
    </w:p>
    <w:p>
      <w:pPr>
        <w:ind w:left="5680"/>
        <w:spacing w:after="0"/>
        <w:rPr>
          <w:sz w:val="20"/>
          <w:szCs w:val="20"/>
          <w:color w:val="auto"/>
        </w:rPr>
      </w:pPr>
      <w:r>
        <w:rPr>
          <w:rFonts w:ascii="Arial" w:cs="Arial" w:eastAsia="Arial" w:hAnsi="Arial"/>
          <w:sz w:val="11"/>
          <w:szCs w:val="11"/>
          <w:color w:val="050505"/>
        </w:rPr>
        <w:t>87</w:t>
      </w:r>
    </w:p>
    <w:p>
      <w:pPr>
        <w:sectPr>
          <w:pgSz w:w="11900" w:h="16838" w:orient="portrait"/>
          <w:cols w:equalWidth="0" w:num="1">
            <w:col w:w="10239"/>
          </w:cols>
          <w:pgMar w:left="220" w:top="354" w:right="1440" w:bottom="1440" w:gutter="0" w:footer="0" w:header="0"/>
        </w:sectPr>
      </w:pPr>
    </w:p>
    <w:bookmarkStart w:id="92" w:name="page93"/>
    <w:bookmarkEnd w:id="92"/>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hyperlink w:anchor="page5">
        <w:r>
          <w:rPr>
            <w:rFonts w:ascii="Arial" w:cs="Arial" w:eastAsia="Arial" w:hAnsi="Arial"/>
            <w:sz w:val="12"/>
            <w:szCs w:val="12"/>
            <w:b w:val="1"/>
            <w:bCs w:val="1"/>
            <w:u w:val="single" w:color="auto"/>
            <w:color w:val="0000EE"/>
          </w:rPr>
          <w:t>Table of Contents</w:t>
        </w:r>
      </w:hyperlink>
    </w:p>
    <w:p>
      <w:pPr>
        <w:spacing w:after="0" w:line="216" w:lineRule="exact"/>
        <w:rPr>
          <w:sz w:val="20"/>
          <w:szCs w:val="20"/>
          <w:color w:val="auto"/>
        </w:rPr>
      </w:pPr>
    </w:p>
    <w:p>
      <w:pPr>
        <w:jc w:val="both"/>
        <w:ind w:left="2060" w:right="839"/>
        <w:spacing w:after="0" w:line="245" w:lineRule="auto"/>
        <w:rPr>
          <w:sz w:val="20"/>
          <w:szCs w:val="20"/>
          <w:color w:val="auto"/>
        </w:rPr>
      </w:pPr>
      <w:r>
        <w:rPr>
          <w:rFonts w:ascii="Arial" w:cs="Arial" w:eastAsia="Arial" w:hAnsi="Arial"/>
          <w:sz w:val="11"/>
          <w:szCs w:val="11"/>
          <w:color w:val="050505"/>
        </w:rPr>
        <w:t>The estimated grant-date fair value of our equity-based awards issued to service providers was calculated using the Black-Scholes option-pricing model, based on the following assumptions:</w:t>
      </w:r>
    </w:p>
    <w:p>
      <w:pPr>
        <w:spacing w:after="0" w:line="144" w:lineRule="exact"/>
        <w:rPr>
          <w:sz w:val="20"/>
          <w:szCs w:val="20"/>
          <w:color w:val="auto"/>
        </w:rPr>
      </w:pPr>
    </w:p>
    <w:tbl>
      <w:tblPr>
        <w:tblLayout w:type="fixed"/>
        <w:tblInd w:w="2060" w:type="dxa"/>
        <w:tblCellMar>
          <w:top w:w="0" w:type="dxa"/>
          <w:left w:w="0" w:type="dxa"/>
          <w:bottom w:w="0" w:type="dxa"/>
          <w:right w:w="0" w:type="dxa"/>
        </w:tblCellMar>
      </w:tblPr>
      <w:tr>
        <w:trPr>
          <w:trHeight w:val="137"/>
        </w:trPr>
        <w:tc>
          <w:tcPr>
            <w:tcW w:w="4220" w:type="dxa"/>
            <w:vAlign w:val="bottom"/>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1620" w:type="dxa"/>
            <w:vAlign w:val="bottom"/>
            <w:tcBorders>
              <w:bottom w:val="single" w:sz="8" w:color="auto"/>
            </w:tcBorders>
            <w:gridSpan w:val="3"/>
          </w:tcPr>
          <w:p>
            <w:pPr>
              <w:ind w:left="120"/>
              <w:spacing w:after="0"/>
              <w:rPr>
                <w:sz w:val="20"/>
                <w:szCs w:val="20"/>
                <w:color w:val="auto"/>
              </w:rPr>
            </w:pPr>
            <w:r>
              <w:rPr>
                <w:rFonts w:ascii="Arial" w:cs="Arial" w:eastAsia="Arial" w:hAnsi="Arial"/>
                <w:sz w:val="11"/>
                <w:szCs w:val="11"/>
                <w:b w:val="1"/>
                <w:bCs w:val="1"/>
                <w:color w:val="050505"/>
              </w:rPr>
              <w:t>Fiscal Year Ended June 30,</w:t>
            </w:r>
          </w:p>
        </w:tc>
        <w:tc>
          <w:tcPr>
            <w:tcW w:w="740" w:type="dxa"/>
            <w:vAlign w:val="bottom"/>
            <w:tcBorders>
              <w:bottom w:val="single" w:sz="8" w:color="auto"/>
            </w:tcBorders>
          </w:tcPr>
          <w:p>
            <w:pPr>
              <w:spacing w:after="0"/>
              <w:rPr>
                <w:sz w:val="11"/>
                <w:szCs w:val="11"/>
                <w:color w:val="auto"/>
              </w:rPr>
            </w:pPr>
          </w:p>
        </w:tc>
        <w:tc>
          <w:tcPr>
            <w:tcW w:w="40" w:type="dxa"/>
            <w:vAlign w:val="bottom"/>
          </w:tcPr>
          <w:p>
            <w:pPr>
              <w:spacing w:after="0"/>
              <w:rPr>
                <w:sz w:val="11"/>
                <w:szCs w:val="11"/>
                <w:color w:val="auto"/>
              </w:rPr>
            </w:pPr>
          </w:p>
        </w:tc>
      </w:tr>
      <w:tr>
        <w:trPr>
          <w:trHeight w:val="115"/>
        </w:trPr>
        <w:tc>
          <w:tcPr>
            <w:tcW w:w="4220" w:type="dxa"/>
            <w:vAlign w:val="bottom"/>
            <w:tcBorders>
              <w:bottom w:val="single" w:sz="8" w:color="CCEEFF"/>
            </w:tcBorders>
          </w:tcPr>
          <w:p>
            <w:pPr>
              <w:spacing w:after="0"/>
              <w:rPr>
                <w:sz w:val="10"/>
                <w:szCs w:val="10"/>
                <w:color w:val="auto"/>
              </w:rPr>
            </w:pPr>
          </w:p>
        </w:tc>
        <w:tc>
          <w:tcPr>
            <w:tcW w:w="740" w:type="dxa"/>
            <w:vAlign w:val="bottom"/>
            <w:tcBorders>
              <w:bottom w:val="single" w:sz="8" w:color="auto"/>
            </w:tcBorders>
          </w:tcPr>
          <w:p>
            <w:pPr>
              <w:jc w:val="right"/>
              <w:ind w:right="206"/>
              <w:spacing w:after="0" w:line="115" w:lineRule="exact"/>
              <w:rPr>
                <w:sz w:val="20"/>
                <w:szCs w:val="20"/>
                <w:color w:val="auto"/>
              </w:rPr>
            </w:pPr>
            <w:r>
              <w:rPr>
                <w:rFonts w:ascii="Arial" w:cs="Arial" w:eastAsia="Arial" w:hAnsi="Arial"/>
                <w:sz w:val="11"/>
                <w:szCs w:val="11"/>
                <w:b w:val="1"/>
                <w:bCs w:val="1"/>
                <w:color w:val="050505"/>
              </w:rPr>
              <w:t>2017</w:t>
            </w:r>
          </w:p>
        </w:tc>
        <w:tc>
          <w:tcPr>
            <w:tcW w:w="440" w:type="dxa"/>
            <w:vAlign w:val="bottom"/>
            <w:tcBorders>
              <w:bottom w:val="single" w:sz="8" w:color="CCEEFF"/>
            </w:tcBorders>
          </w:tcPr>
          <w:p>
            <w:pPr>
              <w:spacing w:after="0"/>
              <w:rPr>
                <w:sz w:val="10"/>
                <w:szCs w:val="10"/>
                <w:color w:val="auto"/>
              </w:rPr>
            </w:pPr>
          </w:p>
        </w:tc>
        <w:tc>
          <w:tcPr>
            <w:tcW w:w="740" w:type="dxa"/>
            <w:vAlign w:val="bottom"/>
            <w:tcBorders>
              <w:bottom w:val="single" w:sz="8" w:color="auto"/>
            </w:tcBorders>
          </w:tcPr>
          <w:p>
            <w:pPr>
              <w:jc w:val="right"/>
              <w:ind w:right="206"/>
              <w:spacing w:after="0" w:line="115" w:lineRule="exact"/>
              <w:rPr>
                <w:sz w:val="20"/>
                <w:szCs w:val="20"/>
                <w:color w:val="auto"/>
              </w:rPr>
            </w:pPr>
            <w:r>
              <w:rPr>
                <w:rFonts w:ascii="Arial" w:cs="Arial" w:eastAsia="Arial" w:hAnsi="Arial"/>
                <w:sz w:val="11"/>
                <w:szCs w:val="11"/>
                <w:b w:val="1"/>
                <w:bCs w:val="1"/>
                <w:color w:val="050505"/>
              </w:rPr>
              <w:t>2018</w:t>
            </w:r>
          </w:p>
        </w:tc>
        <w:tc>
          <w:tcPr>
            <w:tcW w:w="440" w:type="dxa"/>
            <w:vAlign w:val="bottom"/>
            <w:tcBorders>
              <w:bottom w:val="single" w:sz="8" w:color="CCEEFF"/>
            </w:tcBorders>
          </w:tcPr>
          <w:p>
            <w:pPr>
              <w:spacing w:after="0"/>
              <w:rPr>
                <w:sz w:val="10"/>
                <w:szCs w:val="10"/>
                <w:color w:val="auto"/>
              </w:rPr>
            </w:pPr>
          </w:p>
        </w:tc>
        <w:tc>
          <w:tcPr>
            <w:tcW w:w="740" w:type="dxa"/>
            <w:vAlign w:val="bottom"/>
            <w:tcBorders>
              <w:bottom w:val="single" w:sz="8" w:color="auto"/>
            </w:tcBorders>
          </w:tcPr>
          <w:p>
            <w:pPr>
              <w:jc w:val="right"/>
              <w:ind w:right="206"/>
              <w:spacing w:after="0" w:line="115" w:lineRule="exact"/>
              <w:rPr>
                <w:sz w:val="20"/>
                <w:szCs w:val="20"/>
                <w:color w:val="auto"/>
              </w:rPr>
            </w:pPr>
            <w:r>
              <w:rPr>
                <w:rFonts w:ascii="Arial" w:cs="Arial" w:eastAsia="Arial" w:hAnsi="Arial"/>
                <w:sz w:val="11"/>
                <w:szCs w:val="11"/>
                <w:b w:val="1"/>
                <w:bCs w:val="1"/>
                <w:color w:val="050505"/>
              </w:rPr>
              <w:t>2019</w:t>
            </w:r>
          </w:p>
        </w:tc>
        <w:tc>
          <w:tcPr>
            <w:tcW w:w="40" w:type="dxa"/>
            <w:vAlign w:val="bottom"/>
            <w:tcBorders>
              <w:bottom w:val="single" w:sz="8" w:color="CCEEFF"/>
            </w:tcBorders>
          </w:tcPr>
          <w:p>
            <w:pPr>
              <w:spacing w:after="0"/>
              <w:rPr>
                <w:sz w:val="10"/>
                <w:szCs w:val="10"/>
                <w:color w:val="auto"/>
              </w:rPr>
            </w:pPr>
          </w:p>
        </w:tc>
      </w:tr>
      <w:tr>
        <w:trPr>
          <w:trHeight w:val="115"/>
        </w:trPr>
        <w:tc>
          <w:tcPr>
            <w:tcW w:w="4220" w:type="dxa"/>
            <w:vAlign w:val="bottom"/>
            <w:shd w:val="clear" w:color="auto" w:fill="CCEEFF"/>
          </w:tcPr>
          <w:p>
            <w:pPr>
              <w:ind w:left="40"/>
              <w:spacing w:after="0" w:line="111" w:lineRule="exact"/>
              <w:rPr>
                <w:sz w:val="20"/>
                <w:szCs w:val="20"/>
                <w:color w:val="auto"/>
              </w:rPr>
            </w:pPr>
            <w:r>
              <w:rPr>
                <w:rFonts w:ascii="Arial" w:cs="Arial" w:eastAsia="Arial" w:hAnsi="Arial"/>
                <w:sz w:val="11"/>
                <w:szCs w:val="11"/>
                <w:color w:val="050505"/>
              </w:rPr>
              <w:t>Dividend yield</w:t>
            </w:r>
          </w:p>
        </w:tc>
        <w:tc>
          <w:tcPr>
            <w:tcW w:w="740" w:type="dxa"/>
            <w:vAlign w:val="bottom"/>
            <w:shd w:val="clear" w:color="auto" w:fill="CCEEFF"/>
          </w:tcPr>
          <w:p>
            <w:pPr>
              <w:jc w:val="right"/>
              <w:ind w:right="6"/>
              <w:spacing w:after="0" w:line="115" w:lineRule="exact"/>
              <w:rPr>
                <w:sz w:val="20"/>
                <w:szCs w:val="20"/>
                <w:color w:val="auto"/>
              </w:rPr>
            </w:pPr>
            <w:r>
              <w:rPr>
                <w:rFonts w:ascii="Arial" w:cs="Arial" w:eastAsia="Arial" w:hAnsi="Arial"/>
                <w:sz w:val="11"/>
                <w:szCs w:val="11"/>
                <w:color w:val="050505"/>
              </w:rPr>
              <w:t>—</w:t>
            </w:r>
          </w:p>
        </w:tc>
        <w:tc>
          <w:tcPr>
            <w:tcW w:w="440" w:type="dxa"/>
            <w:vAlign w:val="bottom"/>
            <w:shd w:val="clear" w:color="auto" w:fill="CCEEFF"/>
          </w:tcPr>
          <w:p>
            <w:pPr>
              <w:spacing w:after="0"/>
              <w:rPr>
                <w:sz w:val="10"/>
                <w:szCs w:val="10"/>
                <w:color w:val="auto"/>
              </w:rPr>
            </w:pPr>
          </w:p>
        </w:tc>
        <w:tc>
          <w:tcPr>
            <w:tcW w:w="1180" w:type="dxa"/>
            <w:vAlign w:val="bottom"/>
            <w:gridSpan w:val="2"/>
            <w:shd w:val="clear" w:color="auto" w:fill="CCEEFF"/>
          </w:tcPr>
          <w:p>
            <w:pPr>
              <w:jc w:val="right"/>
              <w:ind w:right="500"/>
              <w:spacing w:after="0" w:line="115" w:lineRule="exact"/>
              <w:rPr>
                <w:sz w:val="20"/>
                <w:szCs w:val="20"/>
                <w:color w:val="auto"/>
              </w:rPr>
            </w:pPr>
            <w:r>
              <w:rPr>
                <w:rFonts w:ascii="Arial" w:cs="Arial" w:eastAsia="Arial" w:hAnsi="Arial"/>
                <w:sz w:val="11"/>
                <w:szCs w:val="11"/>
                <w:color w:val="050505"/>
              </w:rPr>
              <w:t>—</w:t>
            </w:r>
          </w:p>
        </w:tc>
        <w:tc>
          <w:tcPr>
            <w:tcW w:w="780" w:type="dxa"/>
            <w:vAlign w:val="bottom"/>
            <w:gridSpan w:val="2"/>
            <w:shd w:val="clear" w:color="auto" w:fill="CCEEFF"/>
          </w:tcPr>
          <w:p>
            <w:pPr>
              <w:jc w:val="right"/>
              <w:ind w:right="100"/>
              <w:spacing w:after="0" w:line="115" w:lineRule="exact"/>
              <w:rPr>
                <w:sz w:val="20"/>
                <w:szCs w:val="20"/>
                <w:color w:val="auto"/>
              </w:rPr>
            </w:pPr>
            <w:r>
              <w:rPr>
                <w:rFonts w:ascii="Arial" w:cs="Arial" w:eastAsia="Arial" w:hAnsi="Arial"/>
                <w:sz w:val="11"/>
                <w:szCs w:val="11"/>
                <w:color w:val="050505"/>
              </w:rPr>
              <w:t>—</w:t>
            </w:r>
          </w:p>
        </w:tc>
      </w:tr>
      <w:tr>
        <w:trPr>
          <w:trHeight w:val="126"/>
        </w:trPr>
        <w:tc>
          <w:tcPr>
            <w:tcW w:w="4220" w:type="dxa"/>
            <w:vAlign w:val="bottom"/>
          </w:tcPr>
          <w:p>
            <w:pPr>
              <w:ind w:left="40"/>
              <w:spacing w:after="0"/>
              <w:rPr>
                <w:sz w:val="20"/>
                <w:szCs w:val="20"/>
                <w:color w:val="auto"/>
              </w:rPr>
            </w:pPr>
            <w:r>
              <w:rPr>
                <w:rFonts w:ascii="Arial" w:cs="Arial" w:eastAsia="Arial" w:hAnsi="Arial"/>
                <w:sz w:val="11"/>
                <w:szCs w:val="11"/>
                <w:color w:val="050505"/>
              </w:rPr>
              <w:t>Weighted-average expected term (in years)</w:t>
            </w:r>
          </w:p>
        </w:tc>
        <w:tc>
          <w:tcPr>
            <w:tcW w:w="740" w:type="dxa"/>
            <w:vAlign w:val="bottom"/>
          </w:tcPr>
          <w:p>
            <w:pPr>
              <w:jc w:val="right"/>
              <w:ind w:right="6"/>
              <w:spacing w:after="0"/>
              <w:rPr>
                <w:sz w:val="20"/>
                <w:szCs w:val="20"/>
                <w:color w:val="auto"/>
              </w:rPr>
            </w:pPr>
            <w:r>
              <w:rPr>
                <w:rFonts w:ascii="Arial" w:cs="Arial" w:eastAsia="Arial" w:hAnsi="Arial"/>
                <w:sz w:val="11"/>
                <w:szCs w:val="11"/>
                <w:color w:val="050505"/>
              </w:rPr>
              <w:t>6.3</w:t>
            </w:r>
          </w:p>
        </w:tc>
        <w:tc>
          <w:tcPr>
            <w:tcW w:w="1180" w:type="dxa"/>
            <w:vAlign w:val="bottom"/>
            <w:gridSpan w:val="2"/>
          </w:tcPr>
          <w:p>
            <w:pPr>
              <w:jc w:val="right"/>
              <w:ind w:right="6"/>
              <w:spacing w:after="0"/>
              <w:rPr>
                <w:sz w:val="20"/>
                <w:szCs w:val="20"/>
                <w:color w:val="auto"/>
              </w:rPr>
            </w:pPr>
            <w:r>
              <w:rPr>
                <w:rFonts w:ascii="Arial" w:cs="Arial" w:eastAsia="Arial" w:hAnsi="Arial"/>
                <w:sz w:val="11"/>
                <w:szCs w:val="11"/>
                <w:color w:val="050505"/>
              </w:rPr>
              <w:t>6.3</w:t>
            </w:r>
          </w:p>
        </w:tc>
        <w:tc>
          <w:tcPr>
            <w:tcW w:w="440" w:type="dxa"/>
            <w:vAlign w:val="bottom"/>
          </w:tcPr>
          <w:p>
            <w:pPr>
              <w:spacing w:after="0"/>
              <w:rPr>
                <w:sz w:val="10"/>
                <w:szCs w:val="10"/>
                <w:color w:val="auto"/>
              </w:rPr>
            </w:pPr>
          </w:p>
        </w:tc>
        <w:tc>
          <w:tcPr>
            <w:tcW w:w="740" w:type="dxa"/>
            <w:vAlign w:val="bottom"/>
          </w:tcPr>
          <w:p>
            <w:pPr>
              <w:jc w:val="right"/>
              <w:ind w:right="6"/>
              <w:spacing w:after="0"/>
              <w:rPr>
                <w:sz w:val="20"/>
                <w:szCs w:val="20"/>
                <w:color w:val="auto"/>
              </w:rPr>
            </w:pPr>
            <w:r>
              <w:rPr>
                <w:rFonts w:ascii="Arial" w:cs="Arial" w:eastAsia="Arial" w:hAnsi="Arial"/>
                <w:sz w:val="11"/>
                <w:szCs w:val="11"/>
                <w:color w:val="050505"/>
              </w:rPr>
              <w:t>6.3</w:t>
            </w:r>
          </w:p>
        </w:tc>
        <w:tc>
          <w:tcPr>
            <w:tcW w:w="40" w:type="dxa"/>
            <w:vAlign w:val="bottom"/>
          </w:tcPr>
          <w:p>
            <w:pPr>
              <w:spacing w:after="0"/>
              <w:rPr>
                <w:sz w:val="10"/>
                <w:szCs w:val="10"/>
                <w:color w:val="auto"/>
              </w:rPr>
            </w:pPr>
          </w:p>
        </w:tc>
      </w:tr>
      <w:tr>
        <w:trPr>
          <w:trHeight w:val="126"/>
        </w:trPr>
        <w:tc>
          <w:tcPr>
            <w:tcW w:w="4220" w:type="dxa"/>
            <w:vAlign w:val="bottom"/>
            <w:shd w:val="clear" w:color="auto" w:fill="CCEEFF"/>
          </w:tcPr>
          <w:p>
            <w:pPr>
              <w:ind w:left="40"/>
              <w:spacing w:after="0"/>
              <w:rPr>
                <w:sz w:val="20"/>
                <w:szCs w:val="20"/>
                <w:color w:val="auto"/>
              </w:rPr>
            </w:pPr>
            <w:r>
              <w:rPr>
                <w:rFonts w:ascii="Arial" w:cs="Arial" w:eastAsia="Arial" w:hAnsi="Arial"/>
                <w:sz w:val="11"/>
                <w:szCs w:val="11"/>
                <w:color w:val="050505"/>
              </w:rPr>
              <w:t>Weighted-average risk-free interest rate</w:t>
            </w:r>
          </w:p>
        </w:tc>
        <w:tc>
          <w:tcPr>
            <w:tcW w:w="740" w:type="dxa"/>
            <w:vAlign w:val="bottom"/>
            <w:shd w:val="clear" w:color="auto" w:fill="CCEEFF"/>
          </w:tcPr>
          <w:p>
            <w:pPr>
              <w:jc w:val="right"/>
              <w:spacing w:after="0"/>
              <w:rPr>
                <w:sz w:val="20"/>
                <w:szCs w:val="20"/>
                <w:color w:val="auto"/>
              </w:rPr>
            </w:pPr>
            <w:r>
              <w:rPr>
                <w:rFonts w:ascii="Arial" w:cs="Arial" w:eastAsia="Arial" w:hAnsi="Arial"/>
                <w:sz w:val="11"/>
                <w:szCs w:val="11"/>
                <w:color w:val="050505"/>
              </w:rPr>
              <w:t>1.4%</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050505"/>
              </w:rPr>
              <w:t>2.4%</w:t>
            </w:r>
          </w:p>
        </w:tc>
        <w:tc>
          <w:tcPr>
            <w:tcW w:w="440" w:type="dxa"/>
            <w:vAlign w:val="bottom"/>
            <w:shd w:val="clear" w:color="auto" w:fill="CCEEFF"/>
          </w:tcPr>
          <w:p>
            <w:pPr>
              <w:spacing w:after="0"/>
              <w:rPr>
                <w:sz w:val="10"/>
                <w:szCs w:val="1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1"/>
                <w:szCs w:val="11"/>
                <w:color w:val="050505"/>
              </w:rPr>
              <w:t>2.5%</w:t>
            </w:r>
          </w:p>
        </w:tc>
        <w:tc>
          <w:tcPr>
            <w:tcW w:w="40" w:type="dxa"/>
            <w:vAlign w:val="bottom"/>
            <w:shd w:val="clear" w:color="auto" w:fill="CCEEFF"/>
          </w:tcPr>
          <w:p>
            <w:pPr>
              <w:spacing w:after="0"/>
              <w:rPr>
                <w:sz w:val="10"/>
                <w:szCs w:val="10"/>
                <w:color w:val="auto"/>
              </w:rPr>
            </w:pPr>
          </w:p>
        </w:tc>
      </w:tr>
      <w:tr>
        <w:trPr>
          <w:trHeight w:val="131"/>
        </w:trPr>
        <w:tc>
          <w:tcPr>
            <w:tcW w:w="4220" w:type="dxa"/>
            <w:vAlign w:val="bottom"/>
          </w:tcPr>
          <w:p>
            <w:pPr>
              <w:ind w:left="40"/>
              <w:spacing w:after="0"/>
              <w:rPr>
                <w:sz w:val="20"/>
                <w:szCs w:val="20"/>
                <w:color w:val="auto"/>
              </w:rPr>
            </w:pPr>
            <w:r>
              <w:rPr>
                <w:rFonts w:ascii="Arial" w:cs="Arial" w:eastAsia="Arial" w:hAnsi="Arial"/>
                <w:sz w:val="11"/>
                <w:szCs w:val="11"/>
                <w:color w:val="050505"/>
              </w:rPr>
              <w:t>Weighted-average expected volatility</w:t>
            </w:r>
          </w:p>
        </w:tc>
        <w:tc>
          <w:tcPr>
            <w:tcW w:w="740" w:type="dxa"/>
            <w:vAlign w:val="bottom"/>
          </w:tcPr>
          <w:p>
            <w:pPr>
              <w:jc w:val="right"/>
              <w:spacing w:after="0"/>
              <w:rPr>
                <w:sz w:val="20"/>
                <w:szCs w:val="20"/>
                <w:color w:val="auto"/>
              </w:rPr>
            </w:pPr>
            <w:r>
              <w:rPr>
                <w:rFonts w:ascii="Arial" w:cs="Arial" w:eastAsia="Arial" w:hAnsi="Arial"/>
                <w:sz w:val="11"/>
                <w:szCs w:val="11"/>
                <w:color w:val="050505"/>
              </w:rPr>
              <w:t>79.3%</w:t>
            </w:r>
          </w:p>
        </w:tc>
        <w:tc>
          <w:tcPr>
            <w:tcW w:w="1180" w:type="dxa"/>
            <w:vAlign w:val="bottom"/>
            <w:gridSpan w:val="2"/>
          </w:tcPr>
          <w:p>
            <w:pPr>
              <w:jc w:val="right"/>
              <w:spacing w:after="0"/>
              <w:rPr>
                <w:sz w:val="20"/>
                <w:szCs w:val="20"/>
                <w:color w:val="auto"/>
              </w:rPr>
            </w:pPr>
            <w:r>
              <w:rPr>
                <w:rFonts w:ascii="Arial" w:cs="Arial" w:eastAsia="Arial" w:hAnsi="Arial"/>
                <w:sz w:val="11"/>
                <w:szCs w:val="11"/>
                <w:color w:val="050505"/>
              </w:rPr>
              <w:t>55.2%</w:t>
            </w:r>
          </w:p>
        </w:tc>
        <w:tc>
          <w:tcPr>
            <w:tcW w:w="440" w:type="dxa"/>
            <w:vAlign w:val="bottom"/>
          </w:tcPr>
          <w:p>
            <w:pPr>
              <w:spacing w:after="0"/>
              <w:rPr>
                <w:sz w:val="11"/>
                <w:szCs w:val="11"/>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050505"/>
              </w:rPr>
              <w:t>45.0%</w:t>
            </w:r>
          </w:p>
        </w:tc>
        <w:tc>
          <w:tcPr>
            <w:tcW w:w="40" w:type="dxa"/>
            <w:vAlign w:val="bottom"/>
          </w:tcPr>
          <w:p>
            <w:pPr>
              <w:spacing w:after="0"/>
              <w:rPr>
                <w:sz w:val="11"/>
                <w:szCs w:val="11"/>
                <w:color w:val="auto"/>
              </w:rPr>
            </w:pPr>
          </w:p>
        </w:tc>
      </w:tr>
    </w:tbl>
    <w:p>
      <w:pPr>
        <w:spacing w:after="0" w:line="128" w:lineRule="exact"/>
        <w:rPr>
          <w:sz w:val="20"/>
          <w:szCs w:val="20"/>
          <w:color w:val="auto"/>
        </w:rPr>
      </w:pPr>
    </w:p>
    <w:p>
      <w:pPr>
        <w:jc w:val="both"/>
        <w:ind w:left="2060" w:right="839"/>
        <w:spacing w:after="0" w:line="268" w:lineRule="auto"/>
        <w:rPr>
          <w:sz w:val="20"/>
          <w:szCs w:val="20"/>
          <w:color w:val="auto"/>
        </w:rPr>
      </w:pPr>
      <w:r>
        <w:rPr>
          <w:rFonts w:ascii="Arial" w:cs="Arial" w:eastAsia="Arial" w:hAnsi="Arial"/>
          <w:sz w:val="11"/>
          <w:szCs w:val="11"/>
          <w:b w:val="1"/>
          <w:bCs w:val="1"/>
          <w:i w:val="1"/>
          <w:iCs w:val="1"/>
          <w:color w:val="050505"/>
        </w:rPr>
        <w:t xml:space="preserve">Dividend Yield. </w:t>
      </w:r>
      <w:r>
        <w:rPr>
          <w:rFonts w:ascii="Arial" w:cs="Arial" w:eastAsia="Arial" w:hAnsi="Arial"/>
          <w:sz w:val="11"/>
          <w:szCs w:val="11"/>
          <w:color w:val="050505"/>
        </w:rPr>
        <w:t>The expected dividend yield is zero as we have never declared or paid cash dividends and have no current plans to do so in the</w:t>
      </w:r>
      <w:r>
        <w:rPr>
          <w:rFonts w:ascii="Arial" w:cs="Arial" w:eastAsia="Arial" w:hAnsi="Arial"/>
          <w:sz w:val="11"/>
          <w:szCs w:val="11"/>
          <w:b w:val="1"/>
          <w:bCs w:val="1"/>
          <w:i w:val="1"/>
          <w:iCs w:val="1"/>
          <w:color w:val="050505"/>
        </w:rPr>
        <w:t xml:space="preserve"> </w:t>
      </w:r>
      <w:r>
        <w:rPr>
          <w:rFonts w:ascii="Arial" w:cs="Arial" w:eastAsia="Arial" w:hAnsi="Arial"/>
          <w:sz w:val="11"/>
          <w:szCs w:val="11"/>
          <w:color w:val="050505"/>
        </w:rPr>
        <w:t>foreseeable future.</w:t>
      </w:r>
    </w:p>
    <w:p>
      <w:pPr>
        <w:spacing w:after="0" w:line="114" w:lineRule="exact"/>
        <w:rPr>
          <w:sz w:val="20"/>
          <w:szCs w:val="20"/>
          <w:color w:val="auto"/>
        </w:rPr>
      </w:pPr>
    </w:p>
    <w:p>
      <w:pPr>
        <w:jc w:val="both"/>
        <w:ind w:left="2060" w:right="839"/>
        <w:spacing w:after="0" w:line="245" w:lineRule="auto"/>
        <w:rPr>
          <w:sz w:val="20"/>
          <w:szCs w:val="20"/>
          <w:color w:val="auto"/>
        </w:rPr>
      </w:pPr>
      <w:r>
        <w:rPr>
          <w:rFonts w:ascii="Arial" w:cs="Arial" w:eastAsia="Arial" w:hAnsi="Arial"/>
          <w:sz w:val="11"/>
          <w:szCs w:val="11"/>
          <w:b w:val="1"/>
          <w:bCs w:val="1"/>
          <w:i w:val="1"/>
          <w:iCs w:val="1"/>
          <w:color w:val="050505"/>
        </w:rPr>
        <w:t xml:space="preserve">Expected Term. </w:t>
      </w:r>
      <w:r>
        <w:rPr>
          <w:rFonts w:ascii="Arial" w:cs="Arial" w:eastAsia="Arial" w:hAnsi="Arial"/>
          <w:sz w:val="11"/>
          <w:szCs w:val="11"/>
          <w:color w:val="050505"/>
        </w:rPr>
        <w:t>The expected term represents the period that our stock-based awards are expected to be outstanding. We do not have sufficient</w:t>
      </w:r>
      <w:r>
        <w:rPr>
          <w:rFonts w:ascii="Arial" w:cs="Arial" w:eastAsia="Arial" w:hAnsi="Arial"/>
          <w:sz w:val="11"/>
          <w:szCs w:val="11"/>
          <w:b w:val="1"/>
          <w:bCs w:val="1"/>
          <w:i w:val="1"/>
          <w:iCs w:val="1"/>
          <w:color w:val="050505"/>
        </w:rPr>
        <w:t xml:space="preserve"> </w:t>
      </w:r>
      <w:r>
        <w:rPr>
          <w:rFonts w:ascii="Arial" w:cs="Arial" w:eastAsia="Arial" w:hAnsi="Arial"/>
          <w:sz w:val="11"/>
          <w:szCs w:val="11"/>
          <w:color w:val="050505"/>
        </w:rPr>
        <w:t>historical exercise data to provide a reasonable basis upon which to estimate expected term due to the limited period of time stock-based awards have been exercisable. As a result, for stock options, we used the simplified method to calculate the expected term estimate based on the vesting and contractual terms of the option. Under the simplified method, the expected term is equal to the average of the stock-based award’s weighted-average vesting period and its contractual term. For awards granted which contain performance conditions, we estimate the expected term based on the estimated dates that the performance conditions will be satisfied.</w:t>
      </w:r>
    </w:p>
    <w:p>
      <w:pPr>
        <w:spacing w:after="0" w:line="126" w:lineRule="exact"/>
        <w:rPr>
          <w:sz w:val="20"/>
          <w:szCs w:val="20"/>
          <w:color w:val="auto"/>
        </w:rPr>
      </w:pPr>
    </w:p>
    <w:p>
      <w:pPr>
        <w:jc w:val="both"/>
        <w:ind w:left="2060" w:right="839"/>
        <w:spacing w:after="0" w:line="268" w:lineRule="auto"/>
        <w:rPr>
          <w:sz w:val="20"/>
          <w:szCs w:val="20"/>
          <w:color w:val="auto"/>
        </w:rPr>
      </w:pPr>
      <w:r>
        <w:rPr>
          <w:rFonts w:ascii="Arial" w:cs="Arial" w:eastAsia="Arial" w:hAnsi="Arial"/>
          <w:sz w:val="11"/>
          <w:szCs w:val="11"/>
          <w:b w:val="1"/>
          <w:bCs w:val="1"/>
          <w:i w:val="1"/>
          <w:iCs w:val="1"/>
          <w:color w:val="050505"/>
        </w:rPr>
        <w:t xml:space="preserve">Risk-Free Interest Rate. </w:t>
      </w:r>
      <w:r>
        <w:rPr>
          <w:rFonts w:ascii="Arial" w:cs="Arial" w:eastAsia="Arial" w:hAnsi="Arial"/>
          <w:sz w:val="11"/>
          <w:szCs w:val="11"/>
          <w:color w:val="050505"/>
        </w:rPr>
        <w:t>The risk-free interest rate is based on the U.S. Treasury yield curve in effect at the time of grant for zero-coupon U.S. Treasury</w:t>
      </w:r>
      <w:r>
        <w:rPr>
          <w:rFonts w:ascii="Arial" w:cs="Arial" w:eastAsia="Arial" w:hAnsi="Arial"/>
          <w:sz w:val="11"/>
          <w:szCs w:val="11"/>
          <w:b w:val="1"/>
          <w:bCs w:val="1"/>
          <w:i w:val="1"/>
          <w:iCs w:val="1"/>
          <w:color w:val="050505"/>
        </w:rPr>
        <w:t xml:space="preserve"> </w:t>
      </w:r>
      <w:r>
        <w:rPr>
          <w:rFonts w:ascii="Arial" w:cs="Arial" w:eastAsia="Arial" w:hAnsi="Arial"/>
          <w:sz w:val="11"/>
          <w:szCs w:val="11"/>
          <w:color w:val="050505"/>
        </w:rPr>
        <w:t>notes with maturities approximately equal to the stock option’s expected term.</w:t>
      </w:r>
    </w:p>
    <w:p>
      <w:pPr>
        <w:spacing w:after="0" w:line="114" w:lineRule="exact"/>
        <w:rPr>
          <w:sz w:val="20"/>
          <w:szCs w:val="20"/>
          <w:color w:val="auto"/>
        </w:rPr>
      </w:pPr>
    </w:p>
    <w:p>
      <w:pPr>
        <w:jc w:val="both"/>
        <w:ind w:left="2060" w:right="839"/>
        <w:spacing w:after="0" w:line="248" w:lineRule="auto"/>
        <w:rPr>
          <w:sz w:val="20"/>
          <w:szCs w:val="20"/>
          <w:color w:val="auto"/>
        </w:rPr>
      </w:pPr>
      <w:r>
        <w:rPr>
          <w:rFonts w:ascii="Arial" w:cs="Arial" w:eastAsia="Arial" w:hAnsi="Arial"/>
          <w:sz w:val="11"/>
          <w:szCs w:val="11"/>
          <w:b w:val="1"/>
          <w:bCs w:val="1"/>
          <w:i w:val="1"/>
          <w:iCs w:val="1"/>
          <w:color w:val="050505"/>
        </w:rPr>
        <w:t xml:space="preserve">Expected Volatility. </w:t>
      </w:r>
      <w:r>
        <w:rPr>
          <w:rFonts w:ascii="Arial" w:cs="Arial" w:eastAsia="Arial" w:hAnsi="Arial"/>
          <w:sz w:val="11"/>
          <w:szCs w:val="11"/>
          <w:color w:val="050505"/>
        </w:rPr>
        <w:t>Since we do not have a trading history of our common stock, the expected volatility was derived from the average historical stock</w:t>
      </w:r>
      <w:r>
        <w:rPr>
          <w:rFonts w:ascii="Arial" w:cs="Arial" w:eastAsia="Arial" w:hAnsi="Arial"/>
          <w:sz w:val="11"/>
          <w:szCs w:val="11"/>
          <w:b w:val="1"/>
          <w:bCs w:val="1"/>
          <w:i w:val="1"/>
          <w:iCs w:val="1"/>
          <w:color w:val="050505"/>
        </w:rPr>
        <w:t xml:space="preserve"> </w:t>
      </w:r>
      <w:r>
        <w:rPr>
          <w:rFonts w:ascii="Arial" w:cs="Arial" w:eastAsia="Arial" w:hAnsi="Arial"/>
          <w:sz w:val="11"/>
          <w:szCs w:val="11"/>
          <w:color w:val="050505"/>
        </w:rPr>
        <w:t>volatilities of several unrelated public companies within our industry that we consider to be comparable to our business over a period equivalent to the expected term of the awards, We intend to continue to consistently apply this process using the same or similar companies to estimate the expected volatility until sufficient historical information regarding the volatility of the share price of our Class A common stock becomes available.</w:t>
      </w:r>
    </w:p>
    <w:p>
      <w:pPr>
        <w:spacing w:after="0" w:line="138" w:lineRule="exact"/>
        <w:rPr>
          <w:sz w:val="20"/>
          <w:szCs w:val="20"/>
          <w:color w:val="auto"/>
        </w:rPr>
      </w:pPr>
    </w:p>
    <w:p>
      <w:pPr>
        <w:jc w:val="both"/>
        <w:ind w:left="2060" w:right="839"/>
        <w:spacing w:after="0" w:line="242" w:lineRule="auto"/>
        <w:rPr>
          <w:sz w:val="20"/>
          <w:szCs w:val="20"/>
          <w:color w:val="auto"/>
        </w:rPr>
      </w:pPr>
      <w:r>
        <w:rPr>
          <w:rFonts w:ascii="Arial" w:cs="Arial" w:eastAsia="Arial" w:hAnsi="Arial"/>
          <w:sz w:val="11"/>
          <w:szCs w:val="11"/>
          <w:color w:val="050505"/>
        </w:rPr>
        <w:t>We also grant stock-based awards to non-employees. We believe that for stock options issued to non-employees, the fair value of the stock option is more reliably measurable than the fair value of the services rendered. Therefore, we estimate the fair value of non-employee stock options using a Black-Scholes valuation model with appropriate assumptions.</w:t>
      </w:r>
    </w:p>
    <w:p>
      <w:pPr>
        <w:spacing w:after="0" w:line="128" w:lineRule="exact"/>
        <w:rPr>
          <w:sz w:val="20"/>
          <w:szCs w:val="20"/>
          <w:color w:val="auto"/>
        </w:rPr>
      </w:pPr>
    </w:p>
    <w:p>
      <w:pPr>
        <w:ind w:left="2060"/>
        <w:spacing w:after="0"/>
        <w:rPr>
          <w:sz w:val="20"/>
          <w:szCs w:val="20"/>
          <w:color w:val="auto"/>
        </w:rPr>
      </w:pPr>
      <w:r>
        <w:rPr>
          <w:rFonts w:ascii="Arial" w:cs="Arial" w:eastAsia="Arial" w:hAnsi="Arial"/>
          <w:sz w:val="11"/>
          <w:szCs w:val="11"/>
          <w:b w:val="1"/>
          <w:bCs w:val="1"/>
          <w:i w:val="1"/>
          <w:iCs w:val="1"/>
          <w:color w:val="auto"/>
        </w:rPr>
        <w:t>Common Stock Valuations</w:t>
      </w:r>
    </w:p>
    <w:p>
      <w:pPr>
        <w:spacing w:after="0" w:line="12" w:lineRule="exact"/>
        <w:rPr>
          <w:sz w:val="20"/>
          <w:szCs w:val="20"/>
          <w:color w:val="auto"/>
        </w:rPr>
      </w:pPr>
    </w:p>
    <w:p>
      <w:pPr>
        <w:jc w:val="both"/>
        <w:ind w:left="2060" w:right="839"/>
        <w:spacing w:after="0"/>
        <w:rPr>
          <w:sz w:val="20"/>
          <w:szCs w:val="20"/>
          <w:color w:val="auto"/>
        </w:rPr>
      </w:pPr>
      <w:r>
        <w:rPr>
          <w:rFonts w:ascii="Arial" w:cs="Arial" w:eastAsia="Arial" w:hAnsi="Arial"/>
          <w:sz w:val="11"/>
          <w:szCs w:val="11"/>
          <w:color w:val="050505"/>
        </w:rPr>
        <w:t xml:space="preserve">In the absence of a public trading market, the fair value of our common stock was determined by our board of directors, with input from management, taking into account our most recent valuations from an independent third-party valuation specialist. Our board of directors intended all stock options granted to have an exercise price per share not less than the per share fair value of our common stock on the date of grant. The valuations of our common stock were determined in accordance with the guidelines outlined in the American Institute of Certified Public Accountants Practice Aid, </w:t>
      </w:r>
      <w:r>
        <w:rPr>
          <w:rFonts w:ascii="Arial" w:cs="Arial" w:eastAsia="Arial" w:hAnsi="Arial"/>
          <w:sz w:val="11"/>
          <w:szCs w:val="11"/>
          <w:i w:val="1"/>
          <w:iCs w:val="1"/>
          <w:color w:val="050505"/>
        </w:rPr>
        <w:t xml:space="preserve">Valuation of Privately-Held-Company Equity Securities Issued as Compensation. </w:t>
      </w:r>
      <w:r>
        <w:rPr>
          <w:rFonts w:ascii="Arial" w:cs="Arial" w:eastAsia="Arial" w:hAnsi="Arial"/>
          <w:sz w:val="11"/>
          <w:szCs w:val="11"/>
          <w:color w:val="050505"/>
        </w:rPr>
        <w:t>The assumptions we use in the valuation models were based on future</w:t>
      </w:r>
      <w:r>
        <w:rPr>
          <w:rFonts w:ascii="Arial" w:cs="Arial" w:eastAsia="Arial" w:hAnsi="Arial"/>
          <w:sz w:val="11"/>
          <w:szCs w:val="11"/>
          <w:i w:val="1"/>
          <w:iCs w:val="1"/>
          <w:color w:val="050505"/>
        </w:rPr>
        <w:t xml:space="preserve"> </w:t>
      </w:r>
      <w:r>
        <w:rPr>
          <w:rFonts w:ascii="Arial" w:cs="Arial" w:eastAsia="Arial" w:hAnsi="Arial"/>
          <w:sz w:val="11"/>
          <w:szCs w:val="11"/>
          <w:color w:val="050505"/>
        </w:rPr>
        <w:t>expectations combined with management judgment, and considered numerous objective and subjective factors to determine the fair value of our common stock as of the date of each option grant, including the following factors:</w:t>
      </w:r>
    </w:p>
    <w:p>
      <w:pPr>
        <w:spacing w:after="0" w:line="159" w:lineRule="exact"/>
        <w:rPr>
          <w:sz w:val="20"/>
          <w:szCs w:val="20"/>
          <w:color w:val="auto"/>
        </w:rPr>
      </w:pPr>
    </w:p>
    <w:p>
      <w:pPr>
        <w:ind w:left="2420" w:hanging="217"/>
        <w:spacing w:after="0"/>
        <w:tabs>
          <w:tab w:leader="none" w:pos="2420" w:val="left"/>
        </w:tabs>
        <w:numPr>
          <w:ilvl w:val="0"/>
          <w:numId w:val="55"/>
        </w:numPr>
        <w:rPr>
          <w:rFonts w:ascii="Arial" w:cs="Arial" w:eastAsia="Arial" w:hAnsi="Arial"/>
          <w:sz w:val="11"/>
          <w:szCs w:val="11"/>
          <w:color w:val="F7323F"/>
        </w:rPr>
      </w:pPr>
      <w:r>
        <w:rPr>
          <w:rFonts w:ascii="Arial" w:cs="Arial" w:eastAsia="Arial" w:hAnsi="Arial"/>
          <w:sz w:val="11"/>
          <w:szCs w:val="11"/>
          <w:color w:val="050505"/>
        </w:rPr>
        <w:t>relevant precedent transactions involving our capital stock;</w:t>
      </w:r>
    </w:p>
    <w:p>
      <w:pPr>
        <w:spacing w:after="0" w:line="44" w:lineRule="exact"/>
        <w:rPr>
          <w:rFonts w:ascii="Arial" w:cs="Arial" w:eastAsia="Arial" w:hAnsi="Arial"/>
          <w:sz w:val="11"/>
          <w:szCs w:val="11"/>
          <w:color w:val="F7323F"/>
        </w:rPr>
      </w:pPr>
    </w:p>
    <w:p>
      <w:pPr>
        <w:ind w:left="2420" w:hanging="217"/>
        <w:spacing w:after="0"/>
        <w:tabs>
          <w:tab w:leader="none" w:pos="2420" w:val="left"/>
        </w:tabs>
        <w:numPr>
          <w:ilvl w:val="0"/>
          <w:numId w:val="55"/>
        </w:numPr>
        <w:rPr>
          <w:rFonts w:ascii="Arial" w:cs="Arial" w:eastAsia="Arial" w:hAnsi="Arial"/>
          <w:sz w:val="11"/>
          <w:szCs w:val="11"/>
          <w:color w:val="F7323F"/>
        </w:rPr>
      </w:pPr>
      <w:r>
        <w:rPr>
          <w:rFonts w:ascii="Arial" w:cs="Arial" w:eastAsia="Arial" w:hAnsi="Arial"/>
          <w:sz w:val="11"/>
          <w:szCs w:val="11"/>
          <w:color w:val="050505"/>
        </w:rPr>
        <w:t>contemporaneous valuations performed at periodic intervals by unrelated third-party specialists;</w:t>
      </w:r>
    </w:p>
    <w:p>
      <w:pPr>
        <w:spacing w:after="0" w:line="44" w:lineRule="exact"/>
        <w:rPr>
          <w:rFonts w:ascii="Arial" w:cs="Arial" w:eastAsia="Arial" w:hAnsi="Arial"/>
          <w:sz w:val="11"/>
          <w:szCs w:val="11"/>
          <w:color w:val="F7323F"/>
        </w:rPr>
      </w:pPr>
    </w:p>
    <w:p>
      <w:pPr>
        <w:ind w:left="2420" w:hanging="217"/>
        <w:spacing w:after="0"/>
        <w:tabs>
          <w:tab w:leader="none" w:pos="2420" w:val="left"/>
        </w:tabs>
        <w:numPr>
          <w:ilvl w:val="0"/>
          <w:numId w:val="55"/>
        </w:numPr>
        <w:rPr>
          <w:rFonts w:ascii="Arial" w:cs="Arial" w:eastAsia="Arial" w:hAnsi="Arial"/>
          <w:sz w:val="11"/>
          <w:szCs w:val="11"/>
          <w:color w:val="F7323F"/>
        </w:rPr>
      </w:pPr>
      <w:r>
        <w:rPr>
          <w:rFonts w:ascii="Arial" w:cs="Arial" w:eastAsia="Arial" w:hAnsi="Arial"/>
          <w:sz w:val="11"/>
          <w:szCs w:val="11"/>
          <w:color w:val="050505"/>
        </w:rPr>
        <w:t>the liquidation preferences, rights, preferences, and privileges of our redeemable convertible preferred stock relative to the common stock;</w:t>
      </w:r>
    </w:p>
    <w:p>
      <w:pPr>
        <w:spacing w:after="0" w:line="44" w:lineRule="exact"/>
        <w:rPr>
          <w:rFonts w:ascii="Arial" w:cs="Arial" w:eastAsia="Arial" w:hAnsi="Arial"/>
          <w:sz w:val="11"/>
          <w:szCs w:val="11"/>
          <w:color w:val="F7323F"/>
        </w:rPr>
      </w:pPr>
    </w:p>
    <w:p>
      <w:pPr>
        <w:ind w:left="2420" w:hanging="217"/>
        <w:spacing w:after="0"/>
        <w:tabs>
          <w:tab w:leader="none" w:pos="2420" w:val="left"/>
        </w:tabs>
        <w:numPr>
          <w:ilvl w:val="0"/>
          <w:numId w:val="55"/>
        </w:numPr>
        <w:rPr>
          <w:rFonts w:ascii="Arial" w:cs="Arial" w:eastAsia="Arial" w:hAnsi="Arial"/>
          <w:sz w:val="11"/>
          <w:szCs w:val="11"/>
          <w:color w:val="F7323F"/>
        </w:rPr>
      </w:pPr>
      <w:r>
        <w:rPr>
          <w:rFonts w:ascii="Arial" w:cs="Arial" w:eastAsia="Arial" w:hAnsi="Arial"/>
          <w:sz w:val="11"/>
          <w:szCs w:val="11"/>
          <w:color w:val="050505"/>
        </w:rPr>
        <w:t>our actual operating and financial performance;</w:t>
      </w:r>
    </w:p>
    <w:p>
      <w:pPr>
        <w:spacing w:after="0" w:line="44" w:lineRule="exact"/>
        <w:rPr>
          <w:rFonts w:ascii="Arial" w:cs="Arial" w:eastAsia="Arial" w:hAnsi="Arial"/>
          <w:sz w:val="11"/>
          <w:szCs w:val="11"/>
          <w:color w:val="F7323F"/>
        </w:rPr>
      </w:pPr>
    </w:p>
    <w:p>
      <w:pPr>
        <w:ind w:left="2420" w:hanging="217"/>
        <w:spacing w:after="0"/>
        <w:tabs>
          <w:tab w:leader="none" w:pos="2420" w:val="left"/>
        </w:tabs>
        <w:numPr>
          <w:ilvl w:val="0"/>
          <w:numId w:val="55"/>
        </w:numPr>
        <w:rPr>
          <w:rFonts w:ascii="Arial" w:cs="Arial" w:eastAsia="Arial" w:hAnsi="Arial"/>
          <w:sz w:val="11"/>
          <w:szCs w:val="11"/>
          <w:color w:val="F7323F"/>
        </w:rPr>
      </w:pPr>
      <w:r>
        <w:rPr>
          <w:rFonts w:ascii="Arial" w:cs="Arial" w:eastAsia="Arial" w:hAnsi="Arial"/>
          <w:sz w:val="11"/>
          <w:szCs w:val="11"/>
          <w:color w:val="050505"/>
        </w:rPr>
        <w:t>current business conditions and projections;</w:t>
      </w:r>
    </w:p>
    <w:p>
      <w:pPr>
        <w:spacing w:after="0" w:line="44" w:lineRule="exact"/>
        <w:rPr>
          <w:rFonts w:ascii="Arial" w:cs="Arial" w:eastAsia="Arial" w:hAnsi="Arial"/>
          <w:sz w:val="11"/>
          <w:szCs w:val="11"/>
          <w:color w:val="F7323F"/>
        </w:rPr>
      </w:pPr>
    </w:p>
    <w:p>
      <w:pPr>
        <w:ind w:left="2420" w:hanging="217"/>
        <w:spacing w:after="0"/>
        <w:tabs>
          <w:tab w:leader="none" w:pos="2420" w:val="left"/>
        </w:tabs>
        <w:numPr>
          <w:ilvl w:val="0"/>
          <w:numId w:val="55"/>
        </w:numPr>
        <w:rPr>
          <w:rFonts w:ascii="Arial" w:cs="Arial" w:eastAsia="Arial" w:hAnsi="Arial"/>
          <w:sz w:val="11"/>
          <w:szCs w:val="11"/>
          <w:color w:val="F7323F"/>
        </w:rPr>
      </w:pPr>
      <w:r>
        <w:rPr>
          <w:rFonts w:ascii="Arial" w:cs="Arial" w:eastAsia="Arial" w:hAnsi="Arial"/>
          <w:sz w:val="11"/>
          <w:szCs w:val="11"/>
          <w:color w:val="050505"/>
        </w:rPr>
        <w:t>our stage of development;</w:t>
      </w:r>
    </w:p>
    <w:p>
      <w:pPr>
        <w:spacing w:after="0" w:line="99" w:lineRule="exact"/>
        <w:rPr>
          <w:sz w:val="20"/>
          <w:szCs w:val="20"/>
          <w:color w:val="auto"/>
        </w:rPr>
      </w:pPr>
    </w:p>
    <w:p>
      <w:pPr>
        <w:ind w:left="5680"/>
        <w:spacing w:after="0"/>
        <w:rPr>
          <w:sz w:val="20"/>
          <w:szCs w:val="20"/>
          <w:color w:val="auto"/>
        </w:rPr>
      </w:pPr>
      <w:r>
        <w:rPr>
          <w:rFonts w:ascii="Arial" w:cs="Arial" w:eastAsia="Arial" w:hAnsi="Arial"/>
          <w:sz w:val="11"/>
          <w:szCs w:val="11"/>
          <w:color w:val="050505"/>
        </w:rPr>
        <w:t>88</w:t>
      </w:r>
    </w:p>
    <w:p>
      <w:pPr>
        <w:sectPr>
          <w:pgSz w:w="11900" w:h="16838" w:orient="portrait"/>
          <w:cols w:equalWidth="0" w:num="1">
            <w:col w:w="10239"/>
          </w:cols>
          <w:pgMar w:left="220" w:top="354" w:right="1440" w:bottom="1440" w:gutter="0" w:footer="0" w:header="0"/>
        </w:sectPr>
      </w:pPr>
    </w:p>
    <w:bookmarkStart w:id="93" w:name="page94"/>
    <w:bookmarkEnd w:id="93"/>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hyperlink w:anchor="page5">
        <w:r>
          <w:rPr>
            <w:rFonts w:ascii="Arial" w:cs="Arial" w:eastAsia="Arial" w:hAnsi="Arial"/>
            <w:sz w:val="12"/>
            <w:szCs w:val="12"/>
            <w:b w:val="1"/>
            <w:bCs w:val="1"/>
            <w:u w:val="single" w:color="auto"/>
            <w:color w:val="0000EE"/>
          </w:rPr>
          <w:t>Table of Contents</w:t>
        </w:r>
      </w:hyperlink>
    </w:p>
    <w:p>
      <w:pPr>
        <w:spacing w:after="0" w:line="216" w:lineRule="exact"/>
        <w:rPr>
          <w:sz w:val="20"/>
          <w:szCs w:val="20"/>
          <w:color w:val="auto"/>
        </w:rPr>
      </w:pPr>
    </w:p>
    <w:p>
      <w:pPr>
        <w:ind w:left="2420" w:right="839" w:hanging="217"/>
        <w:spacing w:after="0" w:line="245" w:lineRule="auto"/>
        <w:tabs>
          <w:tab w:leader="none" w:pos="2420" w:val="left"/>
        </w:tabs>
        <w:numPr>
          <w:ilvl w:val="0"/>
          <w:numId w:val="56"/>
        </w:numPr>
        <w:rPr>
          <w:rFonts w:ascii="Arial" w:cs="Arial" w:eastAsia="Arial" w:hAnsi="Arial"/>
          <w:sz w:val="11"/>
          <w:szCs w:val="11"/>
          <w:color w:val="F7323F"/>
        </w:rPr>
      </w:pPr>
      <w:r>
        <w:rPr>
          <w:rFonts w:ascii="Arial" w:cs="Arial" w:eastAsia="Arial" w:hAnsi="Arial"/>
          <w:sz w:val="11"/>
          <w:szCs w:val="11"/>
          <w:color w:val="050505"/>
        </w:rPr>
        <w:t>the likelihood and timing of achieving a liquidity event for the shares of common stock underlying the stock options, such as an initial public offering, given prevailing market conditions;</w:t>
      </w:r>
    </w:p>
    <w:p>
      <w:pPr>
        <w:spacing w:after="0" w:line="38" w:lineRule="exact"/>
        <w:rPr>
          <w:rFonts w:ascii="Arial" w:cs="Arial" w:eastAsia="Arial" w:hAnsi="Arial"/>
          <w:sz w:val="11"/>
          <w:szCs w:val="11"/>
          <w:color w:val="F7323F"/>
        </w:rPr>
      </w:pPr>
    </w:p>
    <w:p>
      <w:pPr>
        <w:ind w:left="2420" w:hanging="217"/>
        <w:spacing w:after="0"/>
        <w:tabs>
          <w:tab w:leader="none" w:pos="2420" w:val="left"/>
        </w:tabs>
        <w:numPr>
          <w:ilvl w:val="0"/>
          <w:numId w:val="56"/>
        </w:numPr>
        <w:rPr>
          <w:rFonts w:ascii="Arial" w:cs="Arial" w:eastAsia="Arial" w:hAnsi="Arial"/>
          <w:sz w:val="11"/>
          <w:szCs w:val="11"/>
          <w:color w:val="F7323F"/>
        </w:rPr>
      </w:pPr>
      <w:r>
        <w:rPr>
          <w:rFonts w:ascii="Arial" w:cs="Arial" w:eastAsia="Arial" w:hAnsi="Arial"/>
          <w:sz w:val="11"/>
          <w:szCs w:val="11"/>
          <w:color w:val="050505"/>
        </w:rPr>
        <w:t>any adjustment necessary to recognize a lack of marketability of the common stock underlying the granted options;</w:t>
      </w:r>
    </w:p>
    <w:p>
      <w:pPr>
        <w:spacing w:after="0" w:line="44" w:lineRule="exact"/>
        <w:rPr>
          <w:rFonts w:ascii="Arial" w:cs="Arial" w:eastAsia="Arial" w:hAnsi="Arial"/>
          <w:sz w:val="11"/>
          <w:szCs w:val="11"/>
          <w:color w:val="F7323F"/>
        </w:rPr>
      </w:pPr>
    </w:p>
    <w:p>
      <w:pPr>
        <w:ind w:left="2420" w:hanging="217"/>
        <w:spacing w:after="0"/>
        <w:tabs>
          <w:tab w:leader="none" w:pos="2420" w:val="left"/>
        </w:tabs>
        <w:numPr>
          <w:ilvl w:val="0"/>
          <w:numId w:val="56"/>
        </w:numPr>
        <w:rPr>
          <w:rFonts w:ascii="Arial" w:cs="Arial" w:eastAsia="Arial" w:hAnsi="Arial"/>
          <w:sz w:val="11"/>
          <w:szCs w:val="11"/>
          <w:color w:val="F7323F"/>
        </w:rPr>
      </w:pPr>
      <w:r>
        <w:rPr>
          <w:rFonts w:ascii="Arial" w:cs="Arial" w:eastAsia="Arial" w:hAnsi="Arial"/>
          <w:sz w:val="11"/>
          <w:szCs w:val="11"/>
          <w:color w:val="050505"/>
        </w:rPr>
        <w:t>recent secondary stock sales and tender offers;</w:t>
      </w:r>
    </w:p>
    <w:p>
      <w:pPr>
        <w:spacing w:after="0" w:line="44" w:lineRule="exact"/>
        <w:rPr>
          <w:rFonts w:ascii="Arial" w:cs="Arial" w:eastAsia="Arial" w:hAnsi="Arial"/>
          <w:sz w:val="11"/>
          <w:szCs w:val="11"/>
          <w:color w:val="F7323F"/>
        </w:rPr>
      </w:pPr>
    </w:p>
    <w:p>
      <w:pPr>
        <w:ind w:left="2420" w:hanging="217"/>
        <w:spacing w:after="0"/>
        <w:tabs>
          <w:tab w:leader="none" w:pos="2420" w:val="left"/>
        </w:tabs>
        <w:numPr>
          <w:ilvl w:val="0"/>
          <w:numId w:val="56"/>
        </w:numPr>
        <w:rPr>
          <w:rFonts w:ascii="Arial" w:cs="Arial" w:eastAsia="Arial" w:hAnsi="Arial"/>
          <w:sz w:val="11"/>
          <w:szCs w:val="11"/>
          <w:color w:val="F7323F"/>
        </w:rPr>
      </w:pPr>
      <w:r>
        <w:rPr>
          <w:rFonts w:ascii="Arial" w:cs="Arial" w:eastAsia="Arial" w:hAnsi="Arial"/>
          <w:sz w:val="11"/>
          <w:szCs w:val="11"/>
          <w:color w:val="050505"/>
        </w:rPr>
        <w:t>the market performance of comparable publicly-traded companies; and</w:t>
      </w:r>
    </w:p>
    <w:p>
      <w:pPr>
        <w:spacing w:after="0" w:line="44" w:lineRule="exact"/>
        <w:rPr>
          <w:rFonts w:ascii="Arial" w:cs="Arial" w:eastAsia="Arial" w:hAnsi="Arial"/>
          <w:sz w:val="11"/>
          <w:szCs w:val="11"/>
          <w:color w:val="F7323F"/>
        </w:rPr>
      </w:pPr>
    </w:p>
    <w:p>
      <w:pPr>
        <w:ind w:left="2420" w:hanging="217"/>
        <w:spacing w:after="0"/>
        <w:tabs>
          <w:tab w:leader="none" w:pos="2420" w:val="left"/>
        </w:tabs>
        <w:numPr>
          <w:ilvl w:val="0"/>
          <w:numId w:val="56"/>
        </w:numPr>
        <w:rPr>
          <w:rFonts w:ascii="Arial" w:cs="Arial" w:eastAsia="Arial" w:hAnsi="Arial"/>
          <w:sz w:val="11"/>
          <w:szCs w:val="11"/>
          <w:color w:val="F7323F"/>
        </w:rPr>
      </w:pPr>
      <w:r>
        <w:rPr>
          <w:rFonts w:ascii="Arial" w:cs="Arial" w:eastAsia="Arial" w:hAnsi="Arial"/>
          <w:sz w:val="11"/>
          <w:szCs w:val="11"/>
          <w:color w:val="050505"/>
        </w:rPr>
        <w:t>the U.S. and global capital market conditions.</w:t>
      </w:r>
    </w:p>
    <w:p>
      <w:pPr>
        <w:spacing w:after="0" w:line="144" w:lineRule="exact"/>
        <w:rPr>
          <w:sz w:val="20"/>
          <w:szCs w:val="20"/>
          <w:color w:val="auto"/>
        </w:rPr>
      </w:pPr>
    </w:p>
    <w:p>
      <w:pPr>
        <w:jc w:val="both"/>
        <w:ind w:left="2060" w:right="839"/>
        <w:spacing w:after="0" w:line="239" w:lineRule="auto"/>
        <w:rPr>
          <w:sz w:val="20"/>
          <w:szCs w:val="20"/>
          <w:color w:val="auto"/>
        </w:rPr>
      </w:pPr>
      <w:r>
        <w:rPr>
          <w:rFonts w:ascii="Arial" w:cs="Arial" w:eastAsia="Arial" w:hAnsi="Arial"/>
          <w:sz w:val="11"/>
          <w:szCs w:val="11"/>
          <w:color w:val="050505"/>
        </w:rPr>
        <w:t>In valuing our common stock at various dates in fiscal 2017, 2018, and 2019, our board of directors determined the equity value of our business using various valuation methods including combinations of income and market approaches with input from management. The income approach estimates the fair value based on the expectation of future cash flows that a company will generate. These future cash flows are discounted to their present values using an appropriate discount rate to reflect the risks inherent in us achieving these estimated cash flows. The market approach estimates value considering an analysis of guideline public companies. The guideline public companies method estimates value by applying a representative revenue multiple from a peer group of companies in similar lines of business to our forecasted revenue. Our peer group of companies was selected based on operational and economic similarities to us and factors considered included but were not limited to industry, business model, growth rates, customer base, capitalization, size, profitability and stage of development. From time to time, we updated the set of comparable companies as new or more relevant information became available. This approach involves the identification of relevant transactions, and determining relevant multiples to apply to our revenue.</w:t>
      </w:r>
    </w:p>
    <w:p>
      <w:pPr>
        <w:spacing w:after="0" w:line="146" w:lineRule="exact"/>
        <w:rPr>
          <w:sz w:val="20"/>
          <w:szCs w:val="20"/>
          <w:color w:val="auto"/>
        </w:rPr>
      </w:pPr>
    </w:p>
    <w:p>
      <w:pPr>
        <w:ind w:left="2060"/>
        <w:spacing w:after="0"/>
        <w:rPr>
          <w:sz w:val="20"/>
          <w:szCs w:val="20"/>
          <w:color w:val="auto"/>
        </w:rPr>
      </w:pPr>
      <w:r>
        <w:rPr>
          <w:rFonts w:ascii="Arial" w:cs="Arial" w:eastAsia="Arial" w:hAnsi="Arial"/>
          <w:sz w:val="11"/>
          <w:szCs w:val="11"/>
          <w:color w:val="050505"/>
        </w:rPr>
        <w:t>The equity values implied by the income and market approaches reasonably approximated each other as of each valuation date.</w:t>
      </w:r>
    </w:p>
    <w:p>
      <w:pPr>
        <w:spacing w:after="0" w:line="144" w:lineRule="exact"/>
        <w:rPr>
          <w:sz w:val="20"/>
          <w:szCs w:val="20"/>
          <w:color w:val="auto"/>
        </w:rPr>
      </w:pPr>
    </w:p>
    <w:p>
      <w:pPr>
        <w:jc w:val="both"/>
        <w:ind w:left="2060" w:right="839"/>
        <w:spacing w:after="0" w:line="242" w:lineRule="auto"/>
        <w:rPr>
          <w:sz w:val="20"/>
          <w:szCs w:val="20"/>
          <w:color w:val="auto"/>
        </w:rPr>
      </w:pPr>
      <w:r>
        <w:rPr>
          <w:rFonts w:ascii="Arial" w:cs="Arial" w:eastAsia="Arial" w:hAnsi="Arial"/>
          <w:sz w:val="11"/>
          <w:szCs w:val="11"/>
          <w:color w:val="050505"/>
        </w:rPr>
        <w:t>Once we determined an equity value, we used a combination of approaches to allocate the equity value to each class of our stock. We used the option pricing method, or OPM. The OPM allocates values to each equity class by creating a series of call options on our equity value, with exercise prices based on the liquidation preferences, participation rights, and exercise prices of the equity instruments.</w:t>
      </w:r>
    </w:p>
    <w:p>
      <w:pPr>
        <w:spacing w:after="0" w:line="140" w:lineRule="exact"/>
        <w:rPr>
          <w:sz w:val="20"/>
          <w:szCs w:val="20"/>
          <w:color w:val="auto"/>
        </w:rPr>
      </w:pPr>
    </w:p>
    <w:p>
      <w:pPr>
        <w:jc w:val="both"/>
        <w:ind w:left="2060" w:right="839"/>
        <w:spacing w:after="0" w:line="242" w:lineRule="auto"/>
        <w:rPr>
          <w:sz w:val="20"/>
          <w:szCs w:val="20"/>
          <w:color w:val="auto"/>
        </w:rPr>
      </w:pPr>
      <w:r>
        <w:rPr>
          <w:rFonts w:ascii="Arial" w:cs="Arial" w:eastAsia="Arial" w:hAnsi="Arial"/>
          <w:sz w:val="11"/>
          <w:szCs w:val="11"/>
          <w:color w:val="050505"/>
        </w:rPr>
        <w:t>We also considered an appropriate discount adjustment to recognize the lack of marketability and liquidity due to the fact that stockholders of private companies do not have access to trading markets similar to those enjoyed by stockholders of public companies. The discount for marketability was determined using a protective put option model, in which a put option is used as a proxy for measuring discounts for lack of marketability of securities.</w:t>
      </w:r>
    </w:p>
    <w:p>
      <w:pPr>
        <w:spacing w:after="0" w:line="140" w:lineRule="exact"/>
        <w:rPr>
          <w:sz w:val="20"/>
          <w:szCs w:val="20"/>
          <w:color w:val="auto"/>
        </w:rPr>
      </w:pPr>
    </w:p>
    <w:p>
      <w:pPr>
        <w:jc w:val="both"/>
        <w:ind w:left="2060" w:right="839"/>
        <w:spacing w:after="0"/>
        <w:rPr>
          <w:sz w:val="20"/>
          <w:szCs w:val="20"/>
          <w:color w:val="auto"/>
        </w:rPr>
      </w:pPr>
      <w:r>
        <w:rPr>
          <w:rFonts w:ascii="Arial" w:cs="Arial" w:eastAsia="Arial" w:hAnsi="Arial"/>
          <w:sz w:val="11"/>
          <w:szCs w:val="11"/>
          <w:color w:val="050505"/>
        </w:rPr>
        <w:t>Following August 2018, the resulting equity value was then allocated to the common stock using a probability weighted expected return method, or PWERM. Under PWERM, we estimated the value of our common stock based upon an analysis of our values assuming an initial public offering as a possible future event. Additionally, the OPM, using the preferred stockholders’ liquidation preferences, participation rights, dividend rights, and conversion rights to determine the value of each share class in specific potential future outcomes, was considered in the PWERM approach. We also applied a discount for lack of marketability to account for a lack of access to an active public market.</w:t>
      </w:r>
    </w:p>
    <w:p>
      <w:pPr>
        <w:spacing w:after="0" w:line="142" w:lineRule="exact"/>
        <w:rPr>
          <w:sz w:val="20"/>
          <w:szCs w:val="20"/>
          <w:color w:val="auto"/>
        </w:rPr>
      </w:pPr>
    </w:p>
    <w:p>
      <w:pPr>
        <w:jc w:val="both"/>
        <w:ind w:left="2060" w:right="839"/>
        <w:spacing w:after="0" w:line="241" w:lineRule="auto"/>
        <w:rPr>
          <w:sz w:val="20"/>
          <w:szCs w:val="20"/>
          <w:color w:val="auto"/>
        </w:rPr>
      </w:pPr>
      <w:r>
        <w:rPr>
          <w:rFonts w:ascii="Arial" w:cs="Arial" w:eastAsia="Arial" w:hAnsi="Arial"/>
          <w:sz w:val="11"/>
          <w:szCs w:val="11"/>
          <w:color w:val="050505"/>
        </w:rPr>
        <w:t>In addition, we also considered any private or secondary transactions involving our capital stock as well as tender offers completed in fiscal 2017 and 2019. In our evaluation of those transactions, we considered the facts and circumstances of each transaction to determine the extent to which they represented a fair value exchange. Factors considered include transaction volume, timing, whether the transactions occurred among willing and unrelated parties, and whether the transactions involved investors with access to our financial information.</w:t>
      </w:r>
    </w:p>
    <w:p>
      <w:pPr>
        <w:spacing w:after="0" w:line="140" w:lineRule="exact"/>
        <w:rPr>
          <w:sz w:val="20"/>
          <w:szCs w:val="20"/>
          <w:color w:val="auto"/>
        </w:rPr>
      </w:pPr>
    </w:p>
    <w:p>
      <w:pPr>
        <w:jc w:val="both"/>
        <w:ind w:left="2060" w:right="839"/>
        <w:spacing w:after="0" w:line="241" w:lineRule="auto"/>
        <w:rPr>
          <w:sz w:val="20"/>
          <w:szCs w:val="20"/>
          <w:color w:val="auto"/>
        </w:rPr>
      </w:pPr>
      <w:r>
        <w:rPr>
          <w:rFonts w:ascii="Arial" w:cs="Arial" w:eastAsia="Arial" w:hAnsi="Arial"/>
          <w:sz w:val="11"/>
          <w:szCs w:val="11"/>
          <w:color w:val="050505"/>
        </w:rPr>
        <w:t>Application of these approaches involves the use of estimates, judgment, and assumptions that are highly complex and subjective, such as those regarding our expected future revenue, expenses, and future cash flows, discount rates, market multiples, the selection of comparable companies, and the probability of possible future events. Changes in any or all of these estimates and assumptions or the relationships between those assumptions impact our valuations as of each valuation date and may have a material impact on the valuation of our common stock.</w:t>
      </w:r>
    </w:p>
    <w:p>
      <w:pPr>
        <w:spacing w:after="0" w:line="140" w:lineRule="exact"/>
        <w:rPr>
          <w:sz w:val="20"/>
          <w:szCs w:val="20"/>
          <w:color w:val="auto"/>
        </w:rPr>
      </w:pPr>
    </w:p>
    <w:p>
      <w:pPr>
        <w:jc w:val="both"/>
        <w:ind w:left="2060" w:right="839"/>
        <w:spacing w:after="0" w:line="242" w:lineRule="auto"/>
        <w:rPr>
          <w:sz w:val="20"/>
          <w:szCs w:val="20"/>
          <w:color w:val="auto"/>
        </w:rPr>
      </w:pPr>
      <w:r>
        <w:rPr>
          <w:rFonts w:ascii="Arial" w:cs="Arial" w:eastAsia="Arial" w:hAnsi="Arial"/>
          <w:sz w:val="11"/>
          <w:szCs w:val="11"/>
          <w:color w:val="050505"/>
        </w:rPr>
        <w:t>For valuations after the completion of this offering, our board of directors will determine the fair value of each share of underlying Class A common stock based on the closing price of our common stock as reported on the date of grant. Future expense amounts for any particular period could be affected by changes in our assumptions or market conditions.</w:t>
      </w:r>
    </w:p>
    <w:p>
      <w:pPr>
        <w:spacing w:after="0" w:line="95" w:lineRule="exact"/>
        <w:rPr>
          <w:sz w:val="20"/>
          <w:szCs w:val="20"/>
          <w:color w:val="auto"/>
        </w:rPr>
      </w:pPr>
    </w:p>
    <w:p>
      <w:pPr>
        <w:ind w:left="5680"/>
        <w:spacing w:after="0"/>
        <w:rPr>
          <w:sz w:val="20"/>
          <w:szCs w:val="20"/>
          <w:color w:val="auto"/>
        </w:rPr>
      </w:pPr>
      <w:r>
        <w:rPr>
          <w:rFonts w:ascii="Arial" w:cs="Arial" w:eastAsia="Arial" w:hAnsi="Arial"/>
          <w:sz w:val="11"/>
          <w:szCs w:val="11"/>
          <w:color w:val="050505"/>
        </w:rPr>
        <w:t>89</w:t>
      </w:r>
    </w:p>
    <w:p>
      <w:pPr>
        <w:sectPr>
          <w:pgSz w:w="11900" w:h="16838" w:orient="portrait"/>
          <w:cols w:equalWidth="0" w:num="1">
            <w:col w:w="10239"/>
          </w:cols>
          <w:pgMar w:left="220" w:top="354" w:right="1440" w:bottom="1440" w:gutter="0" w:footer="0" w:header="0"/>
        </w:sectPr>
      </w:pPr>
    </w:p>
    <w:bookmarkStart w:id="94" w:name="page95"/>
    <w:bookmarkEnd w:id="94"/>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hyperlink w:anchor="page5">
        <w:r>
          <w:rPr>
            <w:rFonts w:ascii="Arial" w:cs="Arial" w:eastAsia="Arial" w:hAnsi="Arial"/>
            <w:sz w:val="12"/>
            <w:szCs w:val="12"/>
            <w:b w:val="1"/>
            <w:bCs w:val="1"/>
            <w:u w:val="single" w:color="auto"/>
            <w:color w:val="0000EE"/>
          </w:rPr>
          <w:t>Table of Contents</w:t>
        </w:r>
      </w:hyperlink>
    </w:p>
    <w:p>
      <w:pPr>
        <w:spacing w:after="0" w:line="216" w:lineRule="exact"/>
        <w:rPr>
          <w:sz w:val="20"/>
          <w:szCs w:val="20"/>
          <w:color w:val="auto"/>
        </w:rPr>
      </w:pPr>
    </w:p>
    <w:p>
      <w:pPr>
        <w:jc w:val="both"/>
        <w:ind w:left="2060" w:right="839"/>
        <w:spacing w:after="0"/>
        <w:rPr>
          <w:sz w:val="20"/>
          <w:szCs w:val="20"/>
          <w:color w:val="auto"/>
        </w:rPr>
      </w:pPr>
      <w:r>
        <w:rPr>
          <w:rFonts w:ascii="Arial" w:cs="Arial" w:eastAsia="Arial" w:hAnsi="Arial"/>
          <w:sz w:val="11"/>
          <w:szCs w:val="11"/>
          <w:color w:val="050505"/>
        </w:rPr>
        <w:t>Based upon the initial public offering price of $29.00 per share the aggregate intrinsic value of stock options outstanding as of June 30, 2019 was $1,440.0 million, of which $453.9 million related to vested stock options and $985.8 million related to unvested stock options. In addition, subsequent to June 30, 2019, we granted options to purchase 883,550 shares of our Class B common stock under the 2015 Plan and options to purchase 232,550 shares of our Class A common stock under our 2019 Plan will be granted effective as of the filing of our registration statement on Form S-8 with an exercise price equal to the initial public offering price.</w:t>
      </w:r>
    </w:p>
    <w:p>
      <w:pPr>
        <w:spacing w:after="0" w:line="130" w:lineRule="exact"/>
        <w:rPr>
          <w:sz w:val="20"/>
          <w:szCs w:val="20"/>
          <w:color w:val="auto"/>
        </w:rPr>
      </w:pPr>
    </w:p>
    <w:p>
      <w:pPr>
        <w:ind w:left="2060"/>
        <w:spacing w:after="0"/>
        <w:rPr>
          <w:sz w:val="20"/>
          <w:szCs w:val="20"/>
          <w:color w:val="auto"/>
        </w:rPr>
      </w:pPr>
      <w:r>
        <w:rPr>
          <w:rFonts w:ascii="Arial" w:cs="Arial" w:eastAsia="Arial" w:hAnsi="Arial"/>
          <w:sz w:val="11"/>
          <w:szCs w:val="11"/>
          <w:b w:val="1"/>
          <w:bCs w:val="1"/>
          <w:i w:val="1"/>
          <w:iCs w:val="1"/>
          <w:color w:val="auto"/>
        </w:rPr>
        <w:t>Income Taxes</w:t>
      </w:r>
    </w:p>
    <w:p>
      <w:pPr>
        <w:spacing w:after="0" w:line="12" w:lineRule="exact"/>
        <w:rPr>
          <w:sz w:val="20"/>
          <w:szCs w:val="20"/>
          <w:color w:val="auto"/>
        </w:rPr>
      </w:pPr>
    </w:p>
    <w:p>
      <w:pPr>
        <w:jc w:val="both"/>
        <w:ind w:left="2060" w:right="839"/>
        <w:spacing w:after="0" w:line="270" w:lineRule="auto"/>
        <w:rPr>
          <w:sz w:val="20"/>
          <w:szCs w:val="20"/>
          <w:color w:val="auto"/>
        </w:rPr>
      </w:pPr>
      <w:r>
        <w:rPr>
          <w:rFonts w:ascii="Arial" w:cs="Arial" w:eastAsia="Arial" w:hAnsi="Arial"/>
          <w:sz w:val="10"/>
          <w:szCs w:val="10"/>
          <w:color w:val="050505"/>
        </w:rPr>
        <w:t>We utilize the asset and liability method for computing our income tax provision. Deferred tax assets and liabilities reflect the expected future consequences of temporary differences between the financial reporting and tax bases of assets and liabilities as well as operating loss, capital loss, and tax credit carryforwards, using enacted tax rates. Management makes estimates, assumptions, and judgments to determine our provision for income taxes, deferred tax assets and liabilities, and any valuation allowance recorded against deferred tax assets. We assess the likelihood that our deferred tax assets will be recovered from future taxable income and, to the extent we believe that recovery is not likely, we establish a valuation allowance.</w:t>
      </w:r>
    </w:p>
    <w:p>
      <w:pPr>
        <w:spacing w:after="0" w:line="128" w:lineRule="exact"/>
        <w:rPr>
          <w:sz w:val="20"/>
          <w:szCs w:val="20"/>
          <w:color w:val="auto"/>
        </w:rPr>
      </w:pPr>
    </w:p>
    <w:p>
      <w:pPr>
        <w:jc w:val="both"/>
        <w:ind w:left="2060" w:right="839"/>
        <w:spacing w:after="0" w:line="241" w:lineRule="auto"/>
        <w:rPr>
          <w:sz w:val="20"/>
          <w:szCs w:val="20"/>
          <w:color w:val="auto"/>
        </w:rPr>
      </w:pPr>
      <w:r>
        <w:rPr>
          <w:rFonts w:ascii="Arial" w:cs="Arial" w:eastAsia="Arial" w:hAnsi="Arial"/>
          <w:sz w:val="11"/>
          <w:szCs w:val="11"/>
          <w:color w:val="050505"/>
        </w:rPr>
        <w:t>We recognize the tax benefit from an uncertain tax position only if it is more likely than not the tax position will be sustained on examination by the taxing authorities, based on the technical merits of the position. The tax benefits recognized from such positions are then measured based on the largest benefit that has a greater than 50% likelihood of being realized upon settlement. Interest and penalties related to unrecognized tax benefits, which to date have not been material, are recognized within provision for income taxes.</w:t>
      </w:r>
    </w:p>
    <w:p>
      <w:pPr>
        <w:spacing w:after="0" w:line="128" w:lineRule="exact"/>
        <w:rPr>
          <w:sz w:val="20"/>
          <w:szCs w:val="20"/>
          <w:color w:val="auto"/>
        </w:rPr>
      </w:pPr>
    </w:p>
    <w:p>
      <w:pPr>
        <w:ind w:left="2060"/>
        <w:spacing w:after="0"/>
        <w:rPr>
          <w:sz w:val="20"/>
          <w:szCs w:val="20"/>
          <w:color w:val="auto"/>
        </w:rPr>
      </w:pPr>
      <w:r>
        <w:rPr>
          <w:rFonts w:ascii="Arial" w:cs="Arial" w:eastAsia="Arial" w:hAnsi="Arial"/>
          <w:sz w:val="11"/>
          <w:szCs w:val="11"/>
          <w:b w:val="1"/>
          <w:bCs w:val="1"/>
          <w:i w:val="1"/>
          <w:iCs w:val="1"/>
          <w:color w:val="auto"/>
        </w:rPr>
        <w:t>Loss Contingencies</w:t>
      </w:r>
    </w:p>
    <w:p>
      <w:pPr>
        <w:spacing w:after="0" w:line="12" w:lineRule="exact"/>
        <w:rPr>
          <w:sz w:val="20"/>
          <w:szCs w:val="20"/>
          <w:color w:val="auto"/>
        </w:rPr>
      </w:pPr>
    </w:p>
    <w:p>
      <w:pPr>
        <w:jc w:val="both"/>
        <w:ind w:left="2060" w:right="839"/>
        <w:spacing w:after="0"/>
        <w:rPr>
          <w:sz w:val="20"/>
          <w:szCs w:val="20"/>
          <w:color w:val="auto"/>
        </w:rPr>
      </w:pPr>
      <w:r>
        <w:rPr>
          <w:rFonts w:ascii="Arial" w:cs="Arial" w:eastAsia="Arial" w:hAnsi="Arial"/>
          <w:sz w:val="11"/>
          <w:szCs w:val="11"/>
          <w:color w:val="050505"/>
        </w:rPr>
        <w:t>We are involved in legal proceedings, claims, and regulatory, tax, and government inquiries and investigations that arise in the ordinary course of business. Certain of these matters include claims for substantial or indeterminate amounts of damages. We record a liability when we believe that it is both probable that a loss has been incurred and the amount can be reasonably estimated. If we determine that a loss is reasonably possible and the loss or range of loss can be reasonably estimated, we disclose the possible loss in the accompanying notes to the consolidated financial statements. If we determine that a loss is reasonably possible but the loss or range of loss cannot be reasonably estimated, we state that such an estimate cannot be made.</w:t>
      </w:r>
    </w:p>
    <w:p>
      <w:pPr>
        <w:spacing w:after="0" w:line="142" w:lineRule="exact"/>
        <w:rPr>
          <w:sz w:val="20"/>
          <w:szCs w:val="20"/>
          <w:color w:val="auto"/>
        </w:rPr>
      </w:pPr>
    </w:p>
    <w:p>
      <w:pPr>
        <w:jc w:val="both"/>
        <w:ind w:left="2060" w:right="839"/>
        <w:spacing w:after="0"/>
        <w:rPr>
          <w:sz w:val="20"/>
          <w:szCs w:val="20"/>
          <w:color w:val="auto"/>
        </w:rPr>
      </w:pPr>
      <w:r>
        <w:rPr>
          <w:rFonts w:ascii="Arial" w:cs="Arial" w:eastAsia="Arial" w:hAnsi="Arial"/>
          <w:sz w:val="11"/>
          <w:szCs w:val="11"/>
          <w:color w:val="050505"/>
        </w:rPr>
        <w:t>We review the developments in our contingencies that could affect the amount of the provisions that have been previously recorded, and the matters and related reasonably possible losses disclosed. We make adjustments to our provisions and changes to our disclosures accordingly to reflect the impact of negotiations, settlements, rulings, advice of legal counsel, and updated information. Significant judgment is required to determine both the probability and the estimated amount of loss. These estimates have been based on our assessment of the facts and circumstances at each balance sheet date and are subject to change based on new information and future events.</w:t>
      </w:r>
    </w:p>
    <w:p>
      <w:pPr>
        <w:spacing w:after="0" w:line="142" w:lineRule="exact"/>
        <w:rPr>
          <w:sz w:val="20"/>
          <w:szCs w:val="20"/>
          <w:color w:val="auto"/>
        </w:rPr>
      </w:pPr>
    </w:p>
    <w:p>
      <w:pPr>
        <w:jc w:val="both"/>
        <w:ind w:left="2060" w:right="839"/>
        <w:spacing w:after="0" w:line="242" w:lineRule="auto"/>
        <w:rPr>
          <w:sz w:val="20"/>
          <w:szCs w:val="20"/>
          <w:color w:val="auto"/>
        </w:rPr>
      </w:pPr>
      <w:r>
        <w:rPr>
          <w:rFonts w:ascii="Arial" w:cs="Arial" w:eastAsia="Arial" w:hAnsi="Arial"/>
          <w:sz w:val="11"/>
          <w:szCs w:val="11"/>
          <w:color w:val="050505"/>
        </w:rPr>
        <w:t>The outcome of litigation is inherently uncertain. Therefore, if one or more of these matters were resolved against us for amounts in excess of management’s expectations, our results of operations and financial condition, including in a particular reporting period in which any such outcome becomes probable and estimable, could be materially adversely affected.</w:t>
      </w:r>
    </w:p>
    <w:p>
      <w:pPr>
        <w:spacing w:after="0" w:line="128" w:lineRule="exact"/>
        <w:rPr>
          <w:sz w:val="20"/>
          <w:szCs w:val="20"/>
          <w:color w:val="auto"/>
        </w:rPr>
      </w:pPr>
    </w:p>
    <w:p>
      <w:pPr>
        <w:ind w:left="2060"/>
        <w:spacing w:after="0"/>
        <w:rPr>
          <w:sz w:val="20"/>
          <w:szCs w:val="20"/>
          <w:color w:val="auto"/>
        </w:rPr>
      </w:pPr>
      <w:r>
        <w:rPr>
          <w:rFonts w:ascii="Arial" w:cs="Arial" w:eastAsia="Arial" w:hAnsi="Arial"/>
          <w:sz w:val="11"/>
          <w:szCs w:val="11"/>
          <w:b w:val="1"/>
          <w:bCs w:val="1"/>
          <w:i w:val="1"/>
          <w:iCs w:val="1"/>
          <w:color w:val="auto"/>
        </w:rPr>
        <w:t>Recent Accounting Pronouncements</w:t>
      </w:r>
    </w:p>
    <w:p>
      <w:pPr>
        <w:spacing w:after="0" w:line="12" w:lineRule="exact"/>
        <w:rPr>
          <w:sz w:val="20"/>
          <w:szCs w:val="20"/>
          <w:color w:val="auto"/>
        </w:rPr>
      </w:pPr>
    </w:p>
    <w:p>
      <w:pPr>
        <w:jc w:val="both"/>
        <w:ind w:left="2060" w:right="839"/>
        <w:spacing w:after="0" w:line="242" w:lineRule="auto"/>
        <w:rPr>
          <w:sz w:val="20"/>
          <w:szCs w:val="20"/>
          <w:color w:val="auto"/>
        </w:rPr>
      </w:pPr>
      <w:r>
        <w:rPr>
          <w:rFonts w:ascii="Arial" w:cs="Arial" w:eastAsia="Arial" w:hAnsi="Arial"/>
          <w:sz w:val="11"/>
          <w:szCs w:val="11"/>
          <w:color w:val="050505"/>
        </w:rPr>
        <w:t>See Note 2, Summary of Significant Accounting Policies, of the notes to our consolidated financial statements included elsewhere in this prospectus for recently adopted accounting pronouncements and recently issued accounting pronouncements not yet adopted as of the dates of the statement of financial position included in this prospectus.</w:t>
      </w:r>
    </w:p>
    <w:p>
      <w:pPr>
        <w:spacing w:after="0" w:line="128" w:lineRule="exact"/>
        <w:rPr>
          <w:sz w:val="20"/>
          <w:szCs w:val="20"/>
          <w:color w:val="auto"/>
        </w:rPr>
      </w:pPr>
    </w:p>
    <w:p>
      <w:pPr>
        <w:ind w:left="2060"/>
        <w:spacing w:after="0"/>
        <w:rPr>
          <w:sz w:val="20"/>
          <w:szCs w:val="20"/>
          <w:color w:val="auto"/>
        </w:rPr>
      </w:pPr>
      <w:r>
        <w:rPr>
          <w:rFonts w:ascii="Arial" w:cs="Arial" w:eastAsia="Arial" w:hAnsi="Arial"/>
          <w:sz w:val="11"/>
          <w:szCs w:val="11"/>
          <w:b w:val="1"/>
          <w:bCs w:val="1"/>
          <w:u w:val="single" w:color="auto"/>
          <w:color w:val="auto"/>
        </w:rPr>
        <w:t>Internal Control Over Financial Reporting</w:t>
      </w:r>
    </w:p>
    <w:p>
      <w:pPr>
        <w:spacing w:after="0" w:line="12" w:lineRule="exact"/>
        <w:rPr>
          <w:sz w:val="20"/>
          <w:szCs w:val="20"/>
          <w:color w:val="auto"/>
        </w:rPr>
      </w:pPr>
    </w:p>
    <w:p>
      <w:pPr>
        <w:jc w:val="both"/>
        <w:ind w:left="2060" w:right="839"/>
        <w:spacing w:after="0"/>
        <w:rPr>
          <w:sz w:val="20"/>
          <w:szCs w:val="20"/>
          <w:color w:val="auto"/>
        </w:rPr>
      </w:pPr>
      <w:r>
        <w:rPr>
          <w:rFonts w:ascii="Arial" w:cs="Arial" w:eastAsia="Arial" w:hAnsi="Arial"/>
          <w:sz w:val="11"/>
          <w:szCs w:val="11"/>
          <w:color w:val="050505"/>
        </w:rPr>
        <w:t>In the course of preparing the financial statements that are included in this prospectus, our management has determined that we have material weaknesses in our internal control over financial reporting. These material weaknesses primarily pertained to IT general controls, controls to address segregation of certain accounting duties, timely reconciliation and analysis of certain key accounts and the review of journal entries. We have concluded that these material weaknesses in our internal control over financial reporting occurred because, prior to this offering, we were a private company and did not have the necessary business processes, systems, personnel and related internal controls necessary to satisfy the accounting and financial reporting requirements of a public company.</w:t>
      </w:r>
    </w:p>
    <w:p>
      <w:pPr>
        <w:spacing w:after="0" w:line="97" w:lineRule="exact"/>
        <w:rPr>
          <w:sz w:val="20"/>
          <w:szCs w:val="20"/>
          <w:color w:val="auto"/>
        </w:rPr>
      </w:pPr>
    </w:p>
    <w:p>
      <w:pPr>
        <w:ind w:left="5680"/>
        <w:spacing w:after="0"/>
        <w:rPr>
          <w:sz w:val="20"/>
          <w:szCs w:val="20"/>
          <w:color w:val="auto"/>
        </w:rPr>
      </w:pPr>
      <w:r>
        <w:rPr>
          <w:rFonts w:ascii="Arial" w:cs="Arial" w:eastAsia="Arial" w:hAnsi="Arial"/>
          <w:sz w:val="11"/>
          <w:szCs w:val="11"/>
          <w:color w:val="050505"/>
        </w:rPr>
        <w:t>90</w:t>
      </w:r>
    </w:p>
    <w:p>
      <w:pPr>
        <w:sectPr>
          <w:pgSz w:w="11900" w:h="16838" w:orient="portrait"/>
          <w:cols w:equalWidth="0" w:num="1">
            <w:col w:w="10239"/>
          </w:cols>
          <w:pgMar w:left="220" w:top="354" w:right="1440" w:bottom="1440" w:gutter="0" w:footer="0" w:header="0"/>
        </w:sectPr>
      </w:pPr>
    </w:p>
    <w:bookmarkStart w:id="95" w:name="page96"/>
    <w:bookmarkEnd w:id="95"/>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hyperlink w:anchor="page5">
        <w:r>
          <w:rPr>
            <w:rFonts w:ascii="Arial" w:cs="Arial" w:eastAsia="Arial" w:hAnsi="Arial"/>
            <w:sz w:val="12"/>
            <w:szCs w:val="12"/>
            <w:b w:val="1"/>
            <w:bCs w:val="1"/>
            <w:u w:val="single" w:color="auto"/>
            <w:color w:val="0000EE"/>
          </w:rPr>
          <w:t>Table of Contents</w:t>
        </w:r>
      </w:hyperlink>
    </w:p>
    <w:p>
      <w:pPr>
        <w:spacing w:after="0" w:line="216" w:lineRule="exact"/>
        <w:rPr>
          <w:sz w:val="20"/>
          <w:szCs w:val="20"/>
          <w:color w:val="auto"/>
        </w:rPr>
      </w:pPr>
    </w:p>
    <w:p>
      <w:pPr>
        <w:ind w:left="2060"/>
        <w:spacing w:after="0"/>
        <w:rPr>
          <w:sz w:val="20"/>
          <w:szCs w:val="20"/>
          <w:color w:val="auto"/>
        </w:rPr>
      </w:pPr>
      <w:r>
        <w:rPr>
          <w:rFonts w:ascii="Arial" w:cs="Arial" w:eastAsia="Arial" w:hAnsi="Arial"/>
          <w:sz w:val="11"/>
          <w:szCs w:val="11"/>
          <w:color w:val="050505"/>
        </w:rPr>
        <w:t>In order to remediate these material weaknesses, we have taken and plan to take the following actions:</w:t>
      </w:r>
    </w:p>
    <w:p>
      <w:pPr>
        <w:spacing w:after="0" w:line="162" w:lineRule="exact"/>
        <w:rPr>
          <w:sz w:val="20"/>
          <w:szCs w:val="20"/>
          <w:color w:val="auto"/>
        </w:rPr>
      </w:pPr>
    </w:p>
    <w:p>
      <w:pPr>
        <w:ind w:left="2420" w:hanging="217"/>
        <w:spacing w:after="0"/>
        <w:tabs>
          <w:tab w:leader="none" w:pos="2420" w:val="left"/>
        </w:tabs>
        <w:numPr>
          <w:ilvl w:val="0"/>
          <w:numId w:val="57"/>
        </w:numPr>
        <w:rPr>
          <w:rFonts w:ascii="Arial" w:cs="Arial" w:eastAsia="Arial" w:hAnsi="Arial"/>
          <w:sz w:val="11"/>
          <w:szCs w:val="11"/>
          <w:color w:val="F7323F"/>
        </w:rPr>
      </w:pPr>
      <w:r>
        <w:rPr>
          <w:rFonts w:ascii="Arial" w:cs="Arial" w:eastAsia="Arial" w:hAnsi="Arial"/>
          <w:sz w:val="11"/>
          <w:szCs w:val="11"/>
          <w:color w:val="050505"/>
        </w:rPr>
        <w:t>implementation of IT general controls to manage access and program changes within our IT environment;</w:t>
      </w:r>
    </w:p>
    <w:p>
      <w:pPr>
        <w:spacing w:after="0" w:line="44" w:lineRule="exact"/>
        <w:rPr>
          <w:rFonts w:ascii="Arial" w:cs="Arial" w:eastAsia="Arial" w:hAnsi="Arial"/>
          <w:sz w:val="11"/>
          <w:szCs w:val="11"/>
          <w:color w:val="F7323F"/>
        </w:rPr>
      </w:pPr>
    </w:p>
    <w:p>
      <w:pPr>
        <w:ind w:left="2420" w:hanging="217"/>
        <w:spacing w:after="0"/>
        <w:tabs>
          <w:tab w:leader="none" w:pos="2420" w:val="left"/>
        </w:tabs>
        <w:numPr>
          <w:ilvl w:val="0"/>
          <w:numId w:val="57"/>
        </w:numPr>
        <w:rPr>
          <w:rFonts w:ascii="Arial" w:cs="Arial" w:eastAsia="Arial" w:hAnsi="Arial"/>
          <w:sz w:val="11"/>
          <w:szCs w:val="11"/>
          <w:color w:val="F7323F"/>
        </w:rPr>
      </w:pPr>
      <w:r>
        <w:rPr>
          <w:rFonts w:ascii="Arial" w:cs="Arial" w:eastAsia="Arial" w:hAnsi="Arial"/>
          <w:sz w:val="11"/>
          <w:szCs w:val="11"/>
          <w:color w:val="050505"/>
        </w:rPr>
        <w:t>the hiring and continued hiring of additional accounting and finance resources with public company experience;</w:t>
      </w:r>
    </w:p>
    <w:p>
      <w:pPr>
        <w:spacing w:after="0" w:line="44" w:lineRule="exact"/>
        <w:rPr>
          <w:rFonts w:ascii="Arial" w:cs="Arial" w:eastAsia="Arial" w:hAnsi="Arial"/>
          <w:sz w:val="11"/>
          <w:szCs w:val="11"/>
          <w:color w:val="F7323F"/>
        </w:rPr>
      </w:pPr>
    </w:p>
    <w:p>
      <w:pPr>
        <w:ind w:left="2420" w:hanging="217"/>
        <w:spacing w:after="0"/>
        <w:tabs>
          <w:tab w:leader="none" w:pos="2420" w:val="left"/>
        </w:tabs>
        <w:numPr>
          <w:ilvl w:val="0"/>
          <w:numId w:val="57"/>
        </w:numPr>
        <w:rPr>
          <w:rFonts w:ascii="Arial" w:cs="Arial" w:eastAsia="Arial" w:hAnsi="Arial"/>
          <w:sz w:val="11"/>
          <w:szCs w:val="11"/>
          <w:color w:val="F7323F"/>
        </w:rPr>
      </w:pPr>
      <w:r>
        <w:rPr>
          <w:rFonts w:ascii="Arial" w:cs="Arial" w:eastAsia="Arial" w:hAnsi="Arial"/>
          <w:sz w:val="11"/>
          <w:szCs w:val="11"/>
          <w:color w:val="050505"/>
        </w:rPr>
        <w:t>implementation of additional review controls and processes and requiring timely account reconciliations and analyses; and</w:t>
      </w:r>
    </w:p>
    <w:p>
      <w:pPr>
        <w:spacing w:after="0" w:line="44" w:lineRule="exact"/>
        <w:rPr>
          <w:rFonts w:ascii="Arial" w:cs="Arial" w:eastAsia="Arial" w:hAnsi="Arial"/>
          <w:sz w:val="11"/>
          <w:szCs w:val="11"/>
          <w:color w:val="F7323F"/>
        </w:rPr>
      </w:pPr>
    </w:p>
    <w:p>
      <w:pPr>
        <w:ind w:left="2420" w:hanging="217"/>
        <w:spacing w:after="0"/>
        <w:tabs>
          <w:tab w:leader="none" w:pos="2420" w:val="left"/>
        </w:tabs>
        <w:numPr>
          <w:ilvl w:val="0"/>
          <w:numId w:val="57"/>
        </w:numPr>
        <w:rPr>
          <w:rFonts w:ascii="Arial" w:cs="Arial" w:eastAsia="Arial" w:hAnsi="Arial"/>
          <w:sz w:val="11"/>
          <w:szCs w:val="11"/>
          <w:color w:val="F7323F"/>
        </w:rPr>
      </w:pPr>
      <w:r>
        <w:rPr>
          <w:rFonts w:ascii="Arial" w:cs="Arial" w:eastAsia="Arial" w:hAnsi="Arial"/>
          <w:sz w:val="11"/>
          <w:szCs w:val="11"/>
          <w:color w:val="050505"/>
        </w:rPr>
        <w:t>implementation of processes and controls to better identify and manage segregation of duties risks.</w:t>
      </w:r>
    </w:p>
    <w:p>
      <w:pPr>
        <w:spacing w:after="0" w:line="144" w:lineRule="exact"/>
        <w:rPr>
          <w:sz w:val="20"/>
          <w:szCs w:val="20"/>
          <w:color w:val="auto"/>
        </w:rPr>
      </w:pPr>
    </w:p>
    <w:p>
      <w:pPr>
        <w:jc w:val="both"/>
        <w:ind w:left="2060" w:right="839"/>
        <w:spacing w:after="0"/>
        <w:rPr>
          <w:sz w:val="20"/>
          <w:szCs w:val="20"/>
          <w:color w:val="auto"/>
        </w:rPr>
      </w:pPr>
      <w:r>
        <w:rPr>
          <w:rFonts w:ascii="Arial" w:cs="Arial" w:eastAsia="Arial" w:hAnsi="Arial"/>
          <w:sz w:val="11"/>
          <w:szCs w:val="11"/>
          <w:color w:val="050505"/>
        </w:rPr>
        <w:t>In accordance with the provisions of the JOBS Act, we and our independent registered public accounting firm were not required to, and did not, perform an evaluation of our internal control over financial reporting as of June 30, 2019 nor any period subsequent in accordance with the provisions of the Sarbanes-Oxley Act. Accordingly, we cannot assure you that we have identified all, or that we will not in the future have additional, material weaknesses. Material weaknesses may still exist when we report on the effectiveness of our internal control over financial reporting as required under Section 404 of the Sarbanes-Oxley Act after the completion of this offering.</w:t>
      </w:r>
    </w:p>
    <w:p>
      <w:pPr>
        <w:spacing w:after="0" w:line="97" w:lineRule="exact"/>
        <w:rPr>
          <w:sz w:val="20"/>
          <w:szCs w:val="20"/>
          <w:color w:val="auto"/>
        </w:rPr>
      </w:pPr>
    </w:p>
    <w:p>
      <w:pPr>
        <w:ind w:left="5680"/>
        <w:spacing w:after="0"/>
        <w:rPr>
          <w:sz w:val="20"/>
          <w:szCs w:val="20"/>
          <w:color w:val="auto"/>
        </w:rPr>
      </w:pPr>
      <w:r>
        <w:rPr>
          <w:rFonts w:ascii="Arial" w:cs="Arial" w:eastAsia="Arial" w:hAnsi="Arial"/>
          <w:sz w:val="11"/>
          <w:szCs w:val="11"/>
          <w:color w:val="050505"/>
        </w:rPr>
        <w:t>91</w:t>
      </w:r>
    </w:p>
    <w:p>
      <w:pPr>
        <w:sectPr>
          <w:pgSz w:w="11900" w:h="16838" w:orient="portrait"/>
          <w:cols w:equalWidth="0" w:num="1">
            <w:col w:w="10239"/>
          </w:cols>
          <w:pgMar w:left="220" w:top="354" w:right="1440" w:bottom="1440" w:gutter="0" w:footer="0" w:header="0"/>
        </w:sectPr>
      </w:pPr>
    </w:p>
    <w:bookmarkStart w:id="96" w:name="page97"/>
    <w:bookmarkEnd w:id="96"/>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hyperlink w:anchor="page5">
        <w:r>
          <w:rPr>
            <w:rFonts w:ascii="Arial" w:cs="Arial" w:eastAsia="Arial" w:hAnsi="Arial"/>
            <w:sz w:val="12"/>
            <w:szCs w:val="12"/>
            <w:b w:val="1"/>
            <w:bCs w:val="1"/>
            <w:u w:val="single" w:color="auto"/>
            <w:color w:val="0000EE"/>
          </w:rPr>
          <w:t>Table of Contents</w:t>
        </w:r>
      </w:hyperlink>
    </w:p>
    <w:p>
      <w:pPr>
        <w:spacing w:after="0" w:line="200" w:lineRule="exact"/>
        <w:rPr>
          <w:sz w:val="20"/>
          <w:szCs w:val="20"/>
          <w:color w:val="auto"/>
        </w:rPr>
      </w:pPr>
    </w:p>
    <w:p>
      <w:pPr>
        <w:ind w:left="3500"/>
        <w:spacing w:after="0"/>
        <w:rPr>
          <w:sz w:val="20"/>
          <w:szCs w:val="20"/>
          <w:color w:val="auto"/>
        </w:rPr>
      </w:pPr>
      <w:r>
        <w:rPr>
          <w:rFonts w:ascii="Arial" w:cs="Arial" w:eastAsia="Arial" w:hAnsi="Arial"/>
          <w:sz w:val="12"/>
          <w:szCs w:val="12"/>
          <w:b w:val="1"/>
          <w:bCs w:val="1"/>
          <w:color w:val="auto"/>
        </w:rPr>
        <w:t>LETTER FROM JOHN FOLEY, CO-FOUNDER AND CHIEF EXECUTIVE OFFICER</w:t>
      </w:r>
    </w:p>
    <w:p>
      <w:pPr>
        <w:spacing w:after="0" w:line="157" w:lineRule="exact"/>
        <w:rPr>
          <w:sz w:val="20"/>
          <w:szCs w:val="20"/>
          <w:color w:val="auto"/>
        </w:rPr>
      </w:pPr>
    </w:p>
    <w:p>
      <w:pPr>
        <w:ind w:left="2060"/>
        <w:spacing w:after="0"/>
        <w:rPr>
          <w:sz w:val="20"/>
          <w:szCs w:val="20"/>
          <w:color w:val="auto"/>
        </w:rPr>
      </w:pPr>
      <w:r>
        <w:rPr>
          <w:rFonts w:ascii="Arial" w:cs="Arial" w:eastAsia="Arial" w:hAnsi="Arial"/>
          <w:sz w:val="11"/>
          <w:szCs w:val="11"/>
          <w:color w:val="050505"/>
        </w:rPr>
        <w:t>Dear Prospective Investors and Peloton Members,</w:t>
      </w:r>
    </w:p>
    <w:p>
      <w:pPr>
        <w:spacing w:after="0" w:line="144" w:lineRule="exact"/>
        <w:rPr>
          <w:sz w:val="20"/>
          <w:szCs w:val="20"/>
          <w:color w:val="auto"/>
        </w:rPr>
      </w:pPr>
    </w:p>
    <w:p>
      <w:pPr>
        <w:ind w:left="2060"/>
        <w:spacing w:after="0"/>
        <w:rPr>
          <w:sz w:val="20"/>
          <w:szCs w:val="20"/>
          <w:color w:val="auto"/>
        </w:rPr>
      </w:pPr>
      <w:r>
        <w:rPr>
          <w:rFonts w:ascii="Arial" w:cs="Arial" w:eastAsia="Arial" w:hAnsi="Arial"/>
          <w:sz w:val="11"/>
          <w:szCs w:val="11"/>
          <w:color w:val="050505"/>
        </w:rPr>
        <w:t>At Peloton, we believe that better is in all of us.</w:t>
      </w:r>
    </w:p>
    <w:p>
      <w:pPr>
        <w:spacing w:after="0" w:line="144" w:lineRule="exact"/>
        <w:rPr>
          <w:sz w:val="20"/>
          <w:szCs w:val="20"/>
          <w:color w:val="auto"/>
        </w:rPr>
      </w:pPr>
    </w:p>
    <w:p>
      <w:pPr>
        <w:jc w:val="both"/>
        <w:ind w:left="2060" w:right="839"/>
        <w:spacing w:after="0" w:line="217" w:lineRule="auto"/>
        <w:rPr>
          <w:sz w:val="20"/>
          <w:szCs w:val="20"/>
          <w:color w:val="auto"/>
        </w:rPr>
      </w:pPr>
      <w:r>
        <w:rPr>
          <w:rFonts w:ascii="Arial" w:cs="Arial" w:eastAsia="Arial" w:hAnsi="Arial"/>
          <w:sz w:val="11"/>
          <w:szCs w:val="11"/>
          <w:color w:val="050505"/>
        </w:rPr>
        <w:t>It is no secret that exercise makes us feel good. It’s simple science: exercising creates endorphins and endorphins make us happy. On the most basic level, Peloton sells happiness. But of course, we do so much more. Our connected fitness experiences make it easy for our Members to get engaging, social, and highly effective workouts with world-class instructors anytime, anywhere. As a result, our Members work out 80% more than non-Peloton Members.</w:t>
      </w:r>
      <w:r>
        <w:rPr>
          <w:rFonts w:ascii="Arial" w:cs="Arial" w:eastAsia="Arial" w:hAnsi="Arial"/>
          <w:sz w:val="18"/>
          <w:szCs w:val="18"/>
          <w:color w:val="050505"/>
          <w:vertAlign w:val="superscript"/>
        </w:rPr>
        <w:t>(1)</w:t>
      </w:r>
      <w:r>
        <w:rPr>
          <w:rFonts w:ascii="Arial" w:cs="Arial" w:eastAsia="Arial" w:hAnsi="Arial"/>
          <w:sz w:val="11"/>
          <w:szCs w:val="11"/>
          <w:color w:val="050505"/>
        </w:rPr>
        <w:t xml:space="preserve"> And while the health benefits of regular physical fitness are well documented, the Peloton experience transcends health benefits alone. The happiness our Members experience enables each individual to be a better version of themselves, so they go on to inspire others. And that leads us to Peloton’s mission: to better ourselves, inspire each other, and unite the world through fitness.</w:t>
      </w:r>
    </w:p>
    <w:p>
      <w:pPr>
        <w:spacing w:after="0" w:line="142" w:lineRule="exact"/>
        <w:rPr>
          <w:sz w:val="20"/>
          <w:szCs w:val="20"/>
          <w:color w:val="auto"/>
        </w:rPr>
      </w:pPr>
    </w:p>
    <w:p>
      <w:pPr>
        <w:jc w:val="both"/>
        <w:ind w:left="2060" w:right="839"/>
        <w:spacing w:after="0"/>
        <w:rPr>
          <w:sz w:val="20"/>
          <w:szCs w:val="20"/>
          <w:color w:val="auto"/>
        </w:rPr>
      </w:pPr>
      <w:r>
        <w:rPr>
          <w:rFonts w:ascii="Arial" w:cs="Arial" w:eastAsia="Arial" w:hAnsi="Arial"/>
          <w:sz w:val="11"/>
          <w:szCs w:val="11"/>
          <w:color w:val="050505"/>
        </w:rPr>
        <w:t>I founded Peloton in 2012 to solve a challenge in my own life. My wife, Jill, and I knew great fitness experiences made us feel like better versions of ourselves, but there were countless barriers to working out regularly. We loved going to boutique studio fitness classes like cycling, running, boot camp, and yoga. We were addicted to the fast-paced energy, the motivational instructors, the thoughtful programming, and the way exercising with a group pushed us harder. These classes left us feeling energized, refreshed, stronger, and ready to take on anything. However, with demanding jobs and two small children at home, just getting to the gym became harder and harder. Classes with our favorite instructors sold out quickly and were prohibitively expensive. We also had to accommodate someone else’s schedule at someone else’s location. And we were often left without time, without options, and without the feeling of “being our better selves” that we sought.</w:t>
      </w:r>
    </w:p>
    <w:p>
      <w:pPr>
        <w:spacing w:after="0" w:line="141" w:lineRule="exact"/>
        <w:rPr>
          <w:sz w:val="20"/>
          <w:szCs w:val="20"/>
          <w:color w:val="auto"/>
        </w:rPr>
      </w:pPr>
    </w:p>
    <w:p>
      <w:pPr>
        <w:jc w:val="both"/>
        <w:ind w:left="2060" w:right="839"/>
        <w:spacing w:after="0" w:line="242" w:lineRule="auto"/>
        <w:rPr>
          <w:sz w:val="20"/>
          <w:szCs w:val="20"/>
          <w:color w:val="auto"/>
        </w:rPr>
      </w:pPr>
      <w:r>
        <w:rPr>
          <w:rFonts w:ascii="Arial" w:cs="Arial" w:eastAsia="Arial" w:hAnsi="Arial"/>
          <w:sz w:val="11"/>
          <w:szCs w:val="11"/>
          <w:color w:val="050505"/>
        </w:rPr>
        <w:t>I figured that there must be a way to make these workouts more convenient, more affordable, and more accessible. There had to be a way to bring fantastic, high-energy, instructor-led group fitness into the home, to be experienced on my time, any time I wanted. And my hunch was that if I could make it possible, others would want it as well.</w:t>
      </w:r>
    </w:p>
    <w:p>
      <w:pPr>
        <w:spacing w:after="0" w:line="140" w:lineRule="exact"/>
        <w:rPr>
          <w:sz w:val="20"/>
          <w:szCs w:val="20"/>
          <w:color w:val="auto"/>
        </w:rPr>
      </w:pPr>
    </w:p>
    <w:p>
      <w:pPr>
        <w:jc w:val="both"/>
        <w:ind w:left="2060" w:right="839"/>
        <w:spacing w:after="0" w:line="242" w:lineRule="auto"/>
        <w:rPr>
          <w:sz w:val="20"/>
          <w:szCs w:val="20"/>
          <w:color w:val="auto"/>
        </w:rPr>
      </w:pPr>
      <w:r>
        <w:rPr>
          <w:rFonts w:ascii="Arial" w:cs="Arial" w:eastAsia="Arial" w:hAnsi="Arial"/>
          <w:sz w:val="11"/>
          <w:szCs w:val="11"/>
          <w:color w:val="050505"/>
        </w:rPr>
        <w:t>With that spark of an idea, I looked for brilliant, creative, empathetic, high-integrity partners who shared my ambition and weren’t afraid to tackle complicated business and technology challenges. I was lucky to have several friends who fit the bill in spades: Hisao Kushi, Tom Cortese, Graham Stanton, and Yony Feng. All of my co-founders are still thriving at Peloton, each in a senior role and each an even stronger friend.</w:t>
      </w:r>
    </w:p>
    <w:p>
      <w:pPr>
        <w:spacing w:after="0" w:line="140" w:lineRule="exact"/>
        <w:rPr>
          <w:sz w:val="20"/>
          <w:szCs w:val="20"/>
          <w:color w:val="auto"/>
        </w:rPr>
      </w:pPr>
    </w:p>
    <w:p>
      <w:pPr>
        <w:jc w:val="both"/>
        <w:ind w:left="2060" w:right="839"/>
        <w:spacing w:after="0"/>
        <w:rPr>
          <w:sz w:val="20"/>
          <w:szCs w:val="20"/>
          <w:color w:val="auto"/>
        </w:rPr>
      </w:pPr>
      <w:r>
        <w:rPr>
          <w:rFonts w:ascii="Arial" w:cs="Arial" w:eastAsia="Arial" w:hAnsi="Arial"/>
          <w:sz w:val="11"/>
          <w:szCs w:val="11"/>
          <w:color w:val="050505"/>
        </w:rPr>
        <w:t>To create Peloton, we needed to build what we believed to be the best indoor bike on the market, recruit the best instructors in the world, and engineer a state-of-the-art software platform to tie it all together. Against prevailing conventional wisdom, and despite countless investor conference rooms full of very smart skeptics, we were determined for Peloton to build a vertically integrated platform to deliver a seamless end-to-end experience as physically rewarding and addictive as attending a live, in-studio class. In Peloton’s infancy, our lean founding team operated from a one-room “headquarters” with heavy black curtains that cordoned off a makeshift cycling studio, equipped with a modest six bikes and a used camcorder. We problem-solved our way from streaming live cycling classes to one hundred Members, then to one thousand, and now to over a million Members worldwide. It took a proverbial village to build Peloton, and that once-small village has grown into the community that is now the heart of our brand.</w:t>
      </w:r>
    </w:p>
    <w:p>
      <w:pPr>
        <w:spacing w:after="0" w:line="141" w:lineRule="exact"/>
        <w:rPr>
          <w:sz w:val="20"/>
          <w:szCs w:val="20"/>
          <w:color w:val="auto"/>
        </w:rPr>
      </w:pPr>
    </w:p>
    <w:p>
      <w:pPr>
        <w:jc w:val="both"/>
        <w:ind w:left="2060" w:right="839"/>
        <w:spacing w:after="0"/>
        <w:rPr>
          <w:sz w:val="20"/>
          <w:szCs w:val="20"/>
          <w:color w:val="auto"/>
        </w:rPr>
      </w:pPr>
      <w:r>
        <w:rPr>
          <w:rFonts w:ascii="Arial" w:cs="Arial" w:eastAsia="Arial" w:hAnsi="Arial"/>
          <w:sz w:val="11"/>
          <w:szCs w:val="11"/>
          <w:color w:val="050505"/>
        </w:rPr>
        <w:t>From the very beginning, we have always put our Members first in everything we do, and they never cease to amaze us. Through connecting on the Peloton Bike, Tread, and Digital App, our Members have created one of the most supportive, optimistic, diverse, and inclusive communities in the world. Peloton Members are teachers, professional athletes, active military and veterans, healthcare providers, firefighters, policemen, famous actors and musicians, and even former Presidents. They are teenagers and senior citizens. From diverse life experiences, all gender identities and sexual orientations, countless nationalities and ethnicities. We are proud of our community of Members but even prouder of the way that they have united together in support of each other.</w:t>
      </w:r>
    </w:p>
    <w:p>
      <w:pPr>
        <w:spacing w:after="0" w:line="142" w:lineRule="exact"/>
        <w:rPr>
          <w:sz w:val="20"/>
          <w:szCs w:val="20"/>
          <w:color w:val="auto"/>
        </w:rPr>
      </w:pPr>
    </w:p>
    <w:p>
      <w:pPr>
        <w:jc w:val="both"/>
        <w:ind w:left="2060" w:right="839"/>
        <w:spacing w:after="0" w:line="242" w:lineRule="auto"/>
        <w:rPr>
          <w:sz w:val="20"/>
          <w:szCs w:val="20"/>
          <w:color w:val="auto"/>
        </w:rPr>
      </w:pPr>
      <w:r>
        <w:rPr>
          <w:rFonts w:ascii="Arial" w:cs="Arial" w:eastAsia="Arial" w:hAnsi="Arial"/>
          <w:sz w:val="11"/>
          <w:szCs w:val="11"/>
          <w:color w:val="050505"/>
        </w:rPr>
        <w:t>Every day, I receive personal emails from our Members. The most consistent message I receive: “Peloton has changed my life.” Astonishingly, four out of five Members were not in the market for fitness equipment before they bought the Bike. They were in the market for improving their lives, just as Jill and I were back in 2012 when we started this company and began this journey.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1310640</wp:posOffset>
            </wp:positionH>
            <wp:positionV relativeFrom="paragraph">
              <wp:posOffset>53340</wp:posOffset>
            </wp:positionV>
            <wp:extent cx="1212215" cy="571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1212215" cy="5715"/>
                    </a:xfrm>
                    <a:prstGeom prst="rect">
                      <a:avLst/>
                    </a:prstGeom>
                    <a:noFill/>
                  </pic:spPr>
                </pic:pic>
              </a:graphicData>
            </a:graphic>
          </wp:anchor>
        </w:drawing>
      </w:r>
    </w:p>
    <w:p>
      <w:pPr>
        <w:spacing w:after="0" w:line="89" w:lineRule="exact"/>
        <w:rPr>
          <w:sz w:val="20"/>
          <w:szCs w:val="20"/>
          <w:color w:val="auto"/>
        </w:rPr>
      </w:pPr>
    </w:p>
    <w:p>
      <w:pPr>
        <w:ind w:left="2200" w:hanging="141"/>
        <w:spacing w:after="0"/>
        <w:tabs>
          <w:tab w:leader="none" w:pos="2200" w:val="left"/>
        </w:tabs>
        <w:numPr>
          <w:ilvl w:val="0"/>
          <w:numId w:val="58"/>
        </w:numPr>
        <w:rPr>
          <w:rFonts w:ascii="Arial" w:cs="Arial" w:eastAsia="Arial" w:hAnsi="Arial"/>
          <w:sz w:val="7"/>
          <w:szCs w:val="7"/>
          <w:color w:val="050505"/>
        </w:rPr>
      </w:pPr>
      <w:r>
        <w:rPr>
          <w:rFonts w:ascii="Arial" w:cs="Arial" w:eastAsia="Arial" w:hAnsi="Arial"/>
          <w:sz w:val="8"/>
          <w:szCs w:val="8"/>
          <w:i w:val="1"/>
          <w:iCs w:val="1"/>
          <w:color w:val="050505"/>
        </w:rPr>
        <w:t>Source: April 2019 Survey to Members and Non-Members, N=500</w:t>
      </w:r>
    </w:p>
    <w:p>
      <w:pPr>
        <w:spacing w:after="0" w:line="110" w:lineRule="exact"/>
        <w:rPr>
          <w:sz w:val="20"/>
          <w:szCs w:val="20"/>
          <w:color w:val="auto"/>
        </w:rPr>
      </w:pPr>
    </w:p>
    <w:p>
      <w:pPr>
        <w:ind w:left="5680"/>
        <w:spacing w:after="0"/>
        <w:rPr>
          <w:sz w:val="20"/>
          <w:szCs w:val="20"/>
          <w:color w:val="auto"/>
        </w:rPr>
      </w:pPr>
      <w:r>
        <w:rPr>
          <w:rFonts w:ascii="Arial" w:cs="Arial" w:eastAsia="Arial" w:hAnsi="Arial"/>
          <w:sz w:val="11"/>
          <w:szCs w:val="11"/>
          <w:color w:val="050505"/>
        </w:rPr>
        <w:t>92</w:t>
      </w:r>
    </w:p>
    <w:p>
      <w:pPr>
        <w:sectPr>
          <w:pgSz w:w="11900" w:h="16838" w:orient="portrait"/>
          <w:cols w:equalWidth="0" w:num="1">
            <w:col w:w="10239"/>
          </w:cols>
          <w:pgMar w:left="220" w:top="354" w:right="1440" w:bottom="1440" w:gutter="0" w:footer="0" w:header="0"/>
        </w:sectPr>
      </w:pPr>
    </w:p>
    <w:bookmarkStart w:id="97" w:name="page98"/>
    <w:bookmarkEnd w:id="97"/>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hyperlink w:anchor="page5">
        <w:r>
          <w:rPr>
            <w:rFonts w:ascii="Arial" w:cs="Arial" w:eastAsia="Arial" w:hAnsi="Arial"/>
            <w:sz w:val="12"/>
            <w:szCs w:val="12"/>
            <w:b w:val="1"/>
            <w:bCs w:val="1"/>
            <w:u w:val="single" w:color="auto"/>
            <w:color w:val="0000EE"/>
          </w:rPr>
          <w:t>Table of Contents</w:t>
        </w:r>
      </w:hyperlink>
    </w:p>
    <w:p>
      <w:pPr>
        <w:spacing w:after="0" w:line="216" w:lineRule="exact"/>
        <w:rPr>
          <w:sz w:val="20"/>
          <w:szCs w:val="20"/>
          <w:color w:val="auto"/>
        </w:rPr>
      </w:pPr>
    </w:p>
    <w:p>
      <w:pPr>
        <w:jc w:val="both"/>
        <w:ind w:left="2060" w:right="839"/>
        <w:spacing w:after="0" w:line="273" w:lineRule="auto"/>
        <w:rPr>
          <w:sz w:val="20"/>
          <w:szCs w:val="20"/>
          <w:color w:val="auto"/>
        </w:rPr>
      </w:pPr>
      <w:r>
        <w:rPr>
          <w:rFonts w:ascii="Arial" w:cs="Arial" w:eastAsia="Arial" w:hAnsi="Arial"/>
          <w:sz w:val="10"/>
          <w:szCs w:val="10"/>
          <w:color w:val="050505"/>
        </w:rPr>
        <w:t>Seven years later, it is very clear to me that we have an immense opportunity in front of us at Peloton. Peloton is so much more than a Bike — we believe we have the opportunity to create one of the most innovative global technology platforms of our time. It is an opportunity to create one of the most important and influential interactive media companies in the world; a media company that changes lives, inspires greatness, and unites people. And it is an opportunity to create one of the best places to work in the cities where we operate — we prioritize culture as much as any other business objective.</w:t>
      </w:r>
    </w:p>
    <w:p>
      <w:pPr>
        <w:spacing w:after="0" w:line="125" w:lineRule="exact"/>
        <w:rPr>
          <w:sz w:val="20"/>
          <w:szCs w:val="20"/>
          <w:color w:val="auto"/>
        </w:rPr>
      </w:pPr>
    </w:p>
    <w:p>
      <w:pPr>
        <w:jc w:val="both"/>
        <w:ind w:left="2060" w:right="839"/>
        <w:spacing w:after="0" w:line="242" w:lineRule="auto"/>
        <w:rPr>
          <w:sz w:val="20"/>
          <w:szCs w:val="20"/>
          <w:color w:val="auto"/>
        </w:rPr>
      </w:pPr>
      <w:r>
        <w:rPr>
          <w:rFonts w:ascii="Arial" w:cs="Arial" w:eastAsia="Arial" w:hAnsi="Arial"/>
          <w:sz w:val="11"/>
          <w:szCs w:val="11"/>
          <w:color w:val="050505"/>
        </w:rPr>
        <w:t>And to be sure, we are not taking these opportunities lightly. William Lynch, our President; Jill Woodworth, our Chief Financial Officer; Kevin Cornils, our Managing Director of International; my co-founders; and our extended senior leadership team: all of us feel an immense responsibility to deliver on these opportunities, and we are ready. We have worked our entire careers for this very moment.</w:t>
      </w:r>
    </w:p>
    <w:p>
      <w:pPr>
        <w:spacing w:after="0" w:line="140" w:lineRule="exact"/>
        <w:rPr>
          <w:sz w:val="20"/>
          <w:szCs w:val="20"/>
          <w:color w:val="auto"/>
        </w:rPr>
      </w:pPr>
    </w:p>
    <w:p>
      <w:pPr>
        <w:jc w:val="both"/>
        <w:ind w:left="2060" w:right="839"/>
        <w:spacing w:after="0" w:line="245" w:lineRule="auto"/>
        <w:rPr>
          <w:sz w:val="20"/>
          <w:szCs w:val="20"/>
          <w:color w:val="auto"/>
        </w:rPr>
      </w:pPr>
      <w:r>
        <w:rPr>
          <w:rFonts w:ascii="Arial" w:cs="Arial" w:eastAsia="Arial" w:hAnsi="Arial"/>
          <w:sz w:val="11"/>
          <w:szCs w:val="11"/>
          <w:color w:val="050505"/>
        </w:rPr>
        <w:t>Speaking for the entire Peloton team, we are incredibly grateful for all of our Members from all different backgrounds who love Peloton and have welcomed us into their lives over the past several years. We are truly humbled by your passion for our shared mission.</w:t>
      </w:r>
    </w:p>
    <w:p>
      <w:pPr>
        <w:spacing w:after="0" w:line="138" w:lineRule="exact"/>
        <w:rPr>
          <w:sz w:val="20"/>
          <w:szCs w:val="20"/>
          <w:color w:val="auto"/>
        </w:rPr>
      </w:pPr>
    </w:p>
    <w:p>
      <w:pPr>
        <w:ind w:left="2060"/>
        <w:spacing w:after="0"/>
        <w:rPr>
          <w:sz w:val="20"/>
          <w:szCs w:val="20"/>
          <w:color w:val="auto"/>
        </w:rPr>
      </w:pPr>
      <w:r>
        <w:rPr>
          <w:rFonts w:ascii="Arial" w:cs="Arial" w:eastAsia="Arial" w:hAnsi="Arial"/>
          <w:sz w:val="11"/>
          <w:szCs w:val="11"/>
          <w:color w:val="050505"/>
        </w:rPr>
        <w:t>Today, however, we look forward. At this important moment in our journey, I am honored to invite you to join Peloton.</w:t>
      </w:r>
    </w:p>
    <w:p>
      <w:pPr>
        <w:spacing w:after="0" w:line="144" w:lineRule="exact"/>
        <w:rPr>
          <w:sz w:val="20"/>
          <w:szCs w:val="20"/>
          <w:color w:val="auto"/>
        </w:rPr>
      </w:pPr>
    </w:p>
    <w:p>
      <w:pPr>
        <w:ind w:left="2060"/>
        <w:spacing w:after="0"/>
        <w:rPr>
          <w:sz w:val="20"/>
          <w:szCs w:val="20"/>
          <w:color w:val="auto"/>
        </w:rPr>
      </w:pPr>
      <w:r>
        <w:rPr>
          <w:rFonts w:ascii="Arial" w:cs="Arial" w:eastAsia="Arial" w:hAnsi="Arial"/>
          <w:sz w:val="11"/>
          <w:szCs w:val="11"/>
          <w:color w:val="050505"/>
        </w:rPr>
        <w:t>With gratitude,</w:t>
      </w:r>
    </w:p>
    <w:p>
      <w:pPr>
        <w:spacing w:after="0" w:line="143" w:lineRule="exact"/>
        <w:rPr>
          <w:sz w:val="20"/>
          <w:szCs w:val="20"/>
          <w:color w:val="auto"/>
        </w:rPr>
      </w:pPr>
    </w:p>
    <w:p>
      <w:pPr>
        <w:ind w:left="2060"/>
        <w:spacing w:after="0"/>
        <w:rPr>
          <w:sz w:val="20"/>
          <w:szCs w:val="20"/>
          <w:color w:val="auto"/>
        </w:rPr>
      </w:pPr>
      <w:r>
        <w:rPr>
          <w:rFonts w:ascii="Arial" w:cs="Arial" w:eastAsia="Arial" w:hAnsi="Arial"/>
          <w:sz w:val="11"/>
          <w:szCs w:val="11"/>
          <w:color w:val="auto"/>
        </w:rPr>
        <w:t>John Foley</w:t>
      </w:r>
    </w:p>
    <w:p>
      <w:pPr>
        <w:ind w:left="2060"/>
        <w:spacing w:after="0"/>
        <w:rPr>
          <w:sz w:val="20"/>
          <w:szCs w:val="20"/>
          <w:color w:val="auto"/>
        </w:rPr>
      </w:pPr>
      <w:r>
        <w:rPr>
          <w:rFonts w:ascii="Arial" w:cs="Arial" w:eastAsia="Arial" w:hAnsi="Arial"/>
          <w:sz w:val="11"/>
          <w:szCs w:val="11"/>
          <w:color w:val="auto"/>
        </w:rPr>
        <w:t>Founder and CEO</w:t>
      </w:r>
    </w:p>
    <w:p>
      <w:pPr>
        <w:spacing w:after="0" w:line="99" w:lineRule="exact"/>
        <w:rPr>
          <w:sz w:val="20"/>
          <w:szCs w:val="20"/>
          <w:color w:val="auto"/>
        </w:rPr>
      </w:pPr>
    </w:p>
    <w:p>
      <w:pPr>
        <w:ind w:left="5680"/>
        <w:spacing w:after="0"/>
        <w:rPr>
          <w:sz w:val="20"/>
          <w:szCs w:val="20"/>
          <w:color w:val="auto"/>
        </w:rPr>
      </w:pPr>
      <w:r>
        <w:rPr>
          <w:rFonts w:ascii="Arial" w:cs="Arial" w:eastAsia="Arial" w:hAnsi="Arial"/>
          <w:sz w:val="11"/>
          <w:szCs w:val="11"/>
          <w:color w:val="050505"/>
        </w:rPr>
        <w:t>93</w:t>
      </w:r>
    </w:p>
    <w:p>
      <w:pPr>
        <w:sectPr>
          <w:pgSz w:w="11900" w:h="16838" w:orient="portrait"/>
          <w:cols w:equalWidth="0" w:num="1">
            <w:col w:w="10239"/>
          </w:cols>
          <w:pgMar w:left="220" w:top="354" w:right="1440" w:bottom="1440" w:gutter="0" w:footer="0" w:header="0"/>
        </w:sectPr>
      </w:pPr>
    </w:p>
    <w:bookmarkStart w:id="98" w:name="page99"/>
    <w:bookmarkEnd w:id="98"/>
    <w:p>
      <w:pPr>
        <w:spacing w:after="0"/>
        <w:rPr>
          <w:rFonts w:ascii="Arial" w:cs="Arial" w:eastAsia="Arial" w:hAnsi="Arial"/>
          <w:sz w:val="10"/>
          <w:szCs w:val="10"/>
          <w:b w:val="1"/>
          <w:bCs w:val="1"/>
          <w:u w:val="single" w:color="auto"/>
          <w:color w:val="0000EE"/>
        </w:rPr>
      </w:pPr>
      <w:r>
        <w:rPr>
          <w:rFonts w:ascii="Arial" w:cs="Arial" w:eastAsia="Arial" w:hAnsi="Arial"/>
          <w:sz w:val="10"/>
          <w:szCs w:val="10"/>
          <w:b w:val="1"/>
          <w:bCs w:val="1"/>
          <w:u w:val="single" w:color="auto"/>
          <w:color w:val="0000EE"/>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hyperlink w:anchor="page5">
        <w:r>
          <w:rPr>
            <w:rFonts w:ascii="Arial" w:cs="Arial" w:eastAsia="Arial" w:hAnsi="Arial"/>
            <w:sz w:val="10"/>
            <w:szCs w:val="10"/>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1379220</wp:posOffset>
            </wp:positionH>
            <wp:positionV relativeFrom="paragraph">
              <wp:posOffset>151130</wp:posOffset>
            </wp:positionV>
            <wp:extent cx="4530090" cy="590232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4530090" cy="5902325"/>
                    </a:xfrm>
                    <a:prstGeom prst="rect">
                      <a:avLst/>
                    </a:prstGeom>
                    <a:noFill/>
                  </pic:spPr>
                </pic:pic>
              </a:graphicData>
            </a:graphic>
          </wp:anchor>
        </w:drawing>
      </w:r>
    </w:p>
    <w:p>
      <w:pPr>
        <w:sectPr>
          <w:pgSz w:w="11900" w:h="16838" w:orient="portrait"/>
          <w:cols w:equalWidth="0" w:num="1">
            <w:col w:w="10239"/>
          </w:cols>
          <w:pgMar w:left="220" w:top="354" w:right="1440" w:bottom="1440" w:gutter="0" w:footer="0" w:header="0"/>
        </w:sectPr>
      </w:pPr>
    </w:p>
    <w:bookmarkStart w:id="99" w:name="page100"/>
    <w:bookmarkEnd w:id="99"/>
    <w:p>
      <w:pPr>
        <w:spacing w:after="0"/>
        <w:rPr>
          <w:rFonts w:ascii="Arial" w:cs="Arial" w:eastAsia="Arial" w:hAnsi="Arial"/>
          <w:sz w:val="10"/>
          <w:szCs w:val="10"/>
          <w:b w:val="1"/>
          <w:bCs w:val="1"/>
          <w:u w:val="single" w:color="auto"/>
          <w:color w:val="0000EE"/>
        </w:rPr>
      </w:pPr>
      <w:r>
        <w:rPr>
          <w:rFonts w:ascii="Arial" w:cs="Arial" w:eastAsia="Arial" w:hAnsi="Arial"/>
          <w:sz w:val="10"/>
          <w:szCs w:val="10"/>
          <w:b w:val="1"/>
          <w:bCs w:val="1"/>
          <w:u w:val="single" w:color="auto"/>
          <w:color w:val="0000EE"/>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hyperlink w:anchor="page5">
        <w:r>
          <w:rPr>
            <w:rFonts w:ascii="Arial" w:cs="Arial" w:eastAsia="Arial" w:hAnsi="Arial"/>
            <w:sz w:val="10"/>
            <w:szCs w:val="10"/>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246380</wp:posOffset>
            </wp:positionH>
            <wp:positionV relativeFrom="paragraph">
              <wp:posOffset>151130</wp:posOffset>
            </wp:positionV>
            <wp:extent cx="6794500" cy="442658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794500" cy="4426585"/>
                    </a:xfrm>
                    <a:prstGeom prst="rect">
                      <a:avLst/>
                    </a:prstGeom>
                    <a:noFill/>
                  </pic:spPr>
                </pic:pic>
              </a:graphicData>
            </a:graphic>
          </wp:anchor>
        </w:drawing>
      </w:r>
    </w:p>
    <w:p>
      <w:pPr>
        <w:sectPr>
          <w:pgSz w:w="11900" w:h="16838" w:orient="portrait"/>
          <w:cols w:equalWidth="0" w:num="1">
            <w:col w:w="10239"/>
          </w:cols>
          <w:pgMar w:left="220" w:top="354" w:right="1440" w:bottom="1440" w:gutter="0" w:footer="0" w:header="0"/>
        </w:sectPr>
      </w:pPr>
    </w:p>
    <w:bookmarkStart w:id="100" w:name="page101"/>
    <w:bookmarkEnd w:id="100"/>
    <w:p>
      <w:pPr>
        <w:spacing w:after="0"/>
        <w:rPr>
          <w:rFonts w:ascii="Arial" w:cs="Arial" w:eastAsia="Arial" w:hAnsi="Arial"/>
          <w:sz w:val="10"/>
          <w:szCs w:val="10"/>
          <w:b w:val="1"/>
          <w:bCs w:val="1"/>
          <w:u w:val="single" w:color="auto"/>
          <w:color w:val="0000EE"/>
        </w:rPr>
      </w:pPr>
      <w:r>
        <w:rPr>
          <w:rFonts w:ascii="Arial" w:cs="Arial" w:eastAsia="Arial" w:hAnsi="Arial"/>
          <w:sz w:val="10"/>
          <w:szCs w:val="10"/>
          <w:b w:val="1"/>
          <w:bCs w:val="1"/>
          <w:u w:val="single" w:color="auto"/>
          <w:color w:val="0000EE"/>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hyperlink w:anchor="page5">
        <w:r>
          <w:rPr>
            <w:rFonts w:ascii="Arial" w:cs="Arial" w:eastAsia="Arial" w:hAnsi="Arial"/>
            <w:sz w:val="10"/>
            <w:szCs w:val="10"/>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246380</wp:posOffset>
            </wp:positionH>
            <wp:positionV relativeFrom="paragraph">
              <wp:posOffset>151130</wp:posOffset>
            </wp:positionV>
            <wp:extent cx="6794500" cy="442658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794500" cy="4426585"/>
                    </a:xfrm>
                    <a:prstGeom prst="rect">
                      <a:avLst/>
                    </a:prstGeom>
                    <a:noFill/>
                  </pic:spPr>
                </pic:pic>
              </a:graphicData>
            </a:graphic>
          </wp:anchor>
        </w:drawing>
      </w:r>
    </w:p>
    <w:p>
      <w:pPr>
        <w:sectPr>
          <w:pgSz w:w="11900" w:h="16838" w:orient="portrait"/>
          <w:cols w:equalWidth="0" w:num="1">
            <w:col w:w="10239"/>
          </w:cols>
          <w:pgMar w:left="220" w:top="354" w:right="1440" w:bottom="1440" w:gutter="0" w:footer="0" w:header="0"/>
        </w:sectPr>
      </w:pPr>
    </w:p>
    <w:bookmarkStart w:id="101" w:name="page102"/>
    <w:bookmarkEnd w:id="101"/>
    <w:p>
      <w:pPr>
        <w:spacing w:after="0"/>
        <w:rPr>
          <w:rFonts w:ascii="Arial" w:cs="Arial" w:eastAsia="Arial" w:hAnsi="Arial"/>
          <w:sz w:val="10"/>
          <w:szCs w:val="10"/>
          <w:b w:val="1"/>
          <w:bCs w:val="1"/>
          <w:u w:val="single" w:color="auto"/>
          <w:color w:val="0000EE"/>
        </w:rPr>
      </w:pPr>
      <w:r>
        <w:rPr>
          <w:rFonts w:ascii="Arial" w:cs="Arial" w:eastAsia="Arial" w:hAnsi="Arial"/>
          <w:sz w:val="10"/>
          <w:szCs w:val="10"/>
          <w:b w:val="1"/>
          <w:bCs w:val="1"/>
          <w:u w:val="single" w:color="auto"/>
          <w:color w:val="0000EE"/>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hyperlink w:anchor="page5">
        <w:r>
          <w:rPr>
            <w:rFonts w:ascii="Arial" w:cs="Arial" w:eastAsia="Arial" w:hAnsi="Arial"/>
            <w:sz w:val="10"/>
            <w:szCs w:val="10"/>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246380</wp:posOffset>
            </wp:positionH>
            <wp:positionV relativeFrom="paragraph">
              <wp:posOffset>151130</wp:posOffset>
            </wp:positionV>
            <wp:extent cx="6794500" cy="442658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794500" cy="4426585"/>
                    </a:xfrm>
                    <a:prstGeom prst="rect">
                      <a:avLst/>
                    </a:prstGeom>
                    <a:noFill/>
                  </pic:spPr>
                </pic:pic>
              </a:graphicData>
            </a:graphic>
          </wp:anchor>
        </w:drawing>
      </w:r>
    </w:p>
    <w:p>
      <w:pPr>
        <w:sectPr>
          <w:pgSz w:w="11900" w:h="16838" w:orient="portrait"/>
          <w:cols w:equalWidth="0" w:num="1">
            <w:col w:w="10239"/>
          </w:cols>
          <w:pgMar w:left="220" w:top="354" w:right="1440" w:bottom="1440" w:gutter="0" w:footer="0" w:header="0"/>
        </w:sectPr>
      </w:pPr>
    </w:p>
    <w:bookmarkStart w:id="102" w:name="page103"/>
    <w:bookmarkEnd w:id="102"/>
    <w:p>
      <w:pPr>
        <w:spacing w:after="0"/>
        <w:rPr>
          <w:rFonts w:ascii="Arial" w:cs="Arial" w:eastAsia="Arial" w:hAnsi="Arial"/>
          <w:sz w:val="10"/>
          <w:szCs w:val="10"/>
          <w:b w:val="1"/>
          <w:bCs w:val="1"/>
          <w:u w:val="single" w:color="auto"/>
          <w:color w:val="0000EE"/>
        </w:rPr>
      </w:pPr>
      <w:r>
        <w:rPr>
          <w:rFonts w:ascii="Arial" w:cs="Arial" w:eastAsia="Arial" w:hAnsi="Arial"/>
          <w:sz w:val="10"/>
          <w:szCs w:val="10"/>
          <w:b w:val="1"/>
          <w:bCs w:val="1"/>
          <w:u w:val="single" w:color="auto"/>
          <w:color w:val="0000EE"/>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hyperlink w:anchor="page5">
        <w:r>
          <w:rPr>
            <w:rFonts w:ascii="Arial" w:cs="Arial" w:eastAsia="Arial" w:hAnsi="Arial"/>
            <w:sz w:val="10"/>
            <w:szCs w:val="10"/>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1379220</wp:posOffset>
            </wp:positionH>
            <wp:positionV relativeFrom="paragraph">
              <wp:posOffset>151130</wp:posOffset>
            </wp:positionV>
            <wp:extent cx="4530090" cy="590232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4530090" cy="5902325"/>
                    </a:xfrm>
                    <a:prstGeom prst="rect">
                      <a:avLst/>
                    </a:prstGeom>
                    <a:noFill/>
                  </pic:spPr>
                </pic:pic>
              </a:graphicData>
            </a:graphic>
          </wp:anchor>
        </w:drawing>
      </w:r>
    </w:p>
    <w:p>
      <w:pPr>
        <w:sectPr>
          <w:pgSz w:w="11900" w:h="16838" w:orient="portrait"/>
          <w:cols w:equalWidth="0" w:num="1">
            <w:col w:w="10239"/>
          </w:cols>
          <w:pgMar w:left="220" w:top="354" w:right="1440" w:bottom="1440" w:gutter="0" w:footer="0" w:header="0"/>
        </w:sectPr>
      </w:pPr>
    </w:p>
    <w:bookmarkStart w:id="103" w:name="page104"/>
    <w:bookmarkEnd w:id="103"/>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hyperlink w:anchor="page5">
        <w:r>
          <w:rPr>
            <w:rFonts w:ascii="Arial" w:cs="Arial" w:eastAsia="Arial" w:hAnsi="Arial"/>
            <w:sz w:val="12"/>
            <w:szCs w:val="12"/>
            <w:b w:val="1"/>
            <w:bCs w:val="1"/>
            <w:u w:val="single" w:color="auto"/>
            <w:color w:val="0000EE"/>
          </w:rPr>
          <w:t>Table of Contents</w:t>
        </w:r>
      </w:hyperlink>
    </w:p>
    <w:p>
      <w:pPr>
        <w:spacing w:after="0" w:line="200" w:lineRule="exact"/>
        <w:rPr>
          <w:sz w:val="20"/>
          <w:szCs w:val="20"/>
          <w:color w:val="auto"/>
        </w:rPr>
      </w:pPr>
    </w:p>
    <w:p>
      <w:pPr>
        <w:ind w:left="5420"/>
        <w:spacing w:after="0"/>
        <w:rPr>
          <w:sz w:val="20"/>
          <w:szCs w:val="20"/>
          <w:color w:val="auto"/>
        </w:rPr>
      </w:pPr>
      <w:r>
        <w:rPr>
          <w:rFonts w:ascii="Arial" w:cs="Arial" w:eastAsia="Arial" w:hAnsi="Arial"/>
          <w:sz w:val="12"/>
          <w:szCs w:val="12"/>
          <w:b w:val="1"/>
          <w:bCs w:val="1"/>
          <w:color w:val="auto"/>
        </w:rPr>
        <w:t>BUSINESS</w:t>
      </w:r>
    </w:p>
    <w:p>
      <w:pPr>
        <w:spacing w:after="0" w:line="145" w:lineRule="exact"/>
        <w:rPr>
          <w:sz w:val="20"/>
          <w:szCs w:val="20"/>
          <w:color w:val="auto"/>
        </w:rPr>
      </w:pPr>
    </w:p>
    <w:p>
      <w:pPr>
        <w:ind w:left="2060"/>
        <w:spacing w:after="0"/>
        <w:rPr>
          <w:sz w:val="20"/>
          <w:szCs w:val="20"/>
          <w:color w:val="auto"/>
        </w:rPr>
      </w:pPr>
      <w:r>
        <w:rPr>
          <w:rFonts w:ascii="Arial" w:cs="Arial" w:eastAsia="Arial" w:hAnsi="Arial"/>
          <w:sz w:val="11"/>
          <w:szCs w:val="11"/>
          <w:b w:val="1"/>
          <w:bCs w:val="1"/>
          <w:u w:val="single" w:color="auto"/>
          <w:color w:val="auto"/>
        </w:rPr>
        <w:t>Our Purpose</w:t>
      </w:r>
    </w:p>
    <w:p>
      <w:pPr>
        <w:spacing w:after="0" w:line="12" w:lineRule="exact"/>
        <w:rPr>
          <w:sz w:val="20"/>
          <w:szCs w:val="20"/>
          <w:color w:val="auto"/>
        </w:rPr>
      </w:pPr>
    </w:p>
    <w:p>
      <w:pPr>
        <w:ind w:left="2060"/>
        <w:spacing w:after="0"/>
        <w:rPr>
          <w:sz w:val="20"/>
          <w:szCs w:val="20"/>
          <w:color w:val="auto"/>
        </w:rPr>
      </w:pPr>
      <w:r>
        <w:rPr>
          <w:rFonts w:ascii="Arial" w:cs="Arial" w:eastAsia="Arial" w:hAnsi="Arial"/>
          <w:sz w:val="11"/>
          <w:szCs w:val="11"/>
          <w:color w:val="050505"/>
        </w:rPr>
        <w:t>We believe physical activity is fundamental to a healthy and happy life. Our ambition is to empower people to improve their lives through fitness.</w:t>
      </w:r>
    </w:p>
    <w:p>
      <w:pPr>
        <w:spacing w:after="0" w:line="144" w:lineRule="exact"/>
        <w:rPr>
          <w:sz w:val="20"/>
          <w:szCs w:val="20"/>
          <w:color w:val="auto"/>
        </w:rPr>
      </w:pPr>
    </w:p>
    <w:p>
      <w:pPr>
        <w:jc w:val="both"/>
        <w:ind w:left="2060" w:right="839"/>
        <w:spacing w:after="0" w:line="245" w:lineRule="auto"/>
        <w:rPr>
          <w:sz w:val="20"/>
          <w:szCs w:val="20"/>
          <w:color w:val="auto"/>
        </w:rPr>
      </w:pPr>
      <w:r>
        <w:rPr>
          <w:rFonts w:ascii="Arial" w:cs="Arial" w:eastAsia="Arial" w:hAnsi="Arial"/>
          <w:sz w:val="11"/>
          <w:szCs w:val="11"/>
          <w:color w:val="050505"/>
        </w:rPr>
        <w:t>We are a technology company that meshes the physical and digital worlds to create a completely new, immersive, and connected fitness experience. We are also:</w:t>
      </w:r>
    </w:p>
    <w:p>
      <w:pPr>
        <w:spacing w:after="0" w:line="138" w:lineRule="exact"/>
        <w:rPr>
          <w:sz w:val="20"/>
          <w:szCs w:val="20"/>
          <w:color w:val="auto"/>
        </w:rPr>
      </w:pPr>
    </w:p>
    <w:p>
      <w:pPr>
        <w:ind w:left="2360"/>
        <w:spacing w:after="0"/>
        <w:rPr>
          <w:sz w:val="20"/>
          <w:szCs w:val="20"/>
          <w:color w:val="auto"/>
        </w:rPr>
      </w:pPr>
      <w:r>
        <w:rPr>
          <w:rFonts w:ascii="Arial" w:cs="Arial" w:eastAsia="Arial" w:hAnsi="Arial"/>
          <w:sz w:val="11"/>
          <w:szCs w:val="11"/>
          <w:color w:val="050505"/>
        </w:rPr>
        <w:t xml:space="preserve">…a media company that creates engaging-to-the-point-of-addictive </w:t>
      </w:r>
      <w:r>
        <w:rPr>
          <w:rFonts w:ascii="Arial" w:cs="Arial" w:eastAsia="Arial" w:hAnsi="Arial"/>
          <w:sz w:val="11"/>
          <w:szCs w:val="11"/>
          <w:color w:val="000000"/>
        </w:rPr>
        <w:t>original programming with the best instructors in the world.</w:t>
      </w:r>
    </w:p>
    <w:p>
      <w:pPr>
        <w:spacing w:after="0" w:line="144" w:lineRule="exact"/>
        <w:rPr>
          <w:sz w:val="20"/>
          <w:szCs w:val="20"/>
          <w:color w:val="auto"/>
        </w:rPr>
      </w:pPr>
    </w:p>
    <w:p>
      <w:pPr>
        <w:ind w:left="2360"/>
        <w:spacing w:after="0"/>
        <w:rPr>
          <w:sz w:val="20"/>
          <w:szCs w:val="20"/>
          <w:color w:val="auto"/>
        </w:rPr>
      </w:pPr>
      <w:r>
        <w:rPr>
          <w:rFonts w:ascii="Arial" w:cs="Arial" w:eastAsia="Arial" w:hAnsi="Arial"/>
          <w:sz w:val="11"/>
          <w:szCs w:val="11"/>
          <w:color w:val="050505"/>
        </w:rPr>
        <w:t>…an interactive software company that motivates our Members to achieve their goals.</w:t>
      </w:r>
    </w:p>
    <w:p>
      <w:pPr>
        <w:spacing w:after="0" w:line="144" w:lineRule="exact"/>
        <w:rPr>
          <w:sz w:val="20"/>
          <w:szCs w:val="20"/>
          <w:color w:val="auto"/>
        </w:rPr>
      </w:pPr>
    </w:p>
    <w:p>
      <w:pPr>
        <w:ind w:left="2360"/>
        <w:spacing w:after="0"/>
        <w:rPr>
          <w:sz w:val="20"/>
          <w:szCs w:val="20"/>
          <w:color w:val="auto"/>
        </w:rPr>
      </w:pPr>
      <w:r>
        <w:rPr>
          <w:rFonts w:ascii="Arial" w:cs="Arial" w:eastAsia="Arial" w:hAnsi="Arial"/>
          <w:sz w:val="11"/>
          <w:szCs w:val="11"/>
          <w:color w:val="050505"/>
        </w:rPr>
        <w:t>…a product design company that develops beautiful and intuitive equipment that anticipates the needs of our Members.</w:t>
      </w:r>
    </w:p>
    <w:p>
      <w:pPr>
        <w:spacing w:after="0" w:line="144" w:lineRule="exact"/>
        <w:rPr>
          <w:sz w:val="20"/>
          <w:szCs w:val="20"/>
          <w:color w:val="auto"/>
        </w:rPr>
      </w:pPr>
    </w:p>
    <w:p>
      <w:pPr>
        <w:ind w:left="2360"/>
        <w:spacing w:after="0"/>
        <w:rPr>
          <w:sz w:val="20"/>
          <w:szCs w:val="20"/>
          <w:color w:val="auto"/>
        </w:rPr>
      </w:pPr>
      <w:r>
        <w:rPr>
          <w:rFonts w:ascii="Arial" w:cs="Arial" w:eastAsia="Arial" w:hAnsi="Arial"/>
          <w:sz w:val="11"/>
          <w:szCs w:val="11"/>
          <w:color w:val="050505"/>
        </w:rPr>
        <w:t>…a social connection company that enables our community to support one another.</w:t>
      </w:r>
    </w:p>
    <w:p>
      <w:pPr>
        <w:spacing w:after="0" w:line="144" w:lineRule="exact"/>
        <w:rPr>
          <w:sz w:val="20"/>
          <w:szCs w:val="20"/>
          <w:color w:val="auto"/>
        </w:rPr>
      </w:pPr>
    </w:p>
    <w:p>
      <w:pPr>
        <w:ind w:left="2360"/>
        <w:spacing w:after="0"/>
        <w:rPr>
          <w:sz w:val="20"/>
          <w:szCs w:val="20"/>
          <w:color w:val="auto"/>
        </w:rPr>
      </w:pPr>
      <w:r>
        <w:rPr>
          <w:rFonts w:ascii="Arial" w:cs="Arial" w:eastAsia="Arial" w:hAnsi="Arial"/>
          <w:sz w:val="11"/>
          <w:szCs w:val="11"/>
          <w:color w:val="050505"/>
        </w:rPr>
        <w:t>…a direct-to-consumer, multi-channel retail company that facilitates a seamless customer journey.</w:t>
      </w:r>
    </w:p>
    <w:p>
      <w:pPr>
        <w:spacing w:after="0" w:line="144" w:lineRule="exact"/>
        <w:rPr>
          <w:sz w:val="20"/>
          <w:szCs w:val="20"/>
          <w:color w:val="auto"/>
        </w:rPr>
      </w:pPr>
    </w:p>
    <w:p>
      <w:pPr>
        <w:ind w:left="2360"/>
        <w:spacing w:after="0"/>
        <w:rPr>
          <w:sz w:val="20"/>
          <w:szCs w:val="20"/>
          <w:color w:val="auto"/>
        </w:rPr>
      </w:pPr>
      <w:r>
        <w:rPr>
          <w:rFonts w:ascii="Arial" w:cs="Arial" w:eastAsia="Arial" w:hAnsi="Arial"/>
          <w:sz w:val="11"/>
          <w:szCs w:val="11"/>
          <w:color w:val="050505"/>
        </w:rPr>
        <w:t>…an apparel company that allows Members to display their passion for Peloton.</w:t>
      </w:r>
    </w:p>
    <w:p>
      <w:pPr>
        <w:spacing w:after="0" w:line="144" w:lineRule="exact"/>
        <w:rPr>
          <w:sz w:val="20"/>
          <w:szCs w:val="20"/>
          <w:color w:val="auto"/>
        </w:rPr>
      </w:pPr>
    </w:p>
    <w:p>
      <w:pPr>
        <w:ind w:left="2360"/>
        <w:spacing w:after="0"/>
        <w:rPr>
          <w:sz w:val="20"/>
          <w:szCs w:val="20"/>
          <w:color w:val="auto"/>
        </w:rPr>
      </w:pPr>
      <w:r>
        <w:rPr>
          <w:rFonts w:ascii="Arial" w:cs="Arial" w:eastAsia="Arial" w:hAnsi="Arial"/>
          <w:sz w:val="11"/>
          <w:szCs w:val="11"/>
          <w:color w:val="050505"/>
        </w:rPr>
        <w:t>…a logistics company that provides high-touch delivery, set up, and service for our Members.</w:t>
      </w:r>
    </w:p>
    <w:p>
      <w:pPr>
        <w:spacing w:after="0" w:line="144" w:lineRule="exact"/>
        <w:rPr>
          <w:sz w:val="20"/>
          <w:szCs w:val="20"/>
          <w:color w:val="auto"/>
        </w:rPr>
      </w:pPr>
    </w:p>
    <w:p>
      <w:pPr>
        <w:ind w:left="2060"/>
        <w:spacing w:after="0"/>
        <w:rPr>
          <w:sz w:val="20"/>
          <w:szCs w:val="20"/>
          <w:color w:val="auto"/>
        </w:rPr>
      </w:pPr>
      <w:r>
        <w:rPr>
          <w:rFonts w:ascii="Arial" w:cs="Arial" w:eastAsia="Arial" w:hAnsi="Arial"/>
          <w:sz w:val="11"/>
          <w:szCs w:val="11"/>
          <w:color w:val="050505"/>
        </w:rPr>
        <w:t>We are driven by our Members-first obsession and we will be any company we need to be in order to deliver the best fitness experience possible.</w:t>
      </w:r>
    </w:p>
    <w:p>
      <w:pPr>
        <w:spacing w:after="0" w:line="132" w:lineRule="exact"/>
        <w:rPr>
          <w:sz w:val="20"/>
          <w:szCs w:val="20"/>
          <w:color w:val="auto"/>
        </w:rPr>
      </w:pPr>
    </w:p>
    <w:p>
      <w:pPr>
        <w:ind w:left="2060"/>
        <w:spacing w:after="0"/>
        <w:rPr>
          <w:sz w:val="20"/>
          <w:szCs w:val="20"/>
          <w:color w:val="auto"/>
        </w:rPr>
      </w:pPr>
      <w:r>
        <w:rPr>
          <w:rFonts w:ascii="Arial" w:cs="Arial" w:eastAsia="Arial" w:hAnsi="Arial"/>
          <w:sz w:val="11"/>
          <w:szCs w:val="11"/>
          <w:b w:val="1"/>
          <w:bCs w:val="1"/>
          <w:u w:val="single" w:color="auto"/>
          <w:color w:val="auto"/>
        </w:rPr>
        <w:t>Who We Are</w:t>
      </w:r>
    </w:p>
    <w:p>
      <w:pPr>
        <w:spacing w:after="0" w:line="12" w:lineRule="exact"/>
        <w:rPr>
          <w:sz w:val="20"/>
          <w:szCs w:val="20"/>
          <w:color w:val="auto"/>
        </w:rPr>
      </w:pPr>
    </w:p>
    <w:p>
      <w:pPr>
        <w:jc w:val="both"/>
        <w:ind w:left="2060" w:right="839"/>
        <w:spacing w:after="0" w:line="278" w:lineRule="auto"/>
        <w:rPr>
          <w:sz w:val="20"/>
          <w:szCs w:val="20"/>
          <w:color w:val="auto"/>
        </w:rPr>
      </w:pPr>
      <w:r>
        <w:rPr>
          <w:rFonts w:ascii="Arial" w:cs="Arial" w:eastAsia="Arial" w:hAnsi="Arial"/>
          <w:sz w:val="10"/>
          <w:szCs w:val="10"/>
          <w:color w:val="050505"/>
        </w:rPr>
        <w:t>Peloton is the largest interactive fitness platform in the world with a loyal community of over 1.4 million Members. We pioneered connected, technology-enabled fitness, and the streaming of immersive, instructor-led boutique classes to our Members anytime, anywhere. We make fitness entertaining, approachable, effective, and convenient, while fostering social connections that encourage our Members to be the best versions of themselves.</w:t>
      </w:r>
    </w:p>
    <w:p>
      <w:pPr>
        <w:spacing w:after="0" w:line="123" w:lineRule="exact"/>
        <w:rPr>
          <w:sz w:val="20"/>
          <w:szCs w:val="20"/>
          <w:color w:val="auto"/>
        </w:rPr>
      </w:pPr>
    </w:p>
    <w:p>
      <w:pPr>
        <w:jc w:val="both"/>
        <w:ind w:left="2060" w:right="839"/>
        <w:spacing w:after="0" w:line="241" w:lineRule="auto"/>
        <w:rPr>
          <w:sz w:val="20"/>
          <w:szCs w:val="20"/>
          <w:color w:val="auto"/>
        </w:rPr>
      </w:pPr>
      <w:r>
        <w:rPr>
          <w:rFonts w:ascii="Arial" w:cs="Arial" w:eastAsia="Arial" w:hAnsi="Arial"/>
          <w:sz w:val="11"/>
          <w:szCs w:val="11"/>
          <w:color w:val="050505"/>
        </w:rPr>
        <w:t>We are an innovation company at the nexus of fitness, technology, and media. We have disrupted the fitness industry by developing a first-of-its-kind subscription platform that seamlessly combines the best equipment, proprietary networked software, and world-class streaming digital fitness and wellness content, creating a product that our Members love. Our highly compelling offering helped our Members complete over 58 million Peloton workouts in fiscal 2019.</w:t>
      </w:r>
    </w:p>
    <w:p>
      <w:pPr>
        <w:spacing w:after="0" w:line="140" w:lineRule="exact"/>
        <w:rPr>
          <w:sz w:val="20"/>
          <w:szCs w:val="20"/>
          <w:color w:val="auto"/>
        </w:rPr>
      </w:pPr>
    </w:p>
    <w:p>
      <w:pPr>
        <w:jc w:val="both"/>
        <w:ind w:left="2060" w:right="839"/>
        <w:spacing w:after="0" w:line="241" w:lineRule="auto"/>
        <w:rPr>
          <w:sz w:val="20"/>
          <w:szCs w:val="20"/>
          <w:color w:val="auto"/>
        </w:rPr>
      </w:pPr>
      <w:r>
        <w:rPr>
          <w:rFonts w:ascii="Arial" w:cs="Arial" w:eastAsia="Arial" w:hAnsi="Arial"/>
          <w:sz w:val="11"/>
          <w:szCs w:val="11"/>
          <w:color w:val="050505"/>
        </w:rPr>
        <w:t>Driven by our Members-first mindset, we built a vertically integrated platform that ensures a best-in-class, end-to-end experience. We have a direct-to-consumer multi-channel sales platform, including 74 showrooms with knowledgeable sales specialists, a high-touch delivery service, and helpful Member support teams. Our Members are as devoted to us as we are to them—92% of our Connected Fitness Products ever sold still had an active Connected Fitness Subscription attached as of June 30, 2019.</w:t>
      </w:r>
    </w:p>
    <w:p>
      <w:pPr>
        <w:spacing w:after="0" w:line="140" w:lineRule="exact"/>
        <w:rPr>
          <w:sz w:val="20"/>
          <w:szCs w:val="20"/>
          <w:color w:val="auto"/>
        </w:rPr>
      </w:pPr>
    </w:p>
    <w:p>
      <w:pPr>
        <w:jc w:val="both"/>
        <w:ind w:left="2060" w:right="839"/>
        <w:spacing w:after="0"/>
        <w:rPr>
          <w:sz w:val="20"/>
          <w:szCs w:val="20"/>
          <w:color w:val="auto"/>
        </w:rPr>
      </w:pPr>
      <w:r>
        <w:rPr>
          <w:rFonts w:ascii="Arial" w:cs="Arial" w:eastAsia="Arial" w:hAnsi="Arial"/>
          <w:sz w:val="11"/>
          <w:szCs w:val="11"/>
          <w:color w:val="050505"/>
        </w:rPr>
        <w:t>Our Connected Fitness Product offerings currently include the Peloton Bike, launched in 2014, and the Peloton Tread, launched in 2018. Both our Bike and Tread include a state-of-the-art touchscreen that streams live and on-demand classes. Our products have a multitude of interactive software features that encourage frequent use, facilitate healthy competition on our patented leaderboard, build community among our Members, and inspire our Members to track performance and achieve their goals with real-time and historical metrics. As of June 30, 2019, we had sold approximately 577,000 Connected Fitness Products, with approximately 564,000 sold in the United States.</w:t>
      </w:r>
    </w:p>
    <w:p>
      <w:pPr>
        <w:spacing w:after="0" w:line="142" w:lineRule="exact"/>
        <w:rPr>
          <w:sz w:val="20"/>
          <w:szCs w:val="20"/>
          <w:color w:val="auto"/>
        </w:rPr>
      </w:pPr>
    </w:p>
    <w:p>
      <w:pPr>
        <w:jc w:val="both"/>
        <w:ind w:left="2060" w:right="839"/>
        <w:spacing w:after="0" w:line="245" w:lineRule="auto"/>
        <w:rPr>
          <w:sz w:val="20"/>
          <w:szCs w:val="20"/>
          <w:color w:val="auto"/>
        </w:rPr>
      </w:pPr>
      <w:r>
        <w:rPr>
          <w:rFonts w:ascii="Arial" w:cs="Arial" w:eastAsia="Arial" w:hAnsi="Arial"/>
          <w:sz w:val="11"/>
          <w:szCs w:val="11"/>
          <w:color w:val="050505"/>
        </w:rPr>
        <w:t>Our world-class instructors teach classes across a variety of fitness and wellness disciplines, including indoor cycling, indoor/outdoor running and walking, bootcamp, yoga, strength training, stretching, and meditation. We produce over 950</w:t>
      </w:r>
    </w:p>
    <w:p>
      <w:pPr>
        <w:spacing w:after="0" w:line="93" w:lineRule="exact"/>
        <w:rPr>
          <w:sz w:val="20"/>
          <w:szCs w:val="20"/>
          <w:color w:val="auto"/>
        </w:rPr>
      </w:pPr>
    </w:p>
    <w:p>
      <w:pPr>
        <w:ind w:left="5680"/>
        <w:spacing w:after="0"/>
        <w:rPr>
          <w:sz w:val="20"/>
          <w:szCs w:val="20"/>
          <w:color w:val="auto"/>
        </w:rPr>
      </w:pPr>
      <w:r>
        <w:rPr>
          <w:rFonts w:ascii="Arial" w:cs="Arial" w:eastAsia="Arial" w:hAnsi="Arial"/>
          <w:sz w:val="11"/>
          <w:szCs w:val="11"/>
          <w:color w:val="050505"/>
        </w:rPr>
        <w:t>94</w:t>
      </w:r>
    </w:p>
    <w:p>
      <w:pPr>
        <w:sectPr>
          <w:pgSz w:w="11900" w:h="16838" w:orient="portrait"/>
          <w:cols w:equalWidth="0" w:num="1">
            <w:col w:w="10239"/>
          </w:cols>
          <w:pgMar w:left="220" w:top="354" w:right="1440" w:bottom="1440" w:gutter="0" w:footer="0" w:header="0"/>
        </w:sectPr>
      </w:pPr>
    </w:p>
    <w:bookmarkStart w:id="104" w:name="page105"/>
    <w:bookmarkEnd w:id="104"/>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hyperlink w:anchor="page5">
        <w:r>
          <w:rPr>
            <w:rFonts w:ascii="Arial" w:cs="Arial" w:eastAsia="Arial" w:hAnsi="Arial"/>
            <w:sz w:val="12"/>
            <w:szCs w:val="12"/>
            <w:b w:val="1"/>
            <w:bCs w:val="1"/>
            <w:u w:val="single" w:color="auto"/>
            <w:color w:val="0000EE"/>
          </w:rPr>
          <w:t>Table of Contents</w:t>
        </w:r>
      </w:hyperlink>
    </w:p>
    <w:p>
      <w:pPr>
        <w:spacing w:after="0" w:line="216" w:lineRule="exact"/>
        <w:rPr>
          <w:sz w:val="20"/>
          <w:szCs w:val="20"/>
          <w:color w:val="auto"/>
        </w:rPr>
      </w:pPr>
    </w:p>
    <w:p>
      <w:pPr>
        <w:jc w:val="both"/>
        <w:ind w:left="2060" w:right="839"/>
        <w:spacing w:after="0" w:line="242" w:lineRule="auto"/>
        <w:rPr>
          <w:sz w:val="20"/>
          <w:szCs w:val="20"/>
          <w:color w:val="auto"/>
        </w:rPr>
      </w:pPr>
      <w:r>
        <w:rPr>
          <w:rFonts w:ascii="Arial" w:cs="Arial" w:eastAsia="Arial" w:hAnsi="Arial"/>
          <w:sz w:val="11"/>
          <w:szCs w:val="11"/>
          <w:color w:val="050505"/>
        </w:rPr>
        <w:t>original programs per month and maintain a vast and constantly updated library of thousands of original fitness and wellness programs. We make it easy for Members to find a class that fits their interests based on class type, instructor, music genre, length, available equipment, area of physical focus, and level of difficulty.</w:t>
      </w:r>
    </w:p>
    <w:p>
      <w:pPr>
        <w:spacing w:after="0" w:line="140" w:lineRule="exact"/>
        <w:rPr>
          <w:sz w:val="20"/>
          <w:szCs w:val="20"/>
          <w:color w:val="auto"/>
        </w:rPr>
      </w:pPr>
    </w:p>
    <w:p>
      <w:pPr>
        <w:jc w:val="both"/>
        <w:ind w:left="2060" w:right="839"/>
        <w:spacing w:after="0" w:line="241" w:lineRule="auto"/>
        <w:rPr>
          <w:sz w:val="20"/>
          <w:szCs w:val="20"/>
          <w:color w:val="auto"/>
        </w:rPr>
      </w:pPr>
      <w:r>
        <w:rPr>
          <w:rFonts w:ascii="Arial" w:cs="Arial" w:eastAsia="Arial" w:hAnsi="Arial"/>
          <w:sz w:val="11"/>
          <w:szCs w:val="11"/>
          <w:color w:val="050505"/>
        </w:rPr>
        <w:t>Our content is available on our Connected Fitness Products through a $39.00 monthly Connected Fitness Subscription, which allows for unlimited workouts across multiple users within a household. Our Connected Fitness Subscribers can enjoy our classes anywhere through Peloton Digital, which is available through iOS and Android mobile devices, as well as most tablets and computers. We also have Digital Subscribers who pay $19.49 per month for access our content library on their own devices.</w:t>
      </w:r>
    </w:p>
    <w:p>
      <w:pPr>
        <w:spacing w:after="0" w:line="140" w:lineRule="exact"/>
        <w:rPr>
          <w:sz w:val="20"/>
          <w:szCs w:val="20"/>
          <w:color w:val="auto"/>
        </w:rPr>
      </w:pPr>
    </w:p>
    <w:p>
      <w:pPr>
        <w:jc w:val="both"/>
        <w:ind w:left="2060" w:right="839"/>
        <w:spacing w:after="0" w:line="242" w:lineRule="auto"/>
        <w:rPr>
          <w:sz w:val="20"/>
          <w:szCs w:val="20"/>
          <w:color w:val="auto"/>
        </w:rPr>
      </w:pPr>
      <w:r>
        <w:rPr>
          <w:rFonts w:ascii="Arial" w:cs="Arial" w:eastAsia="Arial" w:hAnsi="Arial"/>
          <w:sz w:val="11"/>
          <w:szCs w:val="11"/>
          <w:color w:val="050505"/>
        </w:rPr>
        <w:t>Our revenue is primarily generated from the sale of our Connected Fitness Products and associated recurring subscription revenue. We have experienced significant growth in sales of Connected Fitness Products, which, when combined with our strong Connected Fitness Subscriber retention rates, has driven high growth in Connected Fitness Subscribers. Our Connected Fitness Subscriber base grew by 108% in fiscal 2019.</w:t>
      </w:r>
    </w:p>
    <w:p>
      <w:pPr>
        <w:spacing w:after="0" w:line="140" w:lineRule="exact"/>
        <w:rPr>
          <w:sz w:val="20"/>
          <w:szCs w:val="20"/>
          <w:color w:val="auto"/>
        </w:rPr>
      </w:pPr>
    </w:p>
    <w:p>
      <w:pPr>
        <w:jc w:val="both"/>
        <w:ind w:left="2060" w:right="839"/>
        <w:spacing w:after="0"/>
        <w:rPr>
          <w:sz w:val="20"/>
          <w:szCs w:val="20"/>
          <w:color w:val="auto"/>
        </w:rPr>
      </w:pPr>
      <w:r>
        <w:rPr>
          <w:rFonts w:ascii="Arial" w:cs="Arial" w:eastAsia="Arial" w:hAnsi="Arial"/>
          <w:sz w:val="11"/>
          <w:szCs w:val="11"/>
          <w:color w:val="050505"/>
        </w:rPr>
        <w:t>Our compelling financial profile is characterized by high growth, strong retention, recurring revenue, margin expansion, and efficient customer acquisition. Our low Average Net Monthly Connected Fitness Churn, together with our high Subscription Contribution Margin, generates attractive Connected Fitness Subscriber Lifetime Value. When we acquire new Connected Fitness Subscribers, we are able to offset our customer acquisition costs with the gross profit earned on our Connected Fitness Products. This allows for rapid payback of our sales and marketing investments and results in a robust unit economic model.</w:t>
      </w:r>
    </w:p>
    <w:p>
      <w:pPr>
        <w:spacing w:after="0" w:line="142" w:lineRule="exact"/>
        <w:rPr>
          <w:sz w:val="20"/>
          <w:szCs w:val="20"/>
          <w:color w:val="auto"/>
        </w:rPr>
      </w:pPr>
    </w:p>
    <w:p>
      <w:pPr>
        <w:ind w:left="2060"/>
        <w:spacing w:after="0"/>
        <w:rPr>
          <w:sz w:val="20"/>
          <w:szCs w:val="20"/>
          <w:color w:val="auto"/>
        </w:rPr>
      </w:pPr>
      <w:r>
        <w:rPr>
          <w:rFonts w:ascii="Arial" w:cs="Arial" w:eastAsia="Arial" w:hAnsi="Arial"/>
          <w:sz w:val="11"/>
          <w:szCs w:val="11"/>
          <w:color w:val="050505"/>
        </w:rPr>
        <w:t>We are a fast-growing and scaled fitness platform. For fiscal 2017, 2018, and 2019:</w:t>
      </w:r>
    </w:p>
    <w:p>
      <w:pPr>
        <w:spacing w:after="0" w:line="162" w:lineRule="exact"/>
        <w:rPr>
          <w:sz w:val="20"/>
          <w:szCs w:val="20"/>
          <w:color w:val="auto"/>
        </w:rPr>
      </w:pPr>
    </w:p>
    <w:p>
      <w:pPr>
        <w:ind w:left="2420" w:right="839" w:hanging="217"/>
        <w:spacing w:after="0" w:line="245" w:lineRule="auto"/>
        <w:tabs>
          <w:tab w:leader="none" w:pos="2420" w:val="left"/>
        </w:tabs>
        <w:numPr>
          <w:ilvl w:val="0"/>
          <w:numId w:val="59"/>
        </w:numPr>
        <w:rPr>
          <w:rFonts w:ascii="Arial" w:cs="Arial" w:eastAsia="Arial" w:hAnsi="Arial"/>
          <w:sz w:val="11"/>
          <w:szCs w:val="11"/>
          <w:color w:val="F7323F"/>
        </w:rPr>
      </w:pPr>
      <w:r>
        <w:rPr>
          <w:rFonts w:ascii="Arial" w:cs="Arial" w:eastAsia="Arial" w:hAnsi="Arial"/>
          <w:sz w:val="11"/>
          <w:szCs w:val="11"/>
          <w:color w:val="050505"/>
        </w:rPr>
        <w:t>we generated total revenue of $218.6 million, $435.0 million, and $915.0 million, respectively, representing 99.0% and 110.3% year-over-year growth;</w:t>
      </w:r>
    </w:p>
    <w:p>
      <w:pPr>
        <w:spacing w:after="0" w:line="38" w:lineRule="exact"/>
        <w:rPr>
          <w:rFonts w:ascii="Arial" w:cs="Arial" w:eastAsia="Arial" w:hAnsi="Arial"/>
          <w:sz w:val="11"/>
          <w:szCs w:val="11"/>
          <w:color w:val="F7323F"/>
        </w:rPr>
      </w:pPr>
    </w:p>
    <w:p>
      <w:pPr>
        <w:ind w:left="2420" w:hanging="217"/>
        <w:spacing w:after="0"/>
        <w:tabs>
          <w:tab w:leader="none" w:pos="2420" w:val="left"/>
        </w:tabs>
        <w:numPr>
          <w:ilvl w:val="0"/>
          <w:numId w:val="59"/>
        </w:numPr>
        <w:rPr>
          <w:rFonts w:ascii="Arial" w:cs="Arial" w:eastAsia="Arial" w:hAnsi="Arial"/>
          <w:sz w:val="11"/>
          <w:szCs w:val="11"/>
          <w:color w:val="F7323F"/>
        </w:rPr>
      </w:pPr>
      <w:r>
        <w:rPr>
          <w:rFonts w:ascii="Arial" w:cs="Arial" w:eastAsia="Arial" w:hAnsi="Arial"/>
          <w:sz w:val="11"/>
          <w:szCs w:val="11"/>
          <w:color w:val="050505"/>
        </w:rPr>
        <w:t>we incurred net losses of $(71.1) million, $(47.9) million, and $(195.6) million, respectively; and</w:t>
      </w:r>
    </w:p>
    <w:p>
      <w:pPr>
        <w:spacing w:after="0" w:line="44" w:lineRule="exact"/>
        <w:rPr>
          <w:rFonts w:ascii="Arial" w:cs="Arial" w:eastAsia="Arial" w:hAnsi="Arial"/>
          <w:sz w:val="11"/>
          <w:szCs w:val="11"/>
          <w:color w:val="F7323F"/>
        </w:rPr>
      </w:pPr>
    </w:p>
    <w:p>
      <w:pPr>
        <w:ind w:left="2420" w:hanging="217"/>
        <w:spacing w:after="0"/>
        <w:tabs>
          <w:tab w:leader="none" w:pos="2420" w:val="left"/>
        </w:tabs>
        <w:numPr>
          <w:ilvl w:val="0"/>
          <w:numId w:val="59"/>
        </w:numPr>
        <w:rPr>
          <w:rFonts w:ascii="Arial" w:cs="Arial" w:eastAsia="Arial" w:hAnsi="Arial"/>
          <w:sz w:val="11"/>
          <w:szCs w:val="11"/>
          <w:color w:val="F7323F"/>
        </w:rPr>
      </w:pPr>
      <w:r>
        <w:rPr>
          <w:rFonts w:ascii="Arial" w:cs="Arial" w:eastAsia="Arial" w:hAnsi="Arial"/>
          <w:sz w:val="11"/>
          <w:szCs w:val="11"/>
          <w:color w:val="050505"/>
        </w:rPr>
        <w:t>our Adjusted EBITDA was $(51.8) million, $(30.4) million, and $(71.3) million, respectively.</w:t>
      </w:r>
    </w:p>
    <w:p>
      <w:pPr>
        <w:spacing w:after="0" w:line="144" w:lineRule="exact"/>
        <w:rPr>
          <w:sz w:val="20"/>
          <w:szCs w:val="20"/>
          <w:color w:val="auto"/>
        </w:rPr>
      </w:pPr>
    </w:p>
    <w:p>
      <w:pPr>
        <w:ind w:left="2060" w:right="839"/>
        <w:spacing w:after="0" w:line="245" w:lineRule="auto"/>
        <w:rPr>
          <w:sz w:val="20"/>
          <w:szCs w:val="20"/>
          <w:color w:val="auto"/>
        </w:rPr>
      </w:pPr>
      <w:r>
        <w:rPr>
          <w:rFonts w:ascii="Arial" w:cs="Arial" w:eastAsia="Arial" w:hAnsi="Arial"/>
          <w:sz w:val="11"/>
          <w:szCs w:val="11"/>
          <w:color w:val="050505"/>
        </w:rPr>
        <w:t>See the section titled “Selected Consolidated Financial and Other Data—Non-GAAP Financial Measures” for information regarding our use of Adjusted EBITDA and a reconciliation of net loss to Adjusted EBITDA.</w:t>
      </w:r>
    </w:p>
    <w:p>
      <w:pPr>
        <w:spacing w:after="0" w:line="138" w:lineRule="exact"/>
        <w:rPr>
          <w:sz w:val="20"/>
          <w:szCs w:val="20"/>
          <w:color w:val="auto"/>
        </w:rPr>
      </w:pPr>
    </w:p>
    <w:p>
      <w:pPr>
        <w:ind w:left="2060"/>
        <w:spacing w:after="0"/>
        <w:rPr>
          <w:sz w:val="20"/>
          <w:szCs w:val="20"/>
          <w:color w:val="auto"/>
        </w:rPr>
      </w:pPr>
      <w:r>
        <w:rPr>
          <w:rFonts w:ascii="Arial" w:cs="Arial" w:eastAsia="Arial" w:hAnsi="Arial"/>
          <w:sz w:val="11"/>
          <w:szCs w:val="11"/>
          <w:color w:val="050505"/>
        </w:rPr>
        <w:t>For fiscal 2017, 2018, and 2019, key metrics of our business included:</w:t>
      </w:r>
    </w:p>
    <w:p>
      <w:pPr>
        <w:spacing w:after="0" w:line="162" w:lineRule="exact"/>
        <w:rPr>
          <w:sz w:val="20"/>
          <w:szCs w:val="20"/>
          <w:color w:val="auto"/>
        </w:rPr>
      </w:pPr>
    </w:p>
    <w:p>
      <w:pPr>
        <w:ind w:left="2420" w:hanging="217"/>
        <w:spacing w:after="0"/>
        <w:tabs>
          <w:tab w:leader="none" w:pos="2420" w:val="left"/>
        </w:tabs>
        <w:numPr>
          <w:ilvl w:val="0"/>
          <w:numId w:val="60"/>
        </w:numPr>
        <w:rPr>
          <w:rFonts w:ascii="Arial" w:cs="Arial" w:eastAsia="Arial" w:hAnsi="Arial"/>
          <w:sz w:val="11"/>
          <w:szCs w:val="11"/>
          <w:color w:val="F7323F"/>
        </w:rPr>
      </w:pPr>
      <w:r>
        <w:rPr>
          <w:rFonts w:ascii="Arial" w:cs="Arial" w:eastAsia="Arial" w:hAnsi="Arial"/>
          <w:sz w:val="11"/>
          <w:szCs w:val="11"/>
          <w:color w:val="050505"/>
        </w:rPr>
        <w:t>Connected Fitness Subscribers of 107,708, 245,667, and 511,202, respectively; and</w:t>
      </w:r>
    </w:p>
    <w:p>
      <w:pPr>
        <w:spacing w:after="0" w:line="44" w:lineRule="exact"/>
        <w:rPr>
          <w:rFonts w:ascii="Arial" w:cs="Arial" w:eastAsia="Arial" w:hAnsi="Arial"/>
          <w:sz w:val="11"/>
          <w:szCs w:val="11"/>
          <w:color w:val="F7323F"/>
        </w:rPr>
      </w:pPr>
    </w:p>
    <w:p>
      <w:pPr>
        <w:ind w:left="2420" w:hanging="217"/>
        <w:spacing w:after="0"/>
        <w:tabs>
          <w:tab w:leader="none" w:pos="2420" w:val="left"/>
        </w:tabs>
        <w:numPr>
          <w:ilvl w:val="0"/>
          <w:numId w:val="60"/>
        </w:numPr>
        <w:rPr>
          <w:rFonts w:ascii="Arial" w:cs="Arial" w:eastAsia="Arial" w:hAnsi="Arial"/>
          <w:sz w:val="11"/>
          <w:szCs w:val="11"/>
          <w:color w:val="F7323F"/>
        </w:rPr>
      </w:pPr>
      <w:r>
        <w:rPr>
          <w:rFonts w:ascii="Arial" w:cs="Arial" w:eastAsia="Arial" w:hAnsi="Arial"/>
          <w:sz w:val="11"/>
          <w:szCs w:val="11"/>
          <w:color w:val="050505"/>
        </w:rPr>
        <w:t>Average Net Monthly Connected Fitness Churn of 0.70%, 0.64%, and 0.65%, respectively.</w:t>
      </w:r>
    </w:p>
    <w:p>
      <w:pPr>
        <w:spacing w:after="0" w:line="144" w:lineRule="exact"/>
        <w:rPr>
          <w:sz w:val="20"/>
          <w:szCs w:val="20"/>
          <w:color w:val="auto"/>
        </w:rPr>
      </w:pPr>
    </w:p>
    <w:p>
      <w:pPr>
        <w:jc w:val="both"/>
        <w:ind w:left="2060" w:right="839"/>
        <w:spacing w:after="0" w:line="241" w:lineRule="auto"/>
        <w:rPr>
          <w:sz w:val="20"/>
          <w:szCs w:val="20"/>
          <w:color w:val="auto"/>
        </w:rPr>
      </w:pPr>
      <w:r>
        <w:rPr>
          <w:rFonts w:ascii="Arial" w:cs="Arial" w:eastAsia="Arial" w:hAnsi="Arial"/>
          <w:sz w:val="11"/>
          <w:szCs w:val="11"/>
          <w:color w:val="050505"/>
        </w:rPr>
        <w:t>For a definition of Connected Fitness Subscriber Lifetime Value, see the section titled “Management’s Discussion and Analysis of Financial Condition and Results of Operations—Business Model” and for a definition of Connected Fitness Subscribers, Average Net Monthly Connected Fitness Churn, and Subscription Contribution Margin, see the section titled “Management’s Discussion and Analysis of Financial Condition and Results of Operations—Key Operational and Business Metrics.”</w:t>
      </w:r>
    </w:p>
    <w:p>
      <w:pPr>
        <w:spacing w:after="0" w:line="95" w:lineRule="exact"/>
        <w:rPr>
          <w:sz w:val="20"/>
          <w:szCs w:val="20"/>
          <w:color w:val="auto"/>
        </w:rPr>
      </w:pPr>
    </w:p>
    <w:p>
      <w:pPr>
        <w:ind w:left="5680"/>
        <w:spacing w:after="0"/>
        <w:rPr>
          <w:sz w:val="20"/>
          <w:szCs w:val="20"/>
          <w:color w:val="auto"/>
        </w:rPr>
      </w:pPr>
      <w:r>
        <w:rPr>
          <w:rFonts w:ascii="Arial" w:cs="Arial" w:eastAsia="Arial" w:hAnsi="Arial"/>
          <w:sz w:val="11"/>
          <w:szCs w:val="11"/>
          <w:color w:val="050505"/>
        </w:rPr>
        <w:t>95</w:t>
      </w:r>
    </w:p>
    <w:p>
      <w:pPr>
        <w:sectPr>
          <w:pgSz w:w="11900" w:h="16838" w:orient="portrait"/>
          <w:cols w:equalWidth="0" w:num="1">
            <w:col w:w="10239"/>
          </w:cols>
          <w:pgMar w:left="220" w:top="354" w:right="1440" w:bottom="1440" w:gutter="0" w:footer="0" w:header="0"/>
        </w:sectPr>
      </w:pPr>
    </w:p>
    <w:bookmarkStart w:id="105" w:name="page106"/>
    <w:bookmarkEnd w:id="105"/>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hyperlink w:anchor="page5">
        <w:r>
          <w:rPr>
            <w:rFonts w:ascii="Arial" w:cs="Arial" w:eastAsia="Arial" w:hAnsi="Arial"/>
            <w:sz w:val="12"/>
            <w:szCs w:val="12"/>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1922145</wp:posOffset>
            </wp:positionH>
            <wp:positionV relativeFrom="paragraph">
              <wp:posOffset>136525</wp:posOffset>
            </wp:positionV>
            <wp:extent cx="3442970" cy="104076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3442970" cy="10407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2060"/>
        <w:spacing w:after="0"/>
        <w:rPr>
          <w:sz w:val="20"/>
          <w:szCs w:val="20"/>
          <w:color w:val="auto"/>
        </w:rPr>
      </w:pPr>
      <w:r>
        <w:rPr>
          <w:rFonts w:ascii="Arial" w:cs="Arial" w:eastAsia="Arial" w:hAnsi="Arial"/>
          <w:sz w:val="11"/>
          <w:szCs w:val="11"/>
          <w:b w:val="1"/>
          <w:bCs w:val="1"/>
          <w:u w:val="single" w:color="auto"/>
          <w:color w:val="auto"/>
        </w:rPr>
        <w:t>Our Industry and Opportunity</w:t>
      </w:r>
    </w:p>
    <w:p>
      <w:pPr>
        <w:spacing w:after="0" w:line="144" w:lineRule="exact"/>
        <w:rPr>
          <w:sz w:val="20"/>
          <w:szCs w:val="20"/>
          <w:color w:val="auto"/>
        </w:rPr>
      </w:pPr>
    </w:p>
    <w:p>
      <w:pPr>
        <w:ind w:left="2060"/>
        <w:spacing w:after="0"/>
        <w:rPr>
          <w:sz w:val="20"/>
          <w:szCs w:val="20"/>
          <w:color w:val="auto"/>
        </w:rPr>
      </w:pPr>
      <w:r>
        <w:rPr>
          <w:rFonts w:ascii="Arial" w:cs="Arial" w:eastAsia="Arial" w:hAnsi="Arial"/>
          <w:sz w:val="11"/>
          <w:szCs w:val="11"/>
          <w:b w:val="1"/>
          <w:bCs w:val="1"/>
          <w:i w:val="1"/>
          <w:iCs w:val="1"/>
          <w:color w:val="auto"/>
        </w:rPr>
        <w:t>Industry</w:t>
      </w:r>
    </w:p>
    <w:p>
      <w:pPr>
        <w:spacing w:after="0" w:line="12" w:lineRule="exact"/>
        <w:rPr>
          <w:sz w:val="20"/>
          <w:szCs w:val="20"/>
          <w:color w:val="auto"/>
        </w:rPr>
      </w:pPr>
    </w:p>
    <w:p>
      <w:pPr>
        <w:jc w:val="both"/>
        <w:ind w:left="2060" w:right="839"/>
        <w:spacing w:after="0" w:line="241" w:lineRule="auto"/>
        <w:rPr>
          <w:sz w:val="20"/>
          <w:szCs w:val="20"/>
          <w:color w:val="auto"/>
        </w:rPr>
      </w:pPr>
      <w:r>
        <w:rPr>
          <w:rFonts w:ascii="Arial" w:cs="Arial" w:eastAsia="Arial" w:hAnsi="Arial"/>
          <w:sz w:val="11"/>
          <w:szCs w:val="11"/>
          <w:color w:val="050505"/>
        </w:rPr>
        <w:t>We participate in the massive and growing global health and wellness industry. According to a 2018 report by the Global Wellness Institute, the total global spend on the wellness industry in 2017 was $4.2 trillion, of which the global spend on fitness and certain categories of wellness, including meditation and yoga, represented nearly $600 billion. According to the International Health, Racquet &amp; Sportsclub Association, or IHRSA, 183 million and 62 million people had gym memberships globally and in the United States, respectively, as of 2018.</w:t>
      </w:r>
    </w:p>
    <w:p>
      <w:pPr>
        <w:spacing w:after="0" w:line="140" w:lineRule="exact"/>
        <w:rPr>
          <w:sz w:val="20"/>
          <w:szCs w:val="20"/>
          <w:color w:val="auto"/>
        </w:rPr>
      </w:pPr>
    </w:p>
    <w:p>
      <w:pPr>
        <w:jc w:val="both"/>
        <w:ind w:left="2060" w:right="839"/>
        <w:spacing w:after="0"/>
        <w:rPr>
          <w:sz w:val="20"/>
          <w:szCs w:val="20"/>
          <w:color w:val="auto"/>
        </w:rPr>
      </w:pPr>
      <w:r>
        <w:rPr>
          <w:rFonts w:ascii="Arial" w:cs="Arial" w:eastAsia="Arial" w:hAnsi="Arial"/>
          <w:sz w:val="11"/>
          <w:szCs w:val="11"/>
          <w:color w:val="050505"/>
        </w:rPr>
        <w:t>Our current product portfolio, which consists of our Bike, Tread, and fitness and wellness subscription services, addresses a large consumer base. Within our current and announced markets (the United States, the United Kingdom, Canada, and Germany), we estimate that 75 million people used treadmills and 27 million used stationary cycling bikes in the 12 months ended March 2019. In those same regions, we estimate that over 5 million treadmills and nearly 3 million stationary cycling bikes were purchased for in-home use in the 12 months ended March 2019. We believe that we are significantly expanding the market for fitness equipment and products. According to our 2019 Member Survey, four out of five Members were not in the market for home fitness equipment prior to purchasing a Peloton Connected Fitness Product.</w:t>
      </w:r>
    </w:p>
    <w:p>
      <w:pPr>
        <w:spacing w:after="0" w:line="130" w:lineRule="exact"/>
        <w:rPr>
          <w:sz w:val="20"/>
          <w:szCs w:val="20"/>
          <w:color w:val="auto"/>
        </w:rPr>
      </w:pPr>
    </w:p>
    <w:p>
      <w:pPr>
        <w:ind w:left="2060"/>
        <w:spacing w:after="0"/>
        <w:rPr>
          <w:sz w:val="20"/>
          <w:szCs w:val="20"/>
          <w:color w:val="auto"/>
        </w:rPr>
      </w:pPr>
      <w:r>
        <w:rPr>
          <w:rFonts w:ascii="Arial" w:cs="Arial" w:eastAsia="Arial" w:hAnsi="Arial"/>
          <w:sz w:val="11"/>
          <w:szCs w:val="11"/>
          <w:b w:val="1"/>
          <w:bCs w:val="1"/>
          <w:i w:val="1"/>
          <w:iCs w:val="1"/>
          <w:color w:val="auto"/>
        </w:rPr>
        <w:t>Opportunity</w:t>
      </w:r>
    </w:p>
    <w:p>
      <w:pPr>
        <w:spacing w:after="0" w:line="12" w:lineRule="exact"/>
        <w:rPr>
          <w:sz w:val="20"/>
          <w:szCs w:val="20"/>
          <w:color w:val="auto"/>
        </w:rPr>
      </w:pPr>
    </w:p>
    <w:p>
      <w:pPr>
        <w:jc w:val="both"/>
        <w:ind w:left="2060" w:right="839"/>
        <w:spacing w:after="0" w:line="242" w:lineRule="auto"/>
        <w:rPr>
          <w:sz w:val="20"/>
          <w:szCs w:val="20"/>
          <w:color w:val="auto"/>
        </w:rPr>
      </w:pPr>
      <w:r>
        <w:rPr>
          <w:rFonts w:ascii="Arial" w:cs="Arial" w:eastAsia="Arial" w:hAnsi="Arial"/>
          <w:sz w:val="11"/>
          <w:szCs w:val="11"/>
          <w:color w:val="050505"/>
        </w:rPr>
        <w:t>We consider our market opportunity in terms of a Total Addressable Market, or TAM, which we believe is the market we can reach over the long-term in our current and announced markets, and a Serviceable Addressable Market, or SAM, which we address with our current product verticals and price points.</w:t>
      </w:r>
    </w:p>
    <w:p>
      <w:pPr>
        <w:spacing w:after="0" w:line="140" w:lineRule="exact"/>
        <w:rPr>
          <w:sz w:val="20"/>
          <w:szCs w:val="20"/>
          <w:color w:val="auto"/>
        </w:rPr>
      </w:pPr>
    </w:p>
    <w:p>
      <w:pPr>
        <w:jc w:val="both"/>
        <w:ind w:left="2060" w:right="839"/>
        <w:spacing w:after="0"/>
        <w:rPr>
          <w:sz w:val="20"/>
          <w:szCs w:val="20"/>
          <w:color w:val="auto"/>
        </w:rPr>
      </w:pPr>
      <w:r>
        <w:rPr>
          <w:rFonts w:ascii="Arial" w:cs="Arial" w:eastAsia="Arial" w:hAnsi="Arial"/>
          <w:sz w:val="11"/>
          <w:szCs w:val="11"/>
          <w:color w:val="050505"/>
        </w:rPr>
        <w:t>According to our research, our TAM is 67 million households, of which 45 million are in the United States. Within our TAM, we estimate that 52 million households are interested in learning more about our Connected Fitness Products without seeing the price. We estimate that our SAM is 14 million Connected Fitness Products, with 12 million represented in the United States. Historically, our SAM has grown as our brand awareness has increased. With low brand awareness in our current international markets, we believe we will see SAM expand as we make further investments in building brand and product awareness in these regions. We will grow both TAM and SAM as we expand beyond our current geographies and grow SAM as we develop new Connected Fitness Products and content in new fitness verticals. With approximately 577,000 Connected Fitness Products sold globally as of June 30, 2019, we are approximately 4% penetrated in our SAM of 14 million. For a discussion of the methodology used in determining our TAM and SAM, see the section titled “Industry and Market Data.”</w:t>
      </w:r>
    </w:p>
    <w:p>
      <w:pPr>
        <w:spacing w:after="0" w:line="96" w:lineRule="exact"/>
        <w:rPr>
          <w:sz w:val="20"/>
          <w:szCs w:val="20"/>
          <w:color w:val="auto"/>
        </w:rPr>
      </w:pPr>
    </w:p>
    <w:p>
      <w:pPr>
        <w:ind w:left="5680"/>
        <w:spacing w:after="0"/>
        <w:rPr>
          <w:sz w:val="20"/>
          <w:szCs w:val="20"/>
          <w:color w:val="auto"/>
        </w:rPr>
      </w:pPr>
      <w:r>
        <w:rPr>
          <w:rFonts w:ascii="Arial" w:cs="Arial" w:eastAsia="Arial" w:hAnsi="Arial"/>
          <w:sz w:val="11"/>
          <w:szCs w:val="11"/>
          <w:color w:val="050505"/>
        </w:rPr>
        <w:t>96</w:t>
      </w:r>
    </w:p>
    <w:p>
      <w:pPr>
        <w:sectPr>
          <w:pgSz w:w="11900" w:h="16838" w:orient="portrait"/>
          <w:cols w:equalWidth="0" w:num="1">
            <w:col w:w="10239"/>
          </w:cols>
          <w:pgMar w:left="220" w:top="354" w:right="1440" w:bottom="1440" w:gutter="0" w:footer="0" w:header="0"/>
        </w:sectPr>
      </w:pPr>
    </w:p>
    <w:bookmarkStart w:id="106" w:name="page107"/>
    <w:bookmarkEnd w:id="106"/>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hyperlink w:anchor="page5">
        <w:r>
          <w:rPr>
            <w:rFonts w:ascii="Arial" w:cs="Arial" w:eastAsia="Arial" w:hAnsi="Arial"/>
            <w:sz w:val="12"/>
            <w:szCs w:val="12"/>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1310640</wp:posOffset>
            </wp:positionH>
            <wp:positionV relativeFrom="paragraph">
              <wp:posOffset>136525</wp:posOffset>
            </wp:positionV>
            <wp:extent cx="4055110" cy="159004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4055110" cy="15900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2280" w:hanging="221"/>
        <w:spacing w:after="0"/>
        <w:tabs>
          <w:tab w:leader="none" w:pos="2280" w:val="left"/>
        </w:tabs>
        <w:numPr>
          <w:ilvl w:val="0"/>
          <w:numId w:val="61"/>
        </w:numPr>
        <w:rPr>
          <w:rFonts w:ascii="Arial" w:cs="Arial" w:eastAsia="Arial" w:hAnsi="Arial"/>
          <w:sz w:val="8"/>
          <w:szCs w:val="8"/>
          <w:color w:val="050505"/>
        </w:rPr>
      </w:pPr>
      <w:r>
        <w:rPr>
          <w:rFonts w:ascii="Arial" w:cs="Arial" w:eastAsia="Arial" w:hAnsi="Arial"/>
          <w:sz w:val="8"/>
          <w:szCs w:val="8"/>
          <w:color w:val="050505"/>
        </w:rPr>
        <w:t>Represents our total addressable market within our current and announced markets—the United States, the United Kingdom, Canada, and Germany.</w:t>
      </w:r>
    </w:p>
    <w:p>
      <w:pPr>
        <w:spacing w:after="0" w:line="135" w:lineRule="exact"/>
        <w:rPr>
          <w:sz w:val="20"/>
          <w:szCs w:val="20"/>
          <w:color w:val="auto"/>
        </w:rPr>
      </w:pPr>
    </w:p>
    <w:p>
      <w:pPr>
        <w:ind w:left="2060"/>
        <w:spacing w:after="0"/>
        <w:rPr>
          <w:sz w:val="20"/>
          <w:szCs w:val="20"/>
          <w:color w:val="auto"/>
        </w:rPr>
      </w:pPr>
      <w:r>
        <w:rPr>
          <w:rFonts w:ascii="Arial" w:cs="Arial" w:eastAsia="Arial" w:hAnsi="Arial"/>
          <w:sz w:val="11"/>
          <w:szCs w:val="11"/>
          <w:b w:val="1"/>
          <w:bCs w:val="1"/>
          <w:i w:val="1"/>
          <w:iCs w:val="1"/>
          <w:color w:val="auto"/>
        </w:rPr>
        <w:t>Consumer Trends in Our Favor</w:t>
      </w:r>
    </w:p>
    <w:p>
      <w:pPr>
        <w:spacing w:after="0" w:line="144" w:lineRule="exact"/>
        <w:rPr>
          <w:sz w:val="20"/>
          <w:szCs w:val="20"/>
          <w:color w:val="auto"/>
        </w:rPr>
      </w:pPr>
    </w:p>
    <w:p>
      <w:pPr>
        <w:ind w:left="2060"/>
        <w:spacing w:after="0"/>
        <w:rPr>
          <w:sz w:val="20"/>
          <w:szCs w:val="20"/>
          <w:color w:val="auto"/>
        </w:rPr>
      </w:pPr>
      <w:r>
        <w:rPr>
          <w:rFonts w:ascii="Arial" w:cs="Arial" w:eastAsia="Arial" w:hAnsi="Arial"/>
          <w:sz w:val="11"/>
          <w:szCs w:val="11"/>
          <w:b w:val="1"/>
          <w:bCs w:val="1"/>
          <w:color w:val="auto"/>
        </w:rPr>
        <w:t>Increasing Focus on Health and Wellness</w:t>
      </w:r>
    </w:p>
    <w:p>
      <w:pPr>
        <w:spacing w:after="0" w:line="12" w:lineRule="exact"/>
        <w:rPr>
          <w:sz w:val="20"/>
          <w:szCs w:val="20"/>
          <w:color w:val="auto"/>
        </w:rPr>
      </w:pPr>
    </w:p>
    <w:p>
      <w:pPr>
        <w:jc w:val="both"/>
        <w:ind w:left="2060" w:right="839"/>
        <w:spacing w:after="0"/>
        <w:rPr>
          <w:sz w:val="20"/>
          <w:szCs w:val="20"/>
          <w:color w:val="auto"/>
        </w:rPr>
      </w:pPr>
      <w:r>
        <w:rPr>
          <w:rFonts w:ascii="Arial" w:cs="Arial" w:eastAsia="Arial" w:hAnsi="Arial"/>
          <w:sz w:val="11"/>
          <w:szCs w:val="11"/>
          <w:color w:val="050505"/>
        </w:rPr>
        <w:t>The growing awareness of the benefits of exercise and physical activity is driving increasing participation and spend in fitness and wellness. This has translated into consistent year-over-year growth of the fitness industry both in the United States and globally over the past two decades, even during times of economic recession. According to IHRSA, health club industry revenues in the United States grew at a 5.4% annual growth rate over the last ten years. In addition, employers and health insurance companies are investing in employee well-being by offering incentives for preventative health measures such as exercise. According to a 2017 study by the National Business Group on Health, 74% of employers offer employee wellness incentives, with the average employee incentive amount increasing from $521 in 2013 to $742 in 2017.</w:t>
      </w:r>
    </w:p>
    <w:p>
      <w:pPr>
        <w:spacing w:after="0" w:line="130" w:lineRule="exact"/>
        <w:rPr>
          <w:sz w:val="20"/>
          <w:szCs w:val="20"/>
          <w:color w:val="auto"/>
        </w:rPr>
      </w:pPr>
    </w:p>
    <w:p>
      <w:pPr>
        <w:ind w:left="2060"/>
        <w:spacing w:after="0"/>
        <w:rPr>
          <w:sz w:val="20"/>
          <w:szCs w:val="20"/>
          <w:color w:val="auto"/>
        </w:rPr>
      </w:pPr>
      <w:r>
        <w:rPr>
          <w:rFonts w:ascii="Arial" w:cs="Arial" w:eastAsia="Arial" w:hAnsi="Arial"/>
          <w:sz w:val="11"/>
          <w:szCs w:val="11"/>
          <w:b w:val="1"/>
          <w:bCs w:val="1"/>
          <w:color w:val="auto"/>
        </w:rPr>
        <w:t>Streaming Media is the Leading Channel of Consumption</w:t>
      </w:r>
    </w:p>
    <w:p>
      <w:pPr>
        <w:spacing w:after="0" w:line="12" w:lineRule="exact"/>
        <w:rPr>
          <w:sz w:val="20"/>
          <w:szCs w:val="20"/>
          <w:color w:val="auto"/>
        </w:rPr>
      </w:pPr>
    </w:p>
    <w:p>
      <w:pPr>
        <w:jc w:val="both"/>
        <w:ind w:left="2060" w:right="839"/>
        <w:spacing w:after="0"/>
        <w:rPr>
          <w:sz w:val="20"/>
          <w:szCs w:val="20"/>
          <w:color w:val="auto"/>
        </w:rPr>
      </w:pPr>
      <w:r>
        <w:rPr>
          <w:rFonts w:ascii="Arial" w:cs="Arial" w:eastAsia="Arial" w:hAnsi="Arial"/>
          <w:sz w:val="11"/>
          <w:szCs w:val="11"/>
          <w:color w:val="050505"/>
        </w:rPr>
        <w:t>The quality, volume, and speed of streaming content has profoundly changed media consumption patterns. Consumers can select from extensive catalogs of content across video programming, music, books, and gaming, among other categories, allowing for personalized, on-demand consumption anywhere, anytime, and at a great value. According to Kagan, a media research group of S&amp;P Global Market Intelligence, global digital music paid subscribers are estimated to have grown from 12.1 million in 2012 to 162.5 million in 2018. Similarly, digital video paid subscribers are estimated to have increased in the United States from 37.6 million in 2012 to 167.8 million in 2018.</w:t>
      </w:r>
    </w:p>
    <w:p>
      <w:pPr>
        <w:spacing w:after="0" w:line="130" w:lineRule="exact"/>
        <w:rPr>
          <w:sz w:val="20"/>
          <w:szCs w:val="20"/>
          <w:color w:val="auto"/>
        </w:rPr>
      </w:pPr>
    </w:p>
    <w:p>
      <w:pPr>
        <w:ind w:left="2060"/>
        <w:spacing w:after="0"/>
        <w:rPr>
          <w:sz w:val="20"/>
          <w:szCs w:val="20"/>
          <w:color w:val="auto"/>
        </w:rPr>
      </w:pPr>
      <w:r>
        <w:rPr>
          <w:rFonts w:ascii="Arial" w:cs="Arial" w:eastAsia="Arial" w:hAnsi="Arial"/>
          <w:sz w:val="11"/>
          <w:szCs w:val="11"/>
          <w:b w:val="1"/>
          <w:bCs w:val="1"/>
          <w:color w:val="auto"/>
        </w:rPr>
        <w:t>Desire for Community and Shared Experiences</w:t>
      </w:r>
    </w:p>
    <w:p>
      <w:pPr>
        <w:spacing w:after="0" w:line="12" w:lineRule="exact"/>
        <w:rPr>
          <w:sz w:val="20"/>
          <w:szCs w:val="20"/>
          <w:color w:val="auto"/>
        </w:rPr>
      </w:pPr>
    </w:p>
    <w:p>
      <w:pPr>
        <w:jc w:val="both"/>
        <w:ind w:left="2060" w:right="839"/>
        <w:spacing w:after="0" w:line="241" w:lineRule="auto"/>
        <w:rPr>
          <w:sz w:val="20"/>
          <w:szCs w:val="20"/>
          <w:color w:val="auto"/>
        </w:rPr>
      </w:pPr>
      <w:r>
        <w:rPr>
          <w:rFonts w:ascii="Arial" w:cs="Arial" w:eastAsia="Arial" w:hAnsi="Arial"/>
          <w:sz w:val="11"/>
          <w:szCs w:val="11"/>
          <w:color w:val="050505"/>
        </w:rPr>
        <w:t>We believe consumers are increasingly spending on experiences and are seeking meaningful community connections. Within the fitness industry, consumers have migrated to boutique fitness due to personalization, expert instruction, and the sense of community. Boutique-style fitness offerings are the fastest growing brick-and-mortar fitness category. According to IHRSA, as of 2017, 40% of members of health and fitness clubs reported belonging to a boutique fitness studio, and from 2013 to 2017, membership in boutique studios grew approximately 121%.</w:t>
      </w:r>
    </w:p>
    <w:p>
      <w:pPr>
        <w:spacing w:after="0" w:line="128" w:lineRule="exact"/>
        <w:rPr>
          <w:sz w:val="20"/>
          <w:szCs w:val="20"/>
          <w:color w:val="auto"/>
        </w:rPr>
      </w:pPr>
    </w:p>
    <w:p>
      <w:pPr>
        <w:ind w:left="2060"/>
        <w:spacing w:after="0"/>
        <w:rPr>
          <w:sz w:val="20"/>
          <w:szCs w:val="20"/>
          <w:color w:val="auto"/>
        </w:rPr>
      </w:pPr>
      <w:r>
        <w:rPr>
          <w:rFonts w:ascii="Arial" w:cs="Arial" w:eastAsia="Arial" w:hAnsi="Arial"/>
          <w:sz w:val="11"/>
          <w:szCs w:val="11"/>
          <w:b w:val="1"/>
          <w:bCs w:val="1"/>
          <w:color w:val="auto"/>
        </w:rPr>
        <w:t>Demand for Convenience</w:t>
      </w:r>
    </w:p>
    <w:p>
      <w:pPr>
        <w:spacing w:after="0" w:line="12" w:lineRule="exact"/>
        <w:rPr>
          <w:sz w:val="20"/>
          <w:szCs w:val="20"/>
          <w:color w:val="auto"/>
        </w:rPr>
      </w:pPr>
    </w:p>
    <w:p>
      <w:pPr>
        <w:jc w:val="both"/>
        <w:ind w:left="2060" w:right="839"/>
        <w:spacing w:after="0" w:line="278" w:lineRule="auto"/>
        <w:rPr>
          <w:sz w:val="20"/>
          <w:szCs w:val="20"/>
          <w:color w:val="auto"/>
        </w:rPr>
      </w:pPr>
      <w:r>
        <w:rPr>
          <w:rFonts w:ascii="Arial" w:cs="Arial" w:eastAsia="Arial" w:hAnsi="Arial"/>
          <w:sz w:val="10"/>
          <w:szCs w:val="10"/>
          <w:color w:val="050505"/>
        </w:rPr>
        <w:t>Household trends, longer working hours, and the rise of mobile technology make it challenging to balance time between family, work, and personal health and wellness. According to the Pew Research Center, over the last few decades, there has been an increase in dual income families from 49% in 1970 to 66% in 2016. We believe that busy lifestyles, less free time, and changing household dynamics are driving demand for convenient fitness options.</w:t>
      </w:r>
    </w:p>
    <w:p>
      <w:pPr>
        <w:spacing w:after="0" w:line="111" w:lineRule="exact"/>
        <w:rPr>
          <w:sz w:val="20"/>
          <w:szCs w:val="20"/>
          <w:color w:val="auto"/>
        </w:rPr>
      </w:pPr>
    </w:p>
    <w:p>
      <w:pPr>
        <w:ind w:left="2060"/>
        <w:spacing w:after="0"/>
        <w:rPr>
          <w:sz w:val="20"/>
          <w:szCs w:val="20"/>
          <w:color w:val="auto"/>
        </w:rPr>
      </w:pPr>
      <w:r>
        <w:rPr>
          <w:rFonts w:ascii="Arial" w:cs="Arial" w:eastAsia="Arial" w:hAnsi="Arial"/>
          <w:sz w:val="11"/>
          <w:szCs w:val="11"/>
          <w:b w:val="1"/>
          <w:bCs w:val="1"/>
          <w:u w:val="single" w:color="auto"/>
          <w:color w:val="auto"/>
        </w:rPr>
        <w:t>What Sets Us Apart</w:t>
      </w:r>
    </w:p>
    <w:p>
      <w:pPr>
        <w:spacing w:after="0" w:line="144" w:lineRule="exact"/>
        <w:rPr>
          <w:sz w:val="20"/>
          <w:szCs w:val="20"/>
          <w:color w:val="auto"/>
        </w:rPr>
      </w:pPr>
    </w:p>
    <w:p>
      <w:pPr>
        <w:ind w:left="2060"/>
        <w:spacing w:after="0"/>
        <w:rPr>
          <w:sz w:val="20"/>
          <w:szCs w:val="20"/>
          <w:color w:val="auto"/>
        </w:rPr>
      </w:pPr>
      <w:r>
        <w:rPr>
          <w:rFonts w:ascii="Arial" w:cs="Arial" w:eastAsia="Arial" w:hAnsi="Arial"/>
          <w:sz w:val="11"/>
          <w:szCs w:val="11"/>
          <w:b w:val="1"/>
          <w:bCs w:val="1"/>
          <w:i w:val="1"/>
          <w:iCs w:val="1"/>
          <w:color w:val="auto"/>
        </w:rPr>
        <w:t>Category-Defining Brand with Broad Appeal</w:t>
      </w:r>
    </w:p>
    <w:p>
      <w:pPr>
        <w:spacing w:after="0" w:line="12" w:lineRule="exact"/>
        <w:rPr>
          <w:sz w:val="20"/>
          <w:szCs w:val="20"/>
          <w:color w:val="auto"/>
        </w:rPr>
      </w:pPr>
    </w:p>
    <w:p>
      <w:pPr>
        <w:jc w:val="both"/>
        <w:ind w:left="2060" w:right="839"/>
        <w:spacing w:after="0" w:line="245" w:lineRule="auto"/>
        <w:rPr>
          <w:sz w:val="20"/>
          <w:szCs w:val="20"/>
          <w:color w:val="auto"/>
        </w:rPr>
      </w:pPr>
      <w:r>
        <w:rPr>
          <w:rFonts w:ascii="Arial" w:cs="Arial" w:eastAsia="Arial" w:hAnsi="Arial"/>
          <w:sz w:val="11"/>
          <w:szCs w:val="11"/>
          <w:color w:val="050505"/>
        </w:rPr>
        <w:t>Peloton is the pioneer of connected, technology-enabled fitness. By meshing the physical and digital worlds, we have created an immersive experience that our Members love. We have scaled rapidly through data-driven marketing and</w:t>
      </w:r>
    </w:p>
    <w:p>
      <w:pPr>
        <w:spacing w:after="0" w:line="93" w:lineRule="exact"/>
        <w:rPr>
          <w:sz w:val="20"/>
          <w:szCs w:val="20"/>
          <w:color w:val="auto"/>
        </w:rPr>
      </w:pPr>
    </w:p>
    <w:p>
      <w:pPr>
        <w:ind w:left="5680"/>
        <w:spacing w:after="0"/>
        <w:rPr>
          <w:sz w:val="20"/>
          <w:szCs w:val="20"/>
          <w:color w:val="auto"/>
        </w:rPr>
      </w:pPr>
      <w:r>
        <w:rPr>
          <w:rFonts w:ascii="Arial" w:cs="Arial" w:eastAsia="Arial" w:hAnsi="Arial"/>
          <w:sz w:val="11"/>
          <w:szCs w:val="11"/>
          <w:color w:val="050505"/>
        </w:rPr>
        <w:t>97</w:t>
      </w:r>
    </w:p>
    <w:p>
      <w:pPr>
        <w:sectPr>
          <w:pgSz w:w="11900" w:h="16838" w:orient="portrait"/>
          <w:cols w:equalWidth="0" w:num="1">
            <w:col w:w="10239"/>
          </w:cols>
          <w:pgMar w:left="220" w:top="354" w:right="1440" w:bottom="1440" w:gutter="0" w:footer="0" w:header="0"/>
        </w:sectPr>
      </w:pPr>
    </w:p>
    <w:bookmarkStart w:id="107" w:name="page108"/>
    <w:bookmarkEnd w:id="107"/>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hyperlink w:anchor="page5">
        <w:r>
          <w:rPr>
            <w:rFonts w:ascii="Arial" w:cs="Arial" w:eastAsia="Arial" w:hAnsi="Arial"/>
            <w:sz w:val="12"/>
            <w:szCs w:val="12"/>
            <w:b w:val="1"/>
            <w:bCs w:val="1"/>
            <w:u w:val="single" w:color="auto"/>
            <w:color w:val="0000EE"/>
          </w:rPr>
          <w:t>Table of Contents</w:t>
        </w:r>
      </w:hyperlink>
    </w:p>
    <w:p>
      <w:pPr>
        <w:spacing w:after="0" w:line="216" w:lineRule="exact"/>
        <w:rPr>
          <w:sz w:val="20"/>
          <w:szCs w:val="20"/>
          <w:color w:val="auto"/>
        </w:rPr>
      </w:pPr>
    </w:p>
    <w:p>
      <w:pPr>
        <w:jc w:val="both"/>
        <w:ind w:left="2060" w:right="839"/>
        <w:spacing w:after="0" w:line="241" w:lineRule="auto"/>
        <w:rPr>
          <w:sz w:val="20"/>
          <w:szCs w:val="20"/>
          <w:color w:val="auto"/>
        </w:rPr>
      </w:pPr>
      <w:r>
        <w:rPr>
          <w:rFonts w:ascii="Arial" w:cs="Arial" w:eastAsia="Arial" w:hAnsi="Arial"/>
          <w:sz w:val="11"/>
          <w:szCs w:val="11"/>
          <w:color w:val="050505"/>
        </w:rPr>
        <w:t>education-based sales efforts. Our marketing is made more efficient by the significant word-of-mouth referrals from our loyal Members, which has become one of our largest sales channels. As a result of strong Connected Fitness Product sales and low Average Net Monthly Connected Fitness Churn, we have grown our Connected Fitness Subscribers from 35,135 as of June 30, 2016 to 511,202 as of June 30, 2019, representing annualized growth of approximately 144.1%.</w:t>
      </w:r>
    </w:p>
    <w:p>
      <w:pPr>
        <w:spacing w:after="0" w:line="140" w:lineRule="exact"/>
        <w:rPr>
          <w:sz w:val="20"/>
          <w:szCs w:val="20"/>
          <w:color w:val="auto"/>
        </w:rPr>
      </w:pPr>
    </w:p>
    <w:p>
      <w:pPr>
        <w:jc w:val="both"/>
        <w:ind w:left="2060" w:right="839"/>
        <w:spacing w:after="0" w:line="242" w:lineRule="auto"/>
        <w:rPr>
          <w:sz w:val="20"/>
          <w:szCs w:val="20"/>
          <w:color w:val="auto"/>
        </w:rPr>
      </w:pPr>
      <w:r>
        <w:rPr>
          <w:rFonts w:ascii="Arial" w:cs="Arial" w:eastAsia="Arial" w:hAnsi="Arial"/>
          <w:sz w:val="11"/>
          <w:szCs w:val="11"/>
          <w:color w:val="050505"/>
        </w:rPr>
        <w:t>We are democratizing access to high-quality boutique fitness by making it accessible and affordable through the compelling value of our unlimited household Connected Fitness Subscriptions and attractive financing programs for the Bike and Tread. We continue to broaden our demographic appeal— our fastest growing demographic segments are consumers under 35 years old and those with household incomes under $75,000.</w:t>
      </w:r>
    </w:p>
    <w:p>
      <w:pPr>
        <w:spacing w:after="0" w:line="128" w:lineRule="exact"/>
        <w:rPr>
          <w:sz w:val="20"/>
          <w:szCs w:val="20"/>
          <w:color w:val="auto"/>
        </w:rPr>
      </w:pPr>
    </w:p>
    <w:p>
      <w:pPr>
        <w:ind w:left="2060"/>
        <w:spacing w:after="0"/>
        <w:rPr>
          <w:sz w:val="20"/>
          <w:szCs w:val="20"/>
          <w:color w:val="auto"/>
        </w:rPr>
      </w:pPr>
      <w:r>
        <w:rPr>
          <w:rFonts w:ascii="Arial" w:cs="Arial" w:eastAsia="Arial" w:hAnsi="Arial"/>
          <w:sz w:val="11"/>
          <w:szCs w:val="11"/>
          <w:b w:val="1"/>
          <w:bCs w:val="1"/>
          <w:i w:val="1"/>
          <w:iCs w:val="1"/>
          <w:color w:val="auto"/>
        </w:rPr>
        <w:t>Growing and Scaled Platform with Network Effects</w:t>
      </w:r>
    </w:p>
    <w:p>
      <w:pPr>
        <w:spacing w:after="0" w:line="12" w:lineRule="exact"/>
        <w:rPr>
          <w:sz w:val="20"/>
          <w:szCs w:val="20"/>
          <w:color w:val="auto"/>
        </w:rPr>
      </w:pPr>
    </w:p>
    <w:p>
      <w:pPr>
        <w:jc w:val="both"/>
        <w:ind w:left="2060" w:right="839"/>
        <w:spacing w:after="0"/>
        <w:rPr>
          <w:sz w:val="20"/>
          <w:szCs w:val="20"/>
          <w:color w:val="auto"/>
        </w:rPr>
      </w:pPr>
      <w:r>
        <w:rPr>
          <w:rFonts w:ascii="Arial" w:cs="Arial" w:eastAsia="Arial" w:hAnsi="Arial"/>
          <w:sz w:val="11"/>
          <w:szCs w:val="11"/>
          <w:color w:val="050505"/>
        </w:rPr>
        <w:t>As the largest interactive fitness platform in the world, our rapidly growing and scaled Member base is a highly strategic asset. With our first mover advantage, we have achieved critical mass, which improves our platform and Member experience. As of June 30, 2019, on average, nearly 6,400 Members participated in each cycling class, across live and on-demand. As our community of Members continues to grow, the Peloton fitness experience becomes more inspiring, more competitive, more immersive, and more connected. Over time, Members are embedded in the Peloton community and we become a part of their lives, increasing the opportunity cost of Members leaving or potential Members not joining our platform.</w:t>
      </w:r>
    </w:p>
    <w:p>
      <w:pPr>
        <w:spacing w:after="0" w:line="130" w:lineRule="exact"/>
        <w:rPr>
          <w:sz w:val="20"/>
          <w:szCs w:val="20"/>
          <w:color w:val="auto"/>
        </w:rPr>
      </w:pPr>
    </w:p>
    <w:p>
      <w:pPr>
        <w:ind w:left="2060"/>
        <w:spacing w:after="0"/>
        <w:rPr>
          <w:sz w:val="20"/>
          <w:szCs w:val="20"/>
          <w:color w:val="auto"/>
        </w:rPr>
      </w:pPr>
      <w:r>
        <w:rPr>
          <w:rFonts w:ascii="Arial" w:cs="Arial" w:eastAsia="Arial" w:hAnsi="Arial"/>
          <w:sz w:val="11"/>
          <w:szCs w:val="11"/>
          <w:b w:val="1"/>
          <w:bCs w:val="1"/>
          <w:i w:val="1"/>
          <w:iCs w:val="1"/>
          <w:color w:val="auto"/>
        </w:rPr>
        <w:t>Engaging-to-the-Point-of-Addictive Fitness Experience Drives High Retention</w:t>
      </w:r>
    </w:p>
    <w:p>
      <w:pPr>
        <w:spacing w:after="0" w:line="12" w:lineRule="exact"/>
        <w:rPr>
          <w:sz w:val="20"/>
          <w:szCs w:val="20"/>
          <w:color w:val="auto"/>
        </w:rPr>
      </w:pPr>
    </w:p>
    <w:p>
      <w:pPr>
        <w:jc w:val="both"/>
        <w:ind w:left="2060" w:right="839"/>
        <w:spacing w:after="0"/>
        <w:rPr>
          <w:sz w:val="20"/>
          <w:szCs w:val="20"/>
          <w:color w:val="auto"/>
        </w:rPr>
      </w:pPr>
      <w:r>
        <w:rPr>
          <w:rFonts w:ascii="Arial" w:cs="Arial" w:eastAsia="Arial" w:hAnsi="Arial"/>
          <w:sz w:val="11"/>
          <w:szCs w:val="11"/>
          <w:color w:val="050505"/>
        </w:rPr>
        <w:t>By making fitness fun and motivating, we help our Members achieve their personal goals. We analyze millions of workouts per month to help us develop features that improve our Member experience and create new, on-trend fitness and wellness content that our Members crave. Engagement is the leading indicator of retention for our Connected Fitness Subscribers. We have consistently seen workouts increase over time. On average, our Connected Fitness Subscribers completed 7.5, 8.4, and 11.5 workouts per month in fiscal 2017, 2018, and 2019, respectively. Usage drives value and loyalty, which is evidenced by our exceptional weighted-average 12-month Connected Fitness Subscriber retention rate of 95% across all fiscal year cohorts since fiscal 2016.</w:t>
      </w:r>
    </w:p>
    <w:p>
      <w:pPr>
        <w:spacing w:after="0" w:line="130" w:lineRule="exact"/>
        <w:rPr>
          <w:sz w:val="20"/>
          <w:szCs w:val="20"/>
          <w:color w:val="auto"/>
        </w:rPr>
      </w:pPr>
    </w:p>
    <w:p>
      <w:pPr>
        <w:ind w:left="2060"/>
        <w:spacing w:after="0"/>
        <w:rPr>
          <w:sz w:val="20"/>
          <w:szCs w:val="20"/>
          <w:color w:val="auto"/>
        </w:rPr>
      </w:pPr>
      <w:r>
        <w:rPr>
          <w:rFonts w:ascii="Arial" w:cs="Arial" w:eastAsia="Arial" w:hAnsi="Arial"/>
          <w:sz w:val="11"/>
          <w:szCs w:val="11"/>
          <w:b w:val="1"/>
          <w:bCs w:val="1"/>
          <w:i w:val="1"/>
          <w:iCs w:val="1"/>
          <w:color w:val="auto"/>
        </w:rPr>
        <w:t>Vertically Integrated Platform That is Difficult to Replicate</w:t>
      </w:r>
    </w:p>
    <w:p>
      <w:pPr>
        <w:spacing w:after="0" w:line="12" w:lineRule="exact"/>
        <w:rPr>
          <w:sz w:val="20"/>
          <w:szCs w:val="20"/>
          <w:color w:val="auto"/>
        </w:rPr>
      </w:pPr>
    </w:p>
    <w:p>
      <w:pPr>
        <w:jc w:val="both"/>
        <w:ind w:left="2060" w:right="839"/>
        <w:spacing w:after="0"/>
        <w:rPr>
          <w:sz w:val="20"/>
          <w:szCs w:val="20"/>
          <w:color w:val="auto"/>
        </w:rPr>
      </w:pPr>
      <w:r>
        <w:rPr>
          <w:rFonts w:ascii="Arial" w:cs="Arial" w:eastAsia="Arial" w:hAnsi="Arial"/>
          <w:sz w:val="11"/>
          <w:szCs w:val="11"/>
          <w:color w:val="050505"/>
        </w:rPr>
        <w:t>We are driven by our Members-first obsession and see every Member touchpoint as an opportunity to exceed expectations. To create the best platform, we designed our own products, developed our own interactive software, and created our own high production value fitness and wellness programming. For full end-to-end Member support, we were also compelled to develop our own customer education, purchase and delivery, and services platform. We sell our Connected Fitness Products exclusively through our knowledgeable inside sales and showroom associates as well as our e-commerce site. Our high-touch delivery teams ensure that new Members are immediately set up and ready to work out on their new Bike or Tread. The effectiveness of our end-to-end platform is demonstrated by the high Net Promoter Score for our Bike, which has been within the range of 80 to 93 since we began measuring it in 2016.</w:t>
      </w:r>
    </w:p>
    <w:p>
      <w:pPr>
        <w:spacing w:after="0" w:line="129" w:lineRule="exact"/>
        <w:rPr>
          <w:sz w:val="20"/>
          <w:szCs w:val="20"/>
          <w:color w:val="auto"/>
        </w:rPr>
      </w:pPr>
    </w:p>
    <w:p>
      <w:pPr>
        <w:ind w:left="2060"/>
        <w:spacing w:after="0"/>
        <w:rPr>
          <w:sz w:val="20"/>
          <w:szCs w:val="20"/>
          <w:color w:val="auto"/>
        </w:rPr>
      </w:pPr>
      <w:r>
        <w:rPr>
          <w:rFonts w:ascii="Arial" w:cs="Arial" w:eastAsia="Arial" w:hAnsi="Arial"/>
          <w:sz w:val="11"/>
          <w:szCs w:val="11"/>
          <w:b w:val="1"/>
          <w:bCs w:val="1"/>
          <w:i w:val="1"/>
          <w:iCs w:val="1"/>
          <w:color w:val="auto"/>
        </w:rPr>
        <w:t>Compelling Financial Model</w:t>
      </w:r>
    </w:p>
    <w:p>
      <w:pPr>
        <w:spacing w:after="0" w:line="12" w:lineRule="exact"/>
        <w:rPr>
          <w:sz w:val="20"/>
          <w:szCs w:val="20"/>
          <w:color w:val="auto"/>
        </w:rPr>
      </w:pPr>
    </w:p>
    <w:p>
      <w:pPr>
        <w:jc w:val="both"/>
        <w:ind w:left="2060" w:right="839"/>
        <w:spacing w:after="0"/>
        <w:rPr>
          <w:sz w:val="20"/>
          <w:szCs w:val="20"/>
          <w:color w:val="auto"/>
        </w:rPr>
      </w:pPr>
      <w:r>
        <w:rPr>
          <w:rFonts w:ascii="Arial" w:cs="Arial" w:eastAsia="Arial" w:hAnsi="Arial"/>
          <w:sz w:val="11"/>
          <w:szCs w:val="11"/>
          <w:color w:val="050505"/>
        </w:rPr>
        <w:t>Our financial profile is characterized by high growth, strong retention, recurring revenue, margin expansion, and efficient customer acquisition. Our growth is attributable to our data-driven marketing approach and Member word-of-mouth referrals, both of which help us generate predictable and increasingly efficient Connected Fitness Product sales. Our low Average Net Monthly Connected Fitness Churn, combined with our high Subscription Contribution Margin, results in attractive Connected Fitness Subscriber Lifetime Value. We offset customer acquisition costs with the gross profit earned on our Connected Fitness Products, generating rapid payback of sales and marketing investments and robust unit economics.</w:t>
      </w:r>
    </w:p>
    <w:p>
      <w:pPr>
        <w:spacing w:after="0" w:line="130" w:lineRule="exact"/>
        <w:rPr>
          <w:sz w:val="20"/>
          <w:szCs w:val="20"/>
          <w:color w:val="auto"/>
        </w:rPr>
      </w:pPr>
    </w:p>
    <w:p>
      <w:pPr>
        <w:ind w:left="2060"/>
        <w:spacing w:after="0"/>
        <w:rPr>
          <w:sz w:val="20"/>
          <w:szCs w:val="20"/>
          <w:color w:val="auto"/>
        </w:rPr>
      </w:pPr>
      <w:r>
        <w:rPr>
          <w:rFonts w:ascii="Arial" w:cs="Arial" w:eastAsia="Arial" w:hAnsi="Arial"/>
          <w:sz w:val="11"/>
          <w:szCs w:val="11"/>
          <w:b w:val="1"/>
          <w:bCs w:val="1"/>
          <w:i w:val="1"/>
          <w:iCs w:val="1"/>
          <w:color w:val="auto"/>
        </w:rPr>
        <w:t>Founder-Led, Passionate Team</w:t>
      </w:r>
    </w:p>
    <w:p>
      <w:pPr>
        <w:spacing w:after="0" w:line="12" w:lineRule="exact"/>
        <w:rPr>
          <w:sz w:val="20"/>
          <w:szCs w:val="20"/>
          <w:color w:val="auto"/>
        </w:rPr>
      </w:pPr>
    </w:p>
    <w:p>
      <w:pPr>
        <w:jc w:val="both"/>
        <w:ind w:left="2060" w:right="839"/>
        <w:spacing w:after="0"/>
        <w:rPr>
          <w:sz w:val="20"/>
          <w:szCs w:val="20"/>
          <w:color w:val="auto"/>
        </w:rPr>
      </w:pPr>
      <w:r>
        <w:rPr>
          <w:rFonts w:ascii="Arial" w:cs="Arial" w:eastAsia="Arial" w:hAnsi="Arial"/>
          <w:sz w:val="11"/>
          <w:szCs w:val="11"/>
          <w:color w:val="050505"/>
        </w:rPr>
        <w:t>Peloton was founded by John Foley in 2012. Along with his four co-founders, John set out to create the most convenient and immersive indoor cycling experience in the world. Our founders believed deeply that creating a Members-first experience would require Peloton to be as vertically integrated as possible, and so we built teams that span software development, product design, fitness instruction, content production, marketing, music, logistics, retail, and apparel. We believe that no other company is at the intersection of all these disciplines, which means that every day we are doing something that no other company has done before. This, along with the positive impact we have on our Members’ physical and mental well-being, fuels our passion for continuous innovation and progress.</w:t>
      </w:r>
    </w:p>
    <w:p>
      <w:pPr>
        <w:spacing w:after="0" w:line="97" w:lineRule="exact"/>
        <w:rPr>
          <w:sz w:val="20"/>
          <w:szCs w:val="20"/>
          <w:color w:val="auto"/>
        </w:rPr>
      </w:pPr>
    </w:p>
    <w:p>
      <w:pPr>
        <w:ind w:left="5680"/>
        <w:spacing w:after="0"/>
        <w:rPr>
          <w:sz w:val="20"/>
          <w:szCs w:val="20"/>
          <w:color w:val="auto"/>
        </w:rPr>
      </w:pPr>
      <w:r>
        <w:rPr>
          <w:rFonts w:ascii="Arial" w:cs="Arial" w:eastAsia="Arial" w:hAnsi="Arial"/>
          <w:sz w:val="11"/>
          <w:szCs w:val="11"/>
          <w:color w:val="050505"/>
        </w:rPr>
        <w:t>98</w:t>
      </w:r>
    </w:p>
    <w:p>
      <w:pPr>
        <w:sectPr>
          <w:pgSz w:w="11900" w:h="16838" w:orient="portrait"/>
          <w:cols w:equalWidth="0" w:num="1">
            <w:col w:w="10239"/>
          </w:cols>
          <w:pgMar w:left="220" w:top="354" w:right="1440" w:bottom="1440" w:gutter="0" w:footer="0" w:header="0"/>
        </w:sectPr>
      </w:pPr>
    </w:p>
    <w:bookmarkStart w:id="108" w:name="page109"/>
    <w:bookmarkEnd w:id="108"/>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hyperlink w:anchor="page5">
        <w:r>
          <w:rPr>
            <w:rFonts w:ascii="Arial" w:cs="Arial" w:eastAsia="Arial" w:hAnsi="Arial"/>
            <w:sz w:val="12"/>
            <w:szCs w:val="12"/>
            <w:b w:val="1"/>
            <w:bCs w:val="1"/>
            <w:u w:val="single" w:color="auto"/>
            <w:color w:val="0000EE"/>
          </w:rPr>
          <w:t>Table of Contents</w:t>
        </w:r>
      </w:hyperlink>
    </w:p>
    <w:p>
      <w:pPr>
        <w:spacing w:after="0" w:line="204" w:lineRule="exact"/>
        <w:rPr>
          <w:sz w:val="20"/>
          <w:szCs w:val="20"/>
          <w:color w:val="auto"/>
        </w:rPr>
      </w:pPr>
    </w:p>
    <w:p>
      <w:pPr>
        <w:ind w:left="2060"/>
        <w:spacing w:after="0"/>
        <w:rPr>
          <w:sz w:val="20"/>
          <w:szCs w:val="20"/>
          <w:color w:val="auto"/>
        </w:rPr>
      </w:pPr>
      <w:r>
        <w:rPr>
          <w:rFonts w:ascii="Arial" w:cs="Arial" w:eastAsia="Arial" w:hAnsi="Arial"/>
          <w:sz w:val="11"/>
          <w:szCs w:val="11"/>
          <w:b w:val="1"/>
          <w:bCs w:val="1"/>
          <w:u w:val="single" w:color="auto"/>
          <w:color w:val="auto"/>
        </w:rPr>
        <w:t>Growth Strategies</w:t>
      </w:r>
    </w:p>
    <w:p>
      <w:pPr>
        <w:spacing w:after="0" w:line="12" w:lineRule="exact"/>
        <w:rPr>
          <w:sz w:val="20"/>
          <w:szCs w:val="20"/>
          <w:color w:val="auto"/>
        </w:rPr>
      </w:pPr>
    </w:p>
    <w:p>
      <w:pPr>
        <w:jc w:val="both"/>
        <w:ind w:left="2060" w:right="839"/>
        <w:spacing w:after="0" w:line="245" w:lineRule="auto"/>
        <w:rPr>
          <w:sz w:val="20"/>
          <w:szCs w:val="20"/>
          <w:color w:val="auto"/>
        </w:rPr>
      </w:pPr>
      <w:r>
        <w:rPr>
          <w:rFonts w:ascii="Arial" w:cs="Arial" w:eastAsia="Arial" w:hAnsi="Arial"/>
          <w:sz w:val="11"/>
          <w:szCs w:val="11"/>
          <w:color w:val="050505"/>
        </w:rPr>
        <w:t>Our goal is to rapidly grow our Member base through the sale of our Connected Fitness Products while continuing to engage and retain our scaled and loyal community of Members.</w:t>
      </w:r>
    </w:p>
    <w:p>
      <w:pPr>
        <w:spacing w:after="0" w:line="126" w:lineRule="exact"/>
        <w:rPr>
          <w:sz w:val="20"/>
          <w:szCs w:val="20"/>
          <w:color w:val="auto"/>
        </w:rPr>
      </w:pPr>
    </w:p>
    <w:p>
      <w:pPr>
        <w:ind w:left="2060"/>
        <w:spacing w:after="0"/>
        <w:rPr>
          <w:sz w:val="20"/>
          <w:szCs w:val="20"/>
          <w:color w:val="auto"/>
        </w:rPr>
      </w:pPr>
      <w:r>
        <w:rPr>
          <w:rFonts w:ascii="Arial" w:cs="Arial" w:eastAsia="Arial" w:hAnsi="Arial"/>
          <w:sz w:val="11"/>
          <w:szCs w:val="11"/>
          <w:b w:val="1"/>
          <w:bCs w:val="1"/>
          <w:i w:val="1"/>
          <w:iCs w:val="1"/>
          <w:color w:val="auto"/>
        </w:rPr>
        <w:t>Grow Brand Awareness</w:t>
      </w:r>
    </w:p>
    <w:p>
      <w:pPr>
        <w:spacing w:after="0" w:line="12" w:lineRule="exact"/>
        <w:rPr>
          <w:sz w:val="20"/>
          <w:szCs w:val="20"/>
          <w:color w:val="auto"/>
        </w:rPr>
      </w:pPr>
    </w:p>
    <w:p>
      <w:pPr>
        <w:jc w:val="both"/>
        <w:ind w:left="2060" w:right="839"/>
        <w:spacing w:after="0"/>
        <w:rPr>
          <w:sz w:val="20"/>
          <w:szCs w:val="20"/>
          <w:color w:val="auto"/>
        </w:rPr>
      </w:pPr>
      <w:r>
        <w:rPr>
          <w:rFonts w:ascii="Arial" w:cs="Arial" w:eastAsia="Arial" w:hAnsi="Arial"/>
          <w:sz w:val="11"/>
          <w:szCs w:val="11"/>
          <w:color w:val="050505"/>
        </w:rPr>
        <w:t>We are still in the early stages of growth in our existing markets. As of June 30, 2019, we had sold approximately 577,000 Connected Fitness Products globally, a small fraction of the 14 million products we believe reflect our current SAM. While our aided brand awareness has grown rapidly in the United States and reached 67% as of April 3, 2019, we have significant room to increase our brand and product awareness in both the United States and in our other geographies through television, digital, and social media marketing, as well as our showrooms and word-of-mouth referrals. We continue to broaden our demographic appeal by educating customers on the compelling value of our Connected Fitness Subscriptions.</w:t>
      </w:r>
    </w:p>
    <w:p>
      <w:pPr>
        <w:spacing w:after="0" w:line="130" w:lineRule="exact"/>
        <w:rPr>
          <w:sz w:val="20"/>
          <w:szCs w:val="20"/>
          <w:color w:val="auto"/>
        </w:rPr>
      </w:pPr>
    </w:p>
    <w:p>
      <w:pPr>
        <w:ind w:left="2060"/>
        <w:spacing w:after="0"/>
        <w:rPr>
          <w:sz w:val="20"/>
          <w:szCs w:val="20"/>
          <w:color w:val="auto"/>
        </w:rPr>
      </w:pPr>
      <w:r>
        <w:rPr>
          <w:rFonts w:ascii="Arial" w:cs="Arial" w:eastAsia="Arial" w:hAnsi="Arial"/>
          <w:sz w:val="11"/>
          <w:szCs w:val="11"/>
          <w:b w:val="1"/>
          <w:bCs w:val="1"/>
          <w:i w:val="1"/>
          <w:iCs w:val="1"/>
          <w:color w:val="auto"/>
        </w:rPr>
        <w:t>Continuously Improve Member Experience</w:t>
      </w:r>
    </w:p>
    <w:p>
      <w:pPr>
        <w:spacing w:after="0" w:line="12" w:lineRule="exact"/>
        <w:rPr>
          <w:sz w:val="20"/>
          <w:szCs w:val="20"/>
          <w:color w:val="auto"/>
        </w:rPr>
      </w:pPr>
    </w:p>
    <w:p>
      <w:pPr>
        <w:jc w:val="both"/>
        <w:ind w:left="2060" w:right="839"/>
        <w:spacing w:after="0"/>
        <w:rPr>
          <w:sz w:val="20"/>
          <w:szCs w:val="20"/>
          <w:color w:val="auto"/>
        </w:rPr>
      </w:pPr>
      <w:r>
        <w:rPr>
          <w:rFonts w:ascii="Arial" w:cs="Arial" w:eastAsia="Arial" w:hAnsi="Arial"/>
          <w:sz w:val="11"/>
          <w:szCs w:val="11"/>
          <w:color w:val="050505"/>
        </w:rPr>
        <w:t>We constantly improve and evolve our interactive software and content to drive Member engagement, which helps us maintain our high retention rates as we grow. We deploy new software features frequently and currently produce over 950 original programs per month to keep our content library fresh and on-trend. We also continue to drive usage through innovative fitness and wellness programs and goal-based challenges that make Members feel more accountable and help them reach their personal goals. Total Workouts for our Connected Fitness Subscribers grew from 17.9 million in fiscal 2018 to 52.2 million in fiscal 2019, respectively, representing a 192% increase. For a definition of Total Workouts, see the section titled “Management’s Discussion and Analysis of Financial Condition and Results of Operations—Key Operational and Business Metrics.”</w:t>
      </w:r>
    </w:p>
    <w:p>
      <w:pPr>
        <w:spacing w:after="0" w:line="130" w:lineRule="exact"/>
        <w:rPr>
          <w:sz w:val="20"/>
          <w:szCs w:val="20"/>
          <w:color w:val="auto"/>
        </w:rPr>
      </w:pPr>
    </w:p>
    <w:p>
      <w:pPr>
        <w:ind w:left="2060"/>
        <w:spacing w:after="0"/>
        <w:rPr>
          <w:sz w:val="20"/>
          <w:szCs w:val="20"/>
          <w:color w:val="auto"/>
        </w:rPr>
      </w:pPr>
      <w:r>
        <w:rPr>
          <w:rFonts w:ascii="Arial" w:cs="Arial" w:eastAsia="Arial" w:hAnsi="Arial"/>
          <w:sz w:val="11"/>
          <w:szCs w:val="11"/>
          <w:b w:val="1"/>
          <w:bCs w:val="1"/>
          <w:i w:val="1"/>
          <w:iCs w:val="1"/>
          <w:color w:val="auto"/>
        </w:rPr>
        <w:t>Launch New Products and Expand Content Offering</w:t>
      </w:r>
    </w:p>
    <w:p>
      <w:pPr>
        <w:spacing w:after="0" w:line="12" w:lineRule="exact"/>
        <w:rPr>
          <w:sz w:val="20"/>
          <w:szCs w:val="20"/>
          <w:color w:val="auto"/>
        </w:rPr>
      </w:pPr>
    </w:p>
    <w:p>
      <w:pPr>
        <w:jc w:val="both"/>
        <w:ind w:left="2060" w:right="839"/>
        <w:spacing w:after="0" w:line="242" w:lineRule="auto"/>
        <w:rPr>
          <w:sz w:val="20"/>
          <w:szCs w:val="20"/>
          <w:color w:val="auto"/>
        </w:rPr>
      </w:pPr>
      <w:r>
        <w:rPr>
          <w:rFonts w:ascii="Arial" w:cs="Arial" w:eastAsia="Arial" w:hAnsi="Arial"/>
          <w:sz w:val="11"/>
          <w:szCs w:val="11"/>
          <w:color w:val="050505"/>
        </w:rPr>
        <w:t>Over time, we plan to invest heavily in new product development and content to further penetrate our SAM. We will launch new Connected Fitness Products and accessories in our existing, as well as new fitness verticals, while continuously updating and expanding our original fitness and wellness programming. We will pursue new products where there is a large market opportunity in areas of fitness with staying power.</w:t>
      </w:r>
    </w:p>
    <w:p>
      <w:pPr>
        <w:spacing w:after="0" w:line="128" w:lineRule="exact"/>
        <w:rPr>
          <w:sz w:val="20"/>
          <w:szCs w:val="20"/>
          <w:color w:val="auto"/>
        </w:rPr>
      </w:pPr>
    </w:p>
    <w:p>
      <w:pPr>
        <w:ind w:left="2060"/>
        <w:spacing w:after="0"/>
        <w:rPr>
          <w:sz w:val="20"/>
          <w:szCs w:val="20"/>
          <w:color w:val="auto"/>
        </w:rPr>
      </w:pPr>
      <w:r>
        <w:rPr>
          <w:rFonts w:ascii="Arial" w:cs="Arial" w:eastAsia="Arial" w:hAnsi="Arial"/>
          <w:sz w:val="11"/>
          <w:szCs w:val="11"/>
          <w:b w:val="1"/>
          <w:bCs w:val="1"/>
          <w:i w:val="1"/>
          <w:iCs w:val="1"/>
          <w:color w:val="auto"/>
        </w:rPr>
        <w:t>Pursue Disciplined Expansion into New Geographies</w:t>
      </w:r>
    </w:p>
    <w:p>
      <w:pPr>
        <w:spacing w:after="0" w:line="12" w:lineRule="exact"/>
        <w:rPr>
          <w:sz w:val="20"/>
          <w:szCs w:val="20"/>
          <w:color w:val="auto"/>
        </w:rPr>
      </w:pPr>
    </w:p>
    <w:p>
      <w:pPr>
        <w:jc w:val="both"/>
        <w:ind w:left="2060" w:right="839"/>
        <w:spacing w:after="0" w:line="241" w:lineRule="auto"/>
        <w:rPr>
          <w:sz w:val="20"/>
          <w:szCs w:val="20"/>
          <w:color w:val="auto"/>
        </w:rPr>
      </w:pPr>
      <w:r>
        <w:rPr>
          <w:rFonts w:ascii="Arial" w:cs="Arial" w:eastAsia="Arial" w:hAnsi="Arial"/>
          <w:sz w:val="11"/>
          <w:szCs w:val="11"/>
          <w:color w:val="050505"/>
        </w:rPr>
        <w:t>With more than 174 million people belonging to gyms globally, we believe there is significant opportunity for Peloton to grow internationally. In 2018, we began our international expansion and brought the Peloton experience to the United Kingdom and Canada. With our expansion into Germany in the winter of 2019, we will be in the largest fitness markets in the world. We will continue to pursue disciplined international expansion by targeting countries with high fitness penetration and spend, the presence of boutique fitness, and where we believe the Peloton value proposition will resonate.</w:t>
      </w:r>
    </w:p>
    <w:p>
      <w:pPr>
        <w:spacing w:after="0" w:line="128" w:lineRule="exact"/>
        <w:rPr>
          <w:sz w:val="20"/>
          <w:szCs w:val="20"/>
          <w:color w:val="auto"/>
        </w:rPr>
      </w:pPr>
    </w:p>
    <w:p>
      <w:pPr>
        <w:ind w:left="2060"/>
        <w:spacing w:after="0"/>
        <w:rPr>
          <w:sz w:val="20"/>
          <w:szCs w:val="20"/>
          <w:color w:val="auto"/>
        </w:rPr>
      </w:pPr>
      <w:r>
        <w:rPr>
          <w:rFonts w:ascii="Arial" w:cs="Arial" w:eastAsia="Arial" w:hAnsi="Arial"/>
          <w:sz w:val="11"/>
          <w:szCs w:val="11"/>
          <w:b w:val="1"/>
          <w:bCs w:val="1"/>
          <w:i w:val="1"/>
          <w:iCs w:val="1"/>
          <w:color w:val="auto"/>
        </w:rPr>
        <w:t>Invest in Our Platform</w:t>
      </w:r>
    </w:p>
    <w:p>
      <w:pPr>
        <w:spacing w:after="0" w:line="12" w:lineRule="exact"/>
        <w:rPr>
          <w:sz w:val="20"/>
          <w:szCs w:val="20"/>
          <w:color w:val="auto"/>
        </w:rPr>
      </w:pPr>
    </w:p>
    <w:p>
      <w:pPr>
        <w:jc w:val="both"/>
        <w:ind w:left="2060" w:right="839"/>
        <w:spacing w:after="0"/>
        <w:rPr>
          <w:sz w:val="20"/>
          <w:szCs w:val="20"/>
          <w:color w:val="auto"/>
        </w:rPr>
      </w:pPr>
      <w:r>
        <w:rPr>
          <w:rFonts w:ascii="Arial" w:cs="Arial" w:eastAsia="Arial" w:hAnsi="Arial"/>
          <w:sz w:val="11"/>
          <w:szCs w:val="11"/>
          <w:color w:val="050505"/>
        </w:rPr>
        <w:t>We will continue to invest in technology and infrastructure to extend our leadership in connected fitness, increase our value proposition, and support our growth. Over the next couple of years, we will continue to invest in state-of-the-art production studios in New York City and London and a new headquarters in New York City, which will include a dedicated research and development facility for new product design, development, and testing. We will continue to invest heavily in a variety of software and hardware engineering functions, supply chain operations, manufacturing, and advanced quality assurance to support our growth.</w:t>
      </w:r>
    </w:p>
    <w:p>
      <w:pPr>
        <w:spacing w:after="0" w:line="130" w:lineRule="exact"/>
        <w:rPr>
          <w:sz w:val="20"/>
          <w:szCs w:val="20"/>
          <w:color w:val="auto"/>
        </w:rPr>
      </w:pPr>
    </w:p>
    <w:p>
      <w:pPr>
        <w:ind w:left="2060"/>
        <w:spacing w:after="0"/>
        <w:rPr>
          <w:sz w:val="20"/>
          <w:szCs w:val="20"/>
          <w:color w:val="auto"/>
        </w:rPr>
      </w:pPr>
      <w:r>
        <w:rPr>
          <w:rFonts w:ascii="Arial" w:cs="Arial" w:eastAsia="Arial" w:hAnsi="Arial"/>
          <w:sz w:val="11"/>
          <w:szCs w:val="11"/>
          <w:b w:val="1"/>
          <w:bCs w:val="1"/>
          <w:i w:val="1"/>
          <w:iCs w:val="1"/>
          <w:color w:val="auto"/>
        </w:rPr>
        <w:t>Increase Profitability Through Fixed Cost Leverage</w:t>
      </w:r>
    </w:p>
    <w:p>
      <w:pPr>
        <w:spacing w:after="0" w:line="12" w:lineRule="exact"/>
        <w:rPr>
          <w:sz w:val="20"/>
          <w:szCs w:val="20"/>
          <w:color w:val="auto"/>
        </w:rPr>
      </w:pPr>
    </w:p>
    <w:p>
      <w:pPr>
        <w:jc w:val="both"/>
        <w:ind w:left="2060" w:right="839"/>
        <w:spacing w:after="0"/>
        <w:rPr>
          <w:sz w:val="20"/>
          <w:szCs w:val="20"/>
          <w:color w:val="auto"/>
        </w:rPr>
      </w:pPr>
      <w:r>
        <w:rPr>
          <w:rFonts w:ascii="Arial" w:cs="Arial" w:eastAsia="Arial" w:hAnsi="Arial"/>
          <w:sz w:val="11"/>
          <w:szCs w:val="11"/>
          <w:color w:val="050505"/>
        </w:rPr>
        <w:t>The continued growth of our Connected Fitness Subscriber base will allow us to improve Subscription Contribution Margin, increase Connected Fitness Subscriber Lifetime Value, and generate operating leverage. A significant portion of our content creation costs can be leveraged over time given that a limited number of production studios and instructors can support the future growth of our Subscriber base. We expect to drive continued efficiencies in sales and marketing expenses as we benefit from increasing brand awareness, word-of-mouth referrals from our growing Subscriber base, and further optimization of our sales and marketing investments by channel. We will also achieve operating leverage as we scale fixed general and administrative expenses, including those associated with our new headquarters in New York City.</w:t>
      </w:r>
    </w:p>
    <w:p>
      <w:pPr>
        <w:spacing w:after="0" w:line="97" w:lineRule="exact"/>
        <w:rPr>
          <w:sz w:val="20"/>
          <w:szCs w:val="20"/>
          <w:color w:val="auto"/>
        </w:rPr>
      </w:pPr>
    </w:p>
    <w:p>
      <w:pPr>
        <w:ind w:left="5680"/>
        <w:spacing w:after="0"/>
        <w:rPr>
          <w:sz w:val="20"/>
          <w:szCs w:val="20"/>
          <w:color w:val="auto"/>
        </w:rPr>
      </w:pPr>
      <w:r>
        <w:rPr>
          <w:rFonts w:ascii="Arial" w:cs="Arial" w:eastAsia="Arial" w:hAnsi="Arial"/>
          <w:sz w:val="11"/>
          <w:szCs w:val="11"/>
          <w:color w:val="050505"/>
        </w:rPr>
        <w:t>99</w:t>
      </w:r>
    </w:p>
    <w:p>
      <w:pPr>
        <w:sectPr>
          <w:pgSz w:w="11900" w:h="16838" w:orient="portrait"/>
          <w:cols w:equalWidth="0" w:num="1">
            <w:col w:w="10239"/>
          </w:cols>
          <w:pgMar w:left="220" w:top="354" w:right="1440" w:bottom="1440" w:gutter="0" w:footer="0" w:header="0"/>
        </w:sectPr>
      </w:pPr>
    </w:p>
    <w:bookmarkStart w:id="109" w:name="page110"/>
    <w:bookmarkEnd w:id="109"/>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hyperlink w:anchor="page5">
        <w:r>
          <w:rPr>
            <w:rFonts w:ascii="Arial" w:cs="Arial" w:eastAsia="Arial" w:hAnsi="Arial"/>
            <w:sz w:val="12"/>
            <w:szCs w:val="12"/>
            <w:b w:val="1"/>
            <w:bCs w:val="1"/>
            <w:u w:val="single" w:color="auto"/>
            <w:color w:val="0000EE"/>
          </w:rPr>
          <w:t>Table of Contents</w:t>
        </w:r>
      </w:hyperlink>
    </w:p>
    <w:p>
      <w:pPr>
        <w:spacing w:after="0" w:line="204" w:lineRule="exact"/>
        <w:rPr>
          <w:sz w:val="20"/>
          <w:szCs w:val="20"/>
          <w:color w:val="auto"/>
        </w:rPr>
      </w:pPr>
    </w:p>
    <w:p>
      <w:pPr>
        <w:ind w:left="2060"/>
        <w:spacing w:after="0"/>
        <w:rPr>
          <w:sz w:val="20"/>
          <w:szCs w:val="20"/>
          <w:color w:val="auto"/>
        </w:rPr>
      </w:pPr>
      <w:r>
        <w:rPr>
          <w:rFonts w:ascii="Arial" w:cs="Arial" w:eastAsia="Arial" w:hAnsi="Arial"/>
          <w:sz w:val="11"/>
          <w:szCs w:val="11"/>
          <w:b w:val="1"/>
          <w:bCs w:val="1"/>
          <w:u w:val="single" w:color="auto"/>
          <w:color w:val="auto"/>
        </w:rPr>
        <w:t>Our Product Offerings</w:t>
      </w:r>
    </w:p>
    <w:p>
      <w:pPr>
        <w:spacing w:after="0" w:line="144" w:lineRule="exact"/>
        <w:rPr>
          <w:sz w:val="20"/>
          <w:szCs w:val="20"/>
          <w:color w:val="auto"/>
        </w:rPr>
      </w:pPr>
    </w:p>
    <w:p>
      <w:pPr>
        <w:ind w:left="2060"/>
        <w:spacing w:after="0"/>
        <w:rPr>
          <w:sz w:val="20"/>
          <w:szCs w:val="20"/>
          <w:color w:val="auto"/>
        </w:rPr>
      </w:pPr>
      <w:r>
        <w:rPr>
          <w:rFonts w:ascii="Arial" w:cs="Arial" w:eastAsia="Arial" w:hAnsi="Arial"/>
          <w:sz w:val="11"/>
          <w:szCs w:val="11"/>
          <w:b w:val="1"/>
          <w:bCs w:val="1"/>
          <w:i w:val="1"/>
          <w:iCs w:val="1"/>
          <w:color w:val="auto"/>
        </w:rPr>
        <w:t>Connected Fitness Products</w:t>
      </w:r>
    </w:p>
    <w:p>
      <w:pPr>
        <w:spacing w:after="0" w:line="12" w:lineRule="exact"/>
        <w:rPr>
          <w:sz w:val="20"/>
          <w:szCs w:val="20"/>
          <w:color w:val="auto"/>
        </w:rPr>
      </w:pPr>
    </w:p>
    <w:p>
      <w:pPr>
        <w:jc w:val="both"/>
        <w:ind w:left="2060" w:right="839"/>
        <w:spacing w:after="0"/>
        <w:rPr>
          <w:sz w:val="20"/>
          <w:szCs w:val="20"/>
          <w:color w:val="auto"/>
        </w:rPr>
      </w:pPr>
      <w:r>
        <w:rPr>
          <w:rFonts w:ascii="Arial" w:cs="Arial" w:eastAsia="Arial" w:hAnsi="Arial"/>
          <w:sz w:val="11"/>
          <w:szCs w:val="11"/>
          <w:color w:val="050505"/>
        </w:rPr>
        <w:t>Our Connected Fitness Products include the Peloton Bike, launched in 2014, and the Peloton Tread, launched in 2018. Our Bike features a carbon steel frame, a nearly silent belt drive, magnetic resistance for durability, and a 22” high-definition touchscreen with built-in stereo speakers to stream live and on-demand classes, all in a compact, 4’ by 2’ footprint. In the United States, we sell our Bike for $2,245, which includes delivery and set up. We offer qualified customers in the United States a 39-month, 0% APR financing program, allowing them to purchase the Bike and pay in monthly installments of $58.00.</w:t>
      </w:r>
    </w:p>
    <w:p>
      <w:pPr>
        <w:spacing w:after="0" w:line="142" w:lineRule="exact"/>
        <w:rPr>
          <w:sz w:val="20"/>
          <w:szCs w:val="20"/>
          <w:color w:val="auto"/>
        </w:rPr>
      </w:pPr>
    </w:p>
    <w:p>
      <w:pPr>
        <w:jc w:val="both"/>
        <w:ind w:left="2060" w:right="839"/>
        <w:spacing w:after="0"/>
        <w:rPr>
          <w:sz w:val="20"/>
          <w:szCs w:val="20"/>
          <w:color w:val="auto"/>
        </w:rPr>
      </w:pPr>
      <w:r>
        <w:rPr>
          <w:rFonts w:ascii="Arial" w:cs="Arial" w:eastAsia="Arial" w:hAnsi="Arial"/>
          <w:sz w:val="11"/>
          <w:szCs w:val="11"/>
          <w:color w:val="050505"/>
        </w:rPr>
        <w:t>The Tread provides a one-of-a-kind experience for runners, strength trainers, and bootcamp enthusiasts. Like our Bike, the Tread has a state-of-the-art touch screen that allows Members to stream live and on-demand classes and is designed for performance and comfort. The Tread features a shock-absorbing rubber-slat belt and ball bearing system, ideal for low-impact training, while pace and incline knobs allow for seamless adjustments. The 32” high-definition touchscreen features a 20-watt sound bar for an immersive experience both on and off the Tread. Currently our Tread is only available in the United States and sells for $4,295, which includes delivery and set up. We offer qualified customers a 24-month, 0% APR financing program, allowing them to purchase the Tread and pay in monthly installments of $179.00.</w:t>
      </w:r>
    </w:p>
    <w:p>
      <w:pPr>
        <w:spacing w:after="0" w:line="140" w:lineRule="exact"/>
        <w:rPr>
          <w:sz w:val="20"/>
          <w:szCs w:val="20"/>
          <w:color w:val="auto"/>
        </w:rPr>
      </w:pPr>
    </w:p>
    <w:p>
      <w:pPr>
        <w:ind w:left="3460"/>
        <w:spacing w:after="0"/>
        <w:tabs>
          <w:tab w:leader="none" w:pos="7200" w:val="left"/>
        </w:tabs>
        <w:rPr>
          <w:sz w:val="20"/>
          <w:szCs w:val="20"/>
          <w:color w:val="auto"/>
        </w:rPr>
      </w:pPr>
      <w:r>
        <w:rPr>
          <w:rFonts w:ascii="Arial" w:cs="Arial" w:eastAsia="Arial" w:hAnsi="Arial"/>
          <w:sz w:val="13"/>
          <w:szCs w:val="13"/>
          <w:b w:val="1"/>
          <w:bCs w:val="1"/>
          <w:color w:val="auto"/>
        </w:rPr>
        <w:t>Peloton Bike</w:t>
      </w:r>
      <w:r>
        <w:rPr>
          <w:sz w:val="20"/>
          <w:szCs w:val="20"/>
          <w:color w:val="auto"/>
        </w:rPr>
        <w:tab/>
      </w:r>
      <w:r>
        <w:rPr>
          <w:rFonts w:ascii="Arial" w:cs="Arial" w:eastAsia="Arial" w:hAnsi="Arial"/>
          <w:sz w:val="12"/>
          <w:szCs w:val="12"/>
          <w:b w:val="1"/>
          <w:bCs w:val="1"/>
          <w:color w:val="auto"/>
        </w:rPr>
        <w:t>Peloton Tread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1310640</wp:posOffset>
            </wp:positionH>
            <wp:positionV relativeFrom="paragraph">
              <wp:posOffset>31115</wp:posOffset>
            </wp:positionV>
            <wp:extent cx="4667250" cy="109791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4667250" cy="10979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2060"/>
        <w:spacing w:after="0"/>
        <w:rPr>
          <w:sz w:val="20"/>
          <w:szCs w:val="20"/>
          <w:color w:val="auto"/>
        </w:rPr>
      </w:pPr>
      <w:r>
        <w:rPr>
          <w:rFonts w:ascii="Arial" w:cs="Arial" w:eastAsia="Arial" w:hAnsi="Arial"/>
          <w:sz w:val="11"/>
          <w:szCs w:val="11"/>
          <w:b w:val="1"/>
          <w:bCs w:val="1"/>
          <w:i w:val="1"/>
          <w:iCs w:val="1"/>
          <w:color w:val="auto"/>
        </w:rPr>
        <w:t>Connected Fitness Subscriptions</w:t>
      </w:r>
    </w:p>
    <w:p>
      <w:pPr>
        <w:spacing w:after="0" w:line="12" w:lineRule="exact"/>
        <w:rPr>
          <w:sz w:val="20"/>
          <w:szCs w:val="20"/>
          <w:color w:val="auto"/>
        </w:rPr>
      </w:pPr>
    </w:p>
    <w:p>
      <w:pPr>
        <w:jc w:val="both"/>
        <w:ind w:left="2060" w:right="839"/>
        <w:spacing w:after="0"/>
        <w:rPr>
          <w:sz w:val="20"/>
          <w:szCs w:val="20"/>
          <w:color w:val="auto"/>
        </w:rPr>
      </w:pPr>
      <w:r>
        <w:rPr>
          <w:rFonts w:ascii="Arial" w:cs="Arial" w:eastAsia="Arial" w:hAnsi="Arial"/>
          <w:sz w:val="11"/>
          <w:szCs w:val="11"/>
          <w:color w:val="050505"/>
        </w:rPr>
        <w:t>Our Connected Fitness Subscriptions are on a month-to-month basis, allow for multiple household users, and provide unlimited access to all live and on-demand classes. Our Connected Fitness Subscription allows Members to access classes through our Connected Fitness Products, compete on our motivating leaderboard, track performance metrics, and connect and interact with the broader Peloton community. Our Connected Fitness Subscription also includes access to our content through Peloton Digital which is available through iOS and Android mobile devices and most tablets and computers. Our Connected Fitness Subscriptions allow up to five Members of a household to access our content simultaneously. On average, we had 2.0 Members per Connected Fitness Subscription as of June 30, 2019.</w:t>
      </w:r>
    </w:p>
    <w:p>
      <w:pPr>
        <w:spacing w:after="0" w:line="140" w:lineRule="exact"/>
        <w:rPr>
          <w:sz w:val="20"/>
          <w:szCs w:val="20"/>
          <w:color w:val="auto"/>
        </w:rPr>
      </w:pPr>
    </w:p>
    <w:p>
      <w:pPr>
        <w:jc w:val="center"/>
        <w:ind w:right="-1220"/>
        <w:spacing w:after="0"/>
        <w:rPr>
          <w:sz w:val="20"/>
          <w:szCs w:val="20"/>
          <w:color w:val="auto"/>
        </w:rPr>
      </w:pPr>
      <w:r>
        <w:rPr>
          <w:rFonts w:ascii="Arial" w:cs="Arial" w:eastAsia="Arial" w:hAnsi="Arial"/>
          <w:sz w:val="13"/>
          <w:szCs w:val="13"/>
          <w:b w:val="1"/>
          <w:bCs w:val="1"/>
          <w:color w:val="auto"/>
        </w:rPr>
        <w:t>Subscription Content</w:t>
      </w:r>
    </w:p>
    <w:p>
      <w:pPr>
        <w:spacing w:after="0" w:line="40" w:lineRule="exact"/>
        <w:rPr>
          <w:sz w:val="20"/>
          <w:szCs w:val="20"/>
          <w:color w:val="auto"/>
        </w:rPr>
      </w:pPr>
    </w:p>
    <w:p>
      <w:pPr>
        <w:ind w:left="3060"/>
        <w:spacing w:after="0"/>
        <w:tabs>
          <w:tab w:leader="none" w:pos="5500" w:val="left"/>
          <w:tab w:leader="none" w:pos="8020" w:val="left"/>
        </w:tabs>
        <w:rPr>
          <w:sz w:val="20"/>
          <w:szCs w:val="20"/>
          <w:color w:val="auto"/>
        </w:rPr>
      </w:pPr>
      <w:r>
        <w:rPr>
          <w:rFonts w:ascii="Arial" w:cs="Arial" w:eastAsia="Arial" w:hAnsi="Arial"/>
          <w:sz w:val="13"/>
          <w:szCs w:val="13"/>
          <w:b w:val="1"/>
          <w:bCs w:val="1"/>
          <w:color w:val="auto"/>
        </w:rPr>
        <w:t>Bike</w:t>
      </w:r>
      <w:r>
        <w:rPr>
          <w:sz w:val="20"/>
          <w:szCs w:val="20"/>
          <w:color w:val="auto"/>
        </w:rPr>
        <w:tab/>
      </w:r>
      <w:r>
        <w:rPr>
          <w:rFonts w:ascii="Arial" w:cs="Arial" w:eastAsia="Arial" w:hAnsi="Arial"/>
          <w:sz w:val="13"/>
          <w:szCs w:val="13"/>
          <w:b w:val="1"/>
          <w:bCs w:val="1"/>
          <w:color w:val="auto"/>
        </w:rPr>
        <w:t>Tread</w:t>
      </w:r>
      <w:r>
        <w:rPr>
          <w:sz w:val="20"/>
          <w:szCs w:val="20"/>
          <w:color w:val="auto"/>
        </w:rPr>
        <w:tab/>
      </w:r>
      <w:r>
        <w:rPr>
          <w:rFonts w:ascii="Arial" w:cs="Arial" w:eastAsia="Arial" w:hAnsi="Arial"/>
          <w:sz w:val="13"/>
          <w:szCs w:val="13"/>
          <w:b w:val="1"/>
          <w:bCs w:val="1"/>
          <w:color w:val="auto"/>
        </w:rPr>
        <w:t>Digital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1310640</wp:posOffset>
            </wp:positionH>
            <wp:positionV relativeFrom="paragraph">
              <wp:posOffset>-88265</wp:posOffset>
            </wp:positionV>
            <wp:extent cx="4667250" cy="98361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4667250" cy="9836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5640"/>
        <w:spacing w:after="0"/>
        <w:rPr>
          <w:sz w:val="20"/>
          <w:szCs w:val="20"/>
          <w:color w:val="auto"/>
        </w:rPr>
      </w:pPr>
      <w:r>
        <w:rPr>
          <w:rFonts w:ascii="Arial" w:cs="Arial" w:eastAsia="Arial" w:hAnsi="Arial"/>
          <w:sz w:val="11"/>
          <w:szCs w:val="11"/>
          <w:color w:val="050505"/>
        </w:rPr>
        <w:t>100</w:t>
      </w:r>
    </w:p>
    <w:p>
      <w:pPr>
        <w:sectPr>
          <w:pgSz w:w="11900" w:h="16838" w:orient="portrait"/>
          <w:cols w:equalWidth="0" w:num="1">
            <w:col w:w="10239"/>
          </w:cols>
          <w:pgMar w:left="220" w:top="354" w:right="1440" w:bottom="1440" w:gutter="0" w:footer="0" w:header="0"/>
        </w:sectPr>
      </w:pPr>
    </w:p>
    <w:bookmarkStart w:id="110" w:name="page111"/>
    <w:bookmarkEnd w:id="110"/>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hyperlink w:anchor="page5">
        <w:r>
          <w:rPr>
            <w:rFonts w:ascii="Arial" w:cs="Arial" w:eastAsia="Arial" w:hAnsi="Arial"/>
            <w:sz w:val="12"/>
            <w:szCs w:val="12"/>
            <w:b w:val="1"/>
            <w:bCs w:val="1"/>
            <w:u w:val="single" w:color="auto"/>
            <w:color w:val="0000EE"/>
          </w:rPr>
          <w:t>Table of Contents</w:t>
        </w:r>
      </w:hyperlink>
    </w:p>
    <w:p>
      <w:pPr>
        <w:spacing w:after="0" w:line="204" w:lineRule="exact"/>
        <w:rPr>
          <w:sz w:val="20"/>
          <w:szCs w:val="20"/>
          <w:color w:val="auto"/>
        </w:rPr>
      </w:pPr>
    </w:p>
    <w:p>
      <w:pPr>
        <w:ind w:left="2060"/>
        <w:spacing w:after="0"/>
        <w:rPr>
          <w:sz w:val="20"/>
          <w:szCs w:val="20"/>
          <w:color w:val="auto"/>
        </w:rPr>
      </w:pPr>
      <w:r>
        <w:rPr>
          <w:rFonts w:ascii="Arial" w:cs="Arial" w:eastAsia="Arial" w:hAnsi="Arial"/>
          <w:sz w:val="11"/>
          <w:szCs w:val="11"/>
          <w:b w:val="1"/>
          <w:bCs w:val="1"/>
          <w:i w:val="1"/>
          <w:iCs w:val="1"/>
          <w:color w:val="auto"/>
        </w:rPr>
        <w:t>Peloton Digital</w:t>
      </w:r>
    </w:p>
    <w:p>
      <w:pPr>
        <w:spacing w:after="0" w:line="12" w:lineRule="exact"/>
        <w:rPr>
          <w:sz w:val="20"/>
          <w:szCs w:val="20"/>
          <w:color w:val="auto"/>
        </w:rPr>
      </w:pPr>
    </w:p>
    <w:p>
      <w:pPr>
        <w:jc w:val="both"/>
        <w:ind w:left="2060" w:right="839"/>
        <w:spacing w:after="0"/>
        <w:rPr>
          <w:sz w:val="20"/>
          <w:szCs w:val="20"/>
          <w:color w:val="auto"/>
        </w:rPr>
      </w:pPr>
      <w:r>
        <w:rPr>
          <w:rFonts w:ascii="Arial" w:cs="Arial" w:eastAsia="Arial" w:hAnsi="Arial"/>
          <w:sz w:val="11"/>
          <w:szCs w:val="11"/>
          <w:color w:val="050505"/>
        </w:rPr>
        <w:t>Peloton Digital began as a companion app for Connected Fitness Subscribers to provide access to our classes while our Members were away from their Connected Fitness Products. Starting in June 2015, we offered Peloton Digital as a standalone fitness app. In June 2018, we relaunched Peloton Digital when we expanded our content offering to include bootcamp and indoor/outdoor running and walking classes. As of June 30, 2019, we had approximately 102,000 Peloton Digital Subscribers, in addition to our over 511,202 Connected Fitness Subscribers. This compared to approximately 46,000 and 22,000 Peloton Digital Subscribers as of June 30, 2018 and June 30, 2017, respectively. A Digital Subscriber is an individual or household that has a paid Peloton subscription with a successful credit card billing. With over 67 million households in our current and announced markets open to subscription fitness, we believe there is ample opportunity for us to grow our Digital Subscription base over time.</w:t>
      </w:r>
    </w:p>
    <w:p>
      <w:pPr>
        <w:spacing w:after="0" w:line="141" w:lineRule="exact"/>
        <w:rPr>
          <w:sz w:val="20"/>
          <w:szCs w:val="20"/>
          <w:color w:val="auto"/>
        </w:rPr>
      </w:pPr>
    </w:p>
    <w:p>
      <w:pPr>
        <w:jc w:val="both"/>
        <w:ind w:left="2060" w:right="839"/>
        <w:spacing w:after="0" w:line="242" w:lineRule="auto"/>
        <w:rPr>
          <w:sz w:val="20"/>
          <w:szCs w:val="20"/>
          <w:color w:val="auto"/>
        </w:rPr>
      </w:pPr>
      <w:r>
        <w:rPr>
          <w:rFonts w:ascii="Arial" w:cs="Arial" w:eastAsia="Arial" w:hAnsi="Arial"/>
          <w:sz w:val="11"/>
          <w:szCs w:val="11"/>
          <w:color w:val="050505"/>
        </w:rPr>
        <w:t>Today, Peloton Digital is included with all Connected Fitness Subscriptions. As of June 30, 2019, 50% of our Connected Fitness Subscribers used Peloton Digital to supplement their workout regime. Peloton Digital also helps us attract new Connected Fitness Subscribers by serving as an acquisition tool for new Members.</w:t>
      </w:r>
    </w:p>
    <w:p>
      <w:pPr>
        <w:spacing w:after="0" w:line="120" w:lineRule="exact"/>
        <w:rPr>
          <w:sz w:val="20"/>
          <w:szCs w:val="20"/>
          <w:color w:val="auto"/>
        </w:rPr>
      </w:pPr>
    </w:p>
    <w:p>
      <w:pPr>
        <w:ind w:left="5280"/>
        <w:spacing w:after="0"/>
        <w:rPr>
          <w:sz w:val="20"/>
          <w:szCs w:val="20"/>
          <w:color w:val="auto"/>
        </w:rPr>
      </w:pPr>
      <w:r>
        <w:rPr>
          <w:rFonts w:ascii="Arial" w:cs="Arial" w:eastAsia="Arial" w:hAnsi="Arial"/>
          <w:sz w:val="13"/>
          <w:szCs w:val="13"/>
          <w:b w:val="1"/>
          <w:bCs w:val="1"/>
          <w:u w:val="single" w:color="auto"/>
          <w:color w:val="auto"/>
        </w:rPr>
        <w:t>Peloton Digital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1910715</wp:posOffset>
            </wp:positionH>
            <wp:positionV relativeFrom="paragraph">
              <wp:posOffset>8255</wp:posOffset>
            </wp:positionV>
            <wp:extent cx="3460115" cy="18586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3460115" cy="18586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5640"/>
        <w:spacing w:after="0"/>
        <w:rPr>
          <w:sz w:val="20"/>
          <w:szCs w:val="20"/>
          <w:color w:val="auto"/>
        </w:rPr>
      </w:pPr>
      <w:r>
        <w:rPr>
          <w:rFonts w:ascii="Arial" w:cs="Arial" w:eastAsia="Arial" w:hAnsi="Arial"/>
          <w:sz w:val="11"/>
          <w:szCs w:val="11"/>
          <w:color w:val="050505"/>
        </w:rPr>
        <w:t>101</w:t>
      </w:r>
    </w:p>
    <w:p>
      <w:pPr>
        <w:sectPr>
          <w:pgSz w:w="11900" w:h="16838" w:orient="portrait"/>
          <w:cols w:equalWidth="0" w:num="1">
            <w:col w:w="10239"/>
          </w:cols>
          <w:pgMar w:left="220" w:top="354" w:right="1440" w:bottom="1440" w:gutter="0" w:footer="0" w:header="0"/>
        </w:sectPr>
      </w:pPr>
    </w:p>
    <w:bookmarkStart w:id="111" w:name="page112"/>
    <w:bookmarkEnd w:id="111"/>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hyperlink w:anchor="page5">
        <w:r>
          <w:rPr>
            <w:rFonts w:ascii="Arial" w:cs="Arial" w:eastAsia="Arial" w:hAnsi="Arial"/>
            <w:sz w:val="12"/>
            <w:szCs w:val="12"/>
            <w:b w:val="1"/>
            <w:bCs w:val="1"/>
            <w:u w:val="single" w:color="auto"/>
            <w:color w:val="0000EE"/>
          </w:rPr>
          <w:t>Table of Contents</w:t>
        </w:r>
      </w:hyperlink>
    </w:p>
    <w:p>
      <w:pPr>
        <w:spacing w:after="0" w:line="216" w:lineRule="exact"/>
        <w:rPr>
          <w:sz w:val="20"/>
          <w:szCs w:val="20"/>
          <w:color w:val="auto"/>
        </w:rPr>
      </w:pPr>
    </w:p>
    <w:p>
      <w:pPr>
        <w:jc w:val="both"/>
        <w:ind w:left="2060" w:right="839"/>
        <w:spacing w:after="0" w:line="241" w:lineRule="auto"/>
        <w:rPr>
          <w:sz w:val="20"/>
          <w:szCs w:val="20"/>
          <w:color w:val="auto"/>
        </w:rPr>
      </w:pPr>
      <w:r>
        <w:rPr>
          <w:rFonts w:ascii="Arial" w:cs="Arial" w:eastAsia="Arial" w:hAnsi="Arial"/>
          <w:sz w:val="11"/>
          <w:szCs w:val="11"/>
          <w:color w:val="050505"/>
        </w:rPr>
        <w:t>Since the Peloton Digital relaunch in June 2018, we have added several new fitness verticals which we believe have increased the value of our subscription services. These include indoor/outdoor running and walking, bootcamp, strength training, stretching, and meditation. We have also significantly expanded our yoga offerings. Our Members have shown strong interest in these new verticals; in fiscal 2019, 35% of workouts completed were not indoor cycling classes.</w:t>
      </w:r>
    </w:p>
    <w:p>
      <w:pPr>
        <w:spacing w:after="0" w:line="139" w:lineRule="exact"/>
        <w:rPr>
          <w:sz w:val="20"/>
          <w:szCs w:val="20"/>
          <w:color w:val="auto"/>
        </w:rPr>
      </w:pPr>
    </w:p>
    <w:p>
      <w:pPr>
        <w:ind w:left="4700"/>
        <w:spacing w:after="0"/>
        <w:rPr>
          <w:sz w:val="20"/>
          <w:szCs w:val="20"/>
          <w:color w:val="auto"/>
        </w:rPr>
      </w:pPr>
      <w:r>
        <w:rPr>
          <w:rFonts w:ascii="Arial" w:cs="Arial" w:eastAsia="Arial" w:hAnsi="Arial"/>
          <w:sz w:val="13"/>
          <w:szCs w:val="13"/>
          <w:b w:val="1"/>
          <w:bCs w:val="1"/>
          <w:color w:val="auto"/>
        </w:rPr>
        <w:t>Peloton Total Fitness 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1310640</wp:posOffset>
            </wp:positionH>
            <wp:positionV relativeFrom="paragraph">
              <wp:posOffset>48260</wp:posOffset>
            </wp:positionV>
            <wp:extent cx="4667250" cy="197866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4667250" cy="19786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2060"/>
        <w:spacing w:after="0"/>
        <w:rPr>
          <w:sz w:val="20"/>
          <w:szCs w:val="20"/>
          <w:color w:val="auto"/>
        </w:rPr>
      </w:pPr>
      <w:r>
        <w:rPr>
          <w:rFonts w:ascii="Arial" w:cs="Arial" w:eastAsia="Arial" w:hAnsi="Arial"/>
          <w:sz w:val="11"/>
          <w:szCs w:val="11"/>
          <w:b w:val="1"/>
          <w:bCs w:val="1"/>
          <w:u w:val="single" w:color="auto"/>
          <w:color w:val="auto"/>
        </w:rPr>
        <w:t>Our Compelling Value Proposition</w:t>
      </w:r>
    </w:p>
    <w:p>
      <w:pPr>
        <w:spacing w:after="0" w:line="156" w:lineRule="exact"/>
        <w:rPr>
          <w:sz w:val="20"/>
          <w:szCs w:val="20"/>
          <w:color w:val="auto"/>
        </w:rPr>
      </w:pPr>
    </w:p>
    <w:p>
      <w:pPr>
        <w:jc w:val="both"/>
        <w:ind w:left="2060" w:right="839"/>
        <w:spacing w:after="0"/>
        <w:rPr>
          <w:sz w:val="20"/>
          <w:szCs w:val="20"/>
          <w:color w:val="auto"/>
        </w:rPr>
      </w:pPr>
      <w:r>
        <w:rPr>
          <w:rFonts w:ascii="Arial" w:cs="Arial" w:eastAsia="Arial" w:hAnsi="Arial"/>
          <w:sz w:val="11"/>
          <w:szCs w:val="11"/>
          <w:color w:val="050505"/>
        </w:rPr>
        <w:t>Our monthly Connected Fitness Subscription at $39.00 is less expensive than most monthly gym memberships, a fraction of the price of a personal training session, and approximately the same price as one boutique fitness class for one person. Boutique studio fitness classes typically cost between $25.00 and $45.00 per class, per person and follow a rigid schedule whereas our monthly Connected Fitness Subscription covers the household and offers unlimited use, anytime, anywhere. Our live class schedule and on-demand library feature classes spanning five to 90 minutes, providing Members with flexibility and convenience.</w:t>
      </w:r>
    </w:p>
    <w:p>
      <w:pPr>
        <w:spacing w:after="0" w:line="142" w:lineRule="exact"/>
        <w:rPr>
          <w:sz w:val="20"/>
          <w:szCs w:val="20"/>
          <w:color w:val="auto"/>
        </w:rPr>
      </w:pPr>
    </w:p>
    <w:p>
      <w:pPr>
        <w:jc w:val="both"/>
        <w:ind w:left="2060" w:right="839"/>
        <w:spacing w:after="0" w:line="241" w:lineRule="auto"/>
        <w:rPr>
          <w:sz w:val="20"/>
          <w:szCs w:val="20"/>
          <w:color w:val="auto"/>
        </w:rPr>
      </w:pPr>
      <w:r>
        <w:rPr>
          <w:rFonts w:ascii="Arial" w:cs="Arial" w:eastAsia="Arial" w:hAnsi="Arial"/>
          <w:sz w:val="11"/>
          <w:szCs w:val="11"/>
          <w:color w:val="050505"/>
        </w:rPr>
        <w:t>To increase affordability, we offer attractive 0% APR financing programs for our Connected Fitness Products. These programs allow our qualified customers to pay in monthly installments of as low as $58.00 for 39 months and $179.00 for 24 months for our Bike and Tread, respectively. Our financing programs have successfully broadened our base of Members by attracting consumers from a wider spectrum of ages and income levels. In fiscal 2019, approximately 50% of all Connected Fitness Products sold were financed.</w:t>
      </w:r>
    </w:p>
    <w:p>
      <w:pPr>
        <w:spacing w:after="0" w:line="140" w:lineRule="exact"/>
        <w:rPr>
          <w:sz w:val="20"/>
          <w:szCs w:val="20"/>
          <w:color w:val="auto"/>
        </w:rPr>
      </w:pPr>
    </w:p>
    <w:p>
      <w:pPr>
        <w:jc w:val="both"/>
        <w:ind w:left="2060" w:right="839"/>
        <w:spacing w:after="0" w:line="242" w:lineRule="auto"/>
        <w:rPr>
          <w:sz w:val="20"/>
          <w:szCs w:val="20"/>
          <w:color w:val="auto"/>
        </w:rPr>
      </w:pPr>
      <w:r>
        <w:rPr>
          <w:rFonts w:ascii="Arial" w:cs="Arial" w:eastAsia="Arial" w:hAnsi="Arial"/>
          <w:sz w:val="11"/>
          <w:szCs w:val="11"/>
          <w:color w:val="050505"/>
        </w:rPr>
        <w:t>Existing Connected Fitness Subscribers provide a clear endorsement of the superior value of our offering. According to our 2019 Member Survey, the vast majority of our Members say that Peloton offers a better value than all other fitness alternatives. We strive to continuously improve our Member experience and value proposition through enhancements to our content and interactive software features.</w:t>
      </w:r>
    </w:p>
    <w:p>
      <w:pPr>
        <w:spacing w:after="0" w:line="128" w:lineRule="exact"/>
        <w:rPr>
          <w:sz w:val="20"/>
          <w:szCs w:val="20"/>
          <w:color w:val="auto"/>
        </w:rPr>
      </w:pPr>
    </w:p>
    <w:p>
      <w:pPr>
        <w:ind w:left="2060"/>
        <w:spacing w:after="0"/>
        <w:rPr>
          <w:sz w:val="20"/>
          <w:szCs w:val="20"/>
          <w:color w:val="auto"/>
        </w:rPr>
      </w:pPr>
      <w:r>
        <w:rPr>
          <w:rFonts w:ascii="Arial" w:cs="Arial" w:eastAsia="Arial" w:hAnsi="Arial"/>
          <w:sz w:val="11"/>
          <w:szCs w:val="11"/>
          <w:b w:val="1"/>
          <w:bCs w:val="1"/>
          <w:u w:val="single" w:color="auto"/>
          <w:color w:val="auto"/>
        </w:rPr>
        <w:t>Our Vertically Integrated Fitness Platform</w:t>
      </w:r>
    </w:p>
    <w:p>
      <w:pPr>
        <w:spacing w:after="0" w:line="144" w:lineRule="exact"/>
        <w:rPr>
          <w:sz w:val="20"/>
          <w:szCs w:val="20"/>
          <w:color w:val="auto"/>
        </w:rPr>
      </w:pPr>
    </w:p>
    <w:p>
      <w:pPr>
        <w:ind w:left="2060"/>
        <w:spacing w:after="0"/>
        <w:rPr>
          <w:sz w:val="20"/>
          <w:szCs w:val="20"/>
          <w:color w:val="auto"/>
        </w:rPr>
      </w:pPr>
      <w:r>
        <w:rPr>
          <w:rFonts w:ascii="Arial" w:cs="Arial" w:eastAsia="Arial" w:hAnsi="Arial"/>
          <w:sz w:val="11"/>
          <w:szCs w:val="11"/>
          <w:b w:val="1"/>
          <w:bCs w:val="1"/>
          <w:i w:val="1"/>
          <w:iCs w:val="1"/>
          <w:color w:val="auto"/>
        </w:rPr>
        <w:t>Technology</w:t>
      </w:r>
    </w:p>
    <w:p>
      <w:pPr>
        <w:spacing w:after="0" w:line="12" w:lineRule="exact"/>
        <w:rPr>
          <w:sz w:val="20"/>
          <w:szCs w:val="20"/>
          <w:color w:val="auto"/>
        </w:rPr>
      </w:pPr>
    </w:p>
    <w:p>
      <w:pPr>
        <w:jc w:val="both"/>
        <w:ind w:left="2060" w:right="839"/>
        <w:spacing w:after="0" w:line="245" w:lineRule="auto"/>
        <w:rPr>
          <w:sz w:val="20"/>
          <w:szCs w:val="20"/>
          <w:color w:val="auto"/>
        </w:rPr>
      </w:pPr>
      <w:r>
        <w:rPr>
          <w:rFonts w:ascii="Arial" w:cs="Arial" w:eastAsia="Arial" w:hAnsi="Arial"/>
          <w:sz w:val="11"/>
          <w:szCs w:val="11"/>
          <w:color w:val="050505"/>
        </w:rPr>
        <w:t>Our content delivery and interactive software platform are critical to our Member experience. We invest substantial resources in research and development to enhance our platform, develop new products and features, and improve our</w:t>
      </w:r>
    </w:p>
    <w:p>
      <w:pPr>
        <w:spacing w:after="0" w:line="93" w:lineRule="exact"/>
        <w:rPr>
          <w:sz w:val="20"/>
          <w:szCs w:val="20"/>
          <w:color w:val="auto"/>
        </w:rPr>
      </w:pPr>
    </w:p>
    <w:p>
      <w:pPr>
        <w:ind w:left="5640"/>
        <w:spacing w:after="0"/>
        <w:rPr>
          <w:sz w:val="20"/>
          <w:szCs w:val="20"/>
          <w:color w:val="auto"/>
        </w:rPr>
      </w:pPr>
      <w:r>
        <w:rPr>
          <w:rFonts w:ascii="Arial" w:cs="Arial" w:eastAsia="Arial" w:hAnsi="Arial"/>
          <w:sz w:val="11"/>
          <w:szCs w:val="11"/>
          <w:color w:val="050505"/>
        </w:rPr>
        <w:t>102</w:t>
      </w:r>
    </w:p>
    <w:p>
      <w:pPr>
        <w:sectPr>
          <w:pgSz w:w="11900" w:h="16838" w:orient="portrait"/>
          <w:cols w:equalWidth="0" w:num="1">
            <w:col w:w="10239"/>
          </w:cols>
          <w:pgMar w:left="220" w:top="354" w:right="1440" w:bottom="1440" w:gutter="0" w:footer="0" w:header="0"/>
        </w:sectPr>
      </w:pPr>
    </w:p>
    <w:bookmarkStart w:id="112" w:name="page113"/>
    <w:bookmarkEnd w:id="112"/>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hyperlink w:anchor="page5">
        <w:r>
          <w:rPr>
            <w:rFonts w:ascii="Arial" w:cs="Arial" w:eastAsia="Arial" w:hAnsi="Arial"/>
            <w:sz w:val="12"/>
            <w:szCs w:val="12"/>
            <w:b w:val="1"/>
            <w:bCs w:val="1"/>
            <w:u w:val="single" w:color="auto"/>
            <w:color w:val="0000EE"/>
          </w:rPr>
          <w:t>Table of Contents</w:t>
        </w:r>
      </w:hyperlink>
    </w:p>
    <w:p>
      <w:pPr>
        <w:spacing w:after="0" w:line="216" w:lineRule="exact"/>
        <w:rPr>
          <w:sz w:val="20"/>
          <w:szCs w:val="20"/>
          <w:color w:val="auto"/>
        </w:rPr>
      </w:pPr>
    </w:p>
    <w:p>
      <w:pPr>
        <w:jc w:val="both"/>
        <w:ind w:left="2060" w:right="839"/>
        <w:spacing w:after="0"/>
        <w:rPr>
          <w:sz w:val="20"/>
          <w:szCs w:val="20"/>
          <w:color w:val="auto"/>
        </w:rPr>
      </w:pPr>
      <w:r>
        <w:rPr>
          <w:rFonts w:ascii="Arial" w:cs="Arial" w:eastAsia="Arial" w:hAnsi="Arial"/>
          <w:sz w:val="11"/>
          <w:szCs w:val="11"/>
          <w:color w:val="050505"/>
        </w:rPr>
        <w:t>platform infrastructure. Our research and development organization consists of world-class engineering, product, and design teams. Our teams have a diverse set of skills and industry experience, including expertise in highly scalable distributed systems, machine learning, artificial intelligence, and user-centric application engineering. Our engineering, product, and design teams work together to bring our products to life, from conception and validation to implementation. We constantly improve our existing Connected Fitness Products through frequent software updates with new and innovative interactive features. We are committed to leveraging data to continuously improve our Member experience by studying and understanding points of interaction and how our Members use our software features.</w:t>
      </w:r>
    </w:p>
    <w:p>
      <w:pPr>
        <w:spacing w:after="0" w:line="142" w:lineRule="exact"/>
        <w:rPr>
          <w:sz w:val="20"/>
          <w:szCs w:val="20"/>
          <w:color w:val="auto"/>
        </w:rPr>
      </w:pPr>
    </w:p>
    <w:p>
      <w:pPr>
        <w:jc w:val="both"/>
        <w:ind w:left="2060" w:right="839"/>
        <w:spacing w:after="0" w:line="242" w:lineRule="auto"/>
        <w:rPr>
          <w:sz w:val="20"/>
          <w:szCs w:val="20"/>
          <w:color w:val="auto"/>
        </w:rPr>
      </w:pPr>
      <w:r>
        <w:rPr>
          <w:rFonts w:ascii="Arial" w:cs="Arial" w:eastAsia="Arial" w:hAnsi="Arial"/>
          <w:sz w:val="11"/>
          <w:szCs w:val="11"/>
          <w:color w:val="050505"/>
        </w:rPr>
        <w:t>Video streaming and storage are provided by third-party cloud providers. By leveraging these third parties, we are able to focus our resources on creating product enhancements and new software features. In addition, our technology platform is designed with redundancy and high availability in mind in order to minimize Member service disruption.</w:t>
      </w:r>
    </w:p>
    <w:p>
      <w:pPr>
        <w:spacing w:after="0" w:line="128" w:lineRule="exact"/>
        <w:rPr>
          <w:sz w:val="20"/>
          <w:szCs w:val="20"/>
          <w:color w:val="auto"/>
        </w:rPr>
      </w:pPr>
    </w:p>
    <w:p>
      <w:pPr>
        <w:ind w:left="2060"/>
        <w:spacing w:after="0"/>
        <w:rPr>
          <w:sz w:val="20"/>
          <w:szCs w:val="20"/>
          <w:color w:val="auto"/>
        </w:rPr>
      </w:pPr>
      <w:r>
        <w:rPr>
          <w:rFonts w:ascii="Arial" w:cs="Arial" w:eastAsia="Arial" w:hAnsi="Arial"/>
          <w:sz w:val="11"/>
          <w:szCs w:val="11"/>
          <w:b w:val="1"/>
          <w:bCs w:val="1"/>
          <w:i w:val="1"/>
          <w:iCs w:val="1"/>
          <w:color w:val="auto"/>
        </w:rPr>
        <w:t>Content and Music</w:t>
      </w:r>
    </w:p>
    <w:p>
      <w:pPr>
        <w:spacing w:after="0" w:line="12" w:lineRule="exact"/>
        <w:rPr>
          <w:sz w:val="20"/>
          <w:szCs w:val="20"/>
          <w:color w:val="auto"/>
        </w:rPr>
      </w:pPr>
    </w:p>
    <w:p>
      <w:pPr>
        <w:jc w:val="both"/>
        <w:ind w:left="2060" w:right="839"/>
        <w:spacing w:after="0" w:line="242" w:lineRule="auto"/>
        <w:rPr>
          <w:sz w:val="20"/>
          <w:szCs w:val="20"/>
          <w:color w:val="auto"/>
        </w:rPr>
      </w:pPr>
      <w:r>
        <w:rPr>
          <w:rFonts w:ascii="Arial" w:cs="Arial" w:eastAsia="Arial" w:hAnsi="Arial"/>
          <w:sz w:val="11"/>
          <w:szCs w:val="11"/>
          <w:color w:val="050505"/>
        </w:rPr>
        <w:t xml:space="preserve">We create engaging-to-the-point-of-addictive </w:t>
      </w:r>
      <w:r>
        <w:rPr>
          <w:rFonts w:ascii="Arial" w:cs="Arial" w:eastAsia="Arial" w:hAnsi="Arial"/>
          <w:sz w:val="11"/>
          <w:szCs w:val="11"/>
          <w:color w:val="000000"/>
        </w:rPr>
        <w:t>original fitness and wellness content in an authentic live environment that is immersive, motivating, and</w:t>
      </w:r>
      <w:r>
        <w:rPr>
          <w:rFonts w:ascii="Arial" w:cs="Arial" w:eastAsia="Arial" w:hAnsi="Arial"/>
          <w:sz w:val="11"/>
          <w:szCs w:val="11"/>
          <w:color w:val="050505"/>
        </w:rPr>
        <w:t xml:space="preserve"> </w:t>
      </w:r>
      <w:r>
        <w:rPr>
          <w:rFonts w:ascii="Arial" w:cs="Arial" w:eastAsia="Arial" w:hAnsi="Arial"/>
          <w:sz w:val="11"/>
          <w:szCs w:val="11"/>
          <w:color w:val="000000"/>
        </w:rPr>
        <w:t>encourages a sense of community. We combine high production value content with a broad catalogue of music to create a truly unique fitness experience our Members love.</w:t>
      </w:r>
    </w:p>
    <w:p>
      <w:pPr>
        <w:spacing w:after="0" w:line="128" w:lineRule="exact"/>
        <w:rPr>
          <w:sz w:val="20"/>
          <w:szCs w:val="20"/>
          <w:color w:val="auto"/>
        </w:rPr>
      </w:pPr>
    </w:p>
    <w:p>
      <w:pPr>
        <w:ind w:left="2060"/>
        <w:spacing w:after="0"/>
        <w:rPr>
          <w:sz w:val="20"/>
          <w:szCs w:val="20"/>
          <w:color w:val="auto"/>
        </w:rPr>
      </w:pPr>
      <w:r>
        <w:rPr>
          <w:rFonts w:ascii="Arial" w:cs="Arial" w:eastAsia="Arial" w:hAnsi="Arial"/>
          <w:sz w:val="11"/>
          <w:szCs w:val="11"/>
          <w:b w:val="1"/>
          <w:bCs w:val="1"/>
          <w:i w:val="1"/>
          <w:iCs w:val="1"/>
          <w:color w:val="auto"/>
        </w:rPr>
        <w:t>Content Development</w:t>
      </w:r>
    </w:p>
    <w:p>
      <w:pPr>
        <w:spacing w:after="0" w:line="12" w:lineRule="exact"/>
        <w:rPr>
          <w:sz w:val="20"/>
          <w:szCs w:val="20"/>
          <w:color w:val="auto"/>
        </w:rPr>
      </w:pPr>
    </w:p>
    <w:p>
      <w:pPr>
        <w:jc w:val="both"/>
        <w:ind w:left="2060" w:right="839"/>
        <w:spacing w:after="0"/>
        <w:rPr>
          <w:sz w:val="20"/>
          <w:szCs w:val="20"/>
          <w:color w:val="auto"/>
        </w:rPr>
      </w:pPr>
      <w:r>
        <w:rPr>
          <w:rFonts w:ascii="Arial" w:cs="Arial" w:eastAsia="Arial" w:hAnsi="Arial"/>
          <w:sz w:val="11"/>
          <w:szCs w:val="11"/>
          <w:color w:val="050505"/>
        </w:rPr>
        <w:t>We use performance data to understand our Members’ workout habits in order to evolve and optimize our programming around class type, length, music, and other considerations. We have developed a diverse content library with thousands of classes across an extensive range of class lengths, difficulty levels, and fitness preferences ranging from fun and flexible to structured and highly technical, all of which our Members easily access through filtering and search capabilities. We produce over 950 original programs per month from three production studios in New York City and London, with 29 instructors as of June 30, 2019, and across 10 fitness and wellness disciplines including indoor cycling, indoor/outdoor running and walking, bootcamp, yoga, strength training, stretching, meditation, and floor cardio. We entered into a long-term lease agreement at 5 Manhattan West in New York City in December 2017, which will serve as our fitness programming hub in North America and will feature four state-of-the-art production studios. We anticipate that this facility will open in Spring 2020.</w:t>
      </w:r>
    </w:p>
    <w:p>
      <w:pPr>
        <w:spacing w:after="0" w:line="141" w:lineRule="exact"/>
        <w:rPr>
          <w:sz w:val="20"/>
          <w:szCs w:val="20"/>
          <w:color w:val="auto"/>
        </w:rPr>
      </w:pPr>
    </w:p>
    <w:p>
      <w:pPr>
        <w:jc w:val="both"/>
        <w:ind w:left="2060" w:right="839"/>
        <w:spacing w:after="0"/>
        <w:rPr>
          <w:sz w:val="20"/>
          <w:szCs w:val="20"/>
          <w:color w:val="auto"/>
        </w:rPr>
      </w:pPr>
      <w:r>
        <w:rPr>
          <w:rFonts w:ascii="Arial" w:cs="Arial" w:eastAsia="Arial" w:hAnsi="Arial"/>
          <w:sz w:val="11"/>
          <w:szCs w:val="11"/>
          <w:color w:val="050505"/>
        </w:rPr>
        <w:t>As we further expand internationally, we will develop localized content, as we have done in the United Kingdom where we produce content featuring three local instructors as of June 30, 2019. In September 2018, we entered into a long-term lease agreement at 11 Floral Street in London, England, which will serve as our fitness programming hub in Europe with three state-of-the-art production studios. As we expand into Germany and other non-English-speaking countries, we will produce classes in local languages from this location and use subtitling for our English-speaking programming. We may selectively open small, local studios to supplement our international programming.</w:t>
      </w:r>
    </w:p>
    <w:p>
      <w:pPr>
        <w:spacing w:after="0" w:line="130" w:lineRule="exact"/>
        <w:rPr>
          <w:sz w:val="20"/>
          <w:szCs w:val="20"/>
          <w:color w:val="auto"/>
        </w:rPr>
      </w:pPr>
    </w:p>
    <w:p>
      <w:pPr>
        <w:ind w:left="2060"/>
        <w:spacing w:after="0"/>
        <w:rPr>
          <w:sz w:val="20"/>
          <w:szCs w:val="20"/>
          <w:color w:val="auto"/>
        </w:rPr>
      </w:pPr>
      <w:r>
        <w:rPr>
          <w:rFonts w:ascii="Arial" w:cs="Arial" w:eastAsia="Arial" w:hAnsi="Arial"/>
          <w:sz w:val="11"/>
          <w:szCs w:val="11"/>
          <w:b w:val="1"/>
          <w:bCs w:val="1"/>
          <w:i w:val="1"/>
          <w:iCs w:val="1"/>
          <w:color w:val="auto"/>
        </w:rPr>
        <w:t>Instructors</w:t>
      </w:r>
    </w:p>
    <w:p>
      <w:pPr>
        <w:spacing w:after="0" w:line="12" w:lineRule="exact"/>
        <w:rPr>
          <w:sz w:val="20"/>
          <w:szCs w:val="20"/>
          <w:color w:val="auto"/>
        </w:rPr>
      </w:pPr>
    </w:p>
    <w:p>
      <w:pPr>
        <w:jc w:val="both"/>
        <w:ind w:left="2060" w:right="839"/>
        <w:spacing w:after="0"/>
        <w:rPr>
          <w:sz w:val="20"/>
          <w:szCs w:val="20"/>
          <w:color w:val="auto"/>
        </w:rPr>
      </w:pPr>
      <w:r>
        <w:rPr>
          <w:rFonts w:ascii="Arial" w:cs="Arial" w:eastAsia="Arial" w:hAnsi="Arial"/>
          <w:sz w:val="11"/>
          <w:szCs w:val="11"/>
          <w:color w:val="050505"/>
        </w:rPr>
        <w:t>In front of the camera, our 29 celebrated instructors play a critical role in bringing the Peloton experience to life for our Members. Our instructors are not only authorities in their respective areas of fitness, but also relatable, magnetic personalities who inspire passionate followings. We offer a diverse cast of instructors that allows us to appeal to a broad audience of Members. Our instructors inspire our Members both on and off the camera and attend showroom openings and other Member-focused events where they meet and interact with our Members. Our Members feel connected to our instructors, and many Members travel from far distances to take a class at our New York City studios.</w:t>
      </w:r>
    </w:p>
    <w:p>
      <w:pPr>
        <w:spacing w:after="0" w:line="97" w:lineRule="exact"/>
        <w:rPr>
          <w:sz w:val="20"/>
          <w:szCs w:val="20"/>
          <w:color w:val="auto"/>
        </w:rPr>
      </w:pPr>
    </w:p>
    <w:p>
      <w:pPr>
        <w:ind w:left="5640"/>
        <w:spacing w:after="0"/>
        <w:rPr>
          <w:sz w:val="20"/>
          <w:szCs w:val="20"/>
          <w:color w:val="auto"/>
        </w:rPr>
      </w:pPr>
      <w:r>
        <w:rPr>
          <w:rFonts w:ascii="Arial" w:cs="Arial" w:eastAsia="Arial" w:hAnsi="Arial"/>
          <w:sz w:val="11"/>
          <w:szCs w:val="11"/>
          <w:color w:val="050505"/>
        </w:rPr>
        <w:t>103</w:t>
      </w:r>
    </w:p>
    <w:p>
      <w:pPr>
        <w:sectPr>
          <w:pgSz w:w="11900" w:h="16838" w:orient="portrait"/>
          <w:cols w:equalWidth="0" w:num="1">
            <w:col w:w="10239"/>
          </w:cols>
          <w:pgMar w:left="220" w:top="354" w:right="1440" w:bottom="1440" w:gutter="0" w:footer="0" w:header="0"/>
        </w:sectPr>
      </w:pPr>
    </w:p>
    <w:bookmarkStart w:id="113" w:name="page114"/>
    <w:bookmarkEnd w:id="113"/>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hyperlink w:anchor="page5">
        <w:r>
          <w:rPr>
            <w:rFonts w:ascii="Arial" w:cs="Arial" w:eastAsia="Arial" w:hAnsi="Arial"/>
            <w:sz w:val="12"/>
            <w:szCs w:val="12"/>
            <w:b w:val="1"/>
            <w:bCs w:val="1"/>
            <w:u w:val="single" w:color="auto"/>
            <w:color w:val="0000EE"/>
          </w:rPr>
          <w:t>Table of Contents</w:t>
        </w:r>
      </w:hyperlink>
    </w:p>
    <w:p>
      <w:pPr>
        <w:spacing w:after="0" w:line="192" w:lineRule="exact"/>
        <w:rPr>
          <w:sz w:val="20"/>
          <w:szCs w:val="20"/>
          <w:color w:val="auto"/>
        </w:rPr>
      </w:pPr>
    </w:p>
    <w:p>
      <w:pPr>
        <w:jc w:val="right"/>
        <w:ind w:right="3419"/>
        <w:spacing w:after="0"/>
        <w:rPr>
          <w:sz w:val="20"/>
          <w:szCs w:val="20"/>
          <w:color w:val="auto"/>
        </w:rPr>
      </w:pPr>
      <w:r>
        <w:rPr>
          <w:rFonts w:ascii="Arial" w:cs="Arial" w:eastAsia="Arial" w:hAnsi="Arial"/>
          <w:sz w:val="14"/>
          <w:szCs w:val="14"/>
          <w:b w:val="1"/>
          <w:bCs w:val="1"/>
          <w:color w:val="auto"/>
        </w:rPr>
        <w:t>World Class Peloton Instructors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2385695</wp:posOffset>
            </wp:positionH>
            <wp:positionV relativeFrom="paragraph">
              <wp:posOffset>118110</wp:posOffset>
            </wp:positionV>
            <wp:extent cx="2510790" cy="457581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2510790" cy="45758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5640"/>
        <w:spacing w:after="0"/>
        <w:rPr>
          <w:sz w:val="20"/>
          <w:szCs w:val="20"/>
          <w:color w:val="auto"/>
        </w:rPr>
      </w:pPr>
      <w:r>
        <w:rPr>
          <w:rFonts w:ascii="Arial" w:cs="Arial" w:eastAsia="Arial" w:hAnsi="Arial"/>
          <w:sz w:val="11"/>
          <w:szCs w:val="11"/>
          <w:color w:val="050505"/>
        </w:rPr>
        <w:t>104</w:t>
      </w:r>
    </w:p>
    <w:p>
      <w:pPr>
        <w:sectPr>
          <w:pgSz w:w="11900" w:h="16838" w:orient="portrait"/>
          <w:cols w:equalWidth="0" w:num="1">
            <w:col w:w="10239"/>
          </w:cols>
          <w:pgMar w:left="220" w:top="354" w:right="1440" w:bottom="1440" w:gutter="0" w:footer="0" w:header="0"/>
        </w:sectPr>
      </w:pPr>
    </w:p>
    <w:bookmarkStart w:id="114" w:name="page115"/>
    <w:bookmarkEnd w:id="114"/>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hyperlink w:anchor="page5">
        <w:r>
          <w:rPr>
            <w:rFonts w:ascii="Arial" w:cs="Arial" w:eastAsia="Arial" w:hAnsi="Arial"/>
            <w:sz w:val="12"/>
            <w:szCs w:val="12"/>
            <w:b w:val="1"/>
            <w:bCs w:val="1"/>
            <w:u w:val="single" w:color="auto"/>
            <w:color w:val="0000EE"/>
          </w:rPr>
          <w:t>Table of Contents</w:t>
        </w:r>
      </w:hyperlink>
    </w:p>
    <w:p>
      <w:pPr>
        <w:spacing w:after="0" w:line="204" w:lineRule="exact"/>
        <w:rPr>
          <w:sz w:val="20"/>
          <w:szCs w:val="20"/>
          <w:color w:val="auto"/>
        </w:rPr>
      </w:pPr>
    </w:p>
    <w:p>
      <w:pPr>
        <w:ind w:left="2060"/>
        <w:spacing w:after="0"/>
        <w:rPr>
          <w:sz w:val="20"/>
          <w:szCs w:val="20"/>
          <w:color w:val="auto"/>
        </w:rPr>
      </w:pPr>
      <w:r>
        <w:rPr>
          <w:rFonts w:ascii="Arial" w:cs="Arial" w:eastAsia="Arial" w:hAnsi="Arial"/>
          <w:sz w:val="11"/>
          <w:szCs w:val="11"/>
          <w:b w:val="1"/>
          <w:bCs w:val="1"/>
          <w:i w:val="1"/>
          <w:iCs w:val="1"/>
          <w:color w:val="auto"/>
        </w:rPr>
        <w:t>Production Team</w:t>
      </w:r>
    </w:p>
    <w:p>
      <w:pPr>
        <w:spacing w:after="0" w:line="12" w:lineRule="exact"/>
        <w:rPr>
          <w:sz w:val="20"/>
          <w:szCs w:val="20"/>
          <w:color w:val="auto"/>
        </w:rPr>
      </w:pPr>
    </w:p>
    <w:p>
      <w:pPr>
        <w:jc w:val="both"/>
        <w:ind w:left="2060" w:right="839"/>
        <w:spacing w:after="0"/>
        <w:rPr>
          <w:sz w:val="20"/>
          <w:szCs w:val="20"/>
          <w:color w:val="auto"/>
        </w:rPr>
      </w:pPr>
      <w:r>
        <w:rPr>
          <w:rFonts w:ascii="Arial" w:cs="Arial" w:eastAsia="Arial" w:hAnsi="Arial"/>
          <w:sz w:val="11"/>
          <w:szCs w:val="11"/>
          <w:color w:val="050505"/>
        </w:rPr>
        <w:t>Behind the camera, our studio production teams are dedicated to creative excellence. We have top production talent representing decades of experience at major broadcast and cable networks, some of whom have won Emmy Awards for production excellence. Our teams provide dedicated creative support to our instructors before, during, and after live productions with the help of content performance data. We are focused on efficiency while maintaining high-quality production. All classes are shot in broadcast quality environments with a fraction of the staff and budget typical of a major network show. This allows us to deliver a constant stream of live-produced, authentic fitness and wellness programming with cinematic quality that provides clarity of instruction and entertainment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1910715</wp:posOffset>
            </wp:positionH>
            <wp:positionV relativeFrom="paragraph">
              <wp:posOffset>100965</wp:posOffset>
            </wp:positionV>
            <wp:extent cx="3460115" cy="165862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3460115" cy="1658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2060"/>
        <w:spacing w:after="0"/>
        <w:rPr>
          <w:sz w:val="20"/>
          <w:szCs w:val="20"/>
          <w:color w:val="auto"/>
        </w:rPr>
      </w:pPr>
      <w:r>
        <w:rPr>
          <w:rFonts w:ascii="Arial" w:cs="Arial" w:eastAsia="Arial" w:hAnsi="Arial"/>
          <w:sz w:val="11"/>
          <w:szCs w:val="11"/>
          <w:b w:val="1"/>
          <w:bCs w:val="1"/>
          <w:i w:val="1"/>
          <w:iCs w:val="1"/>
          <w:color w:val="auto"/>
        </w:rPr>
        <w:t>Music and Music Technology</w:t>
      </w:r>
    </w:p>
    <w:p>
      <w:pPr>
        <w:spacing w:after="0" w:line="12" w:lineRule="exact"/>
        <w:rPr>
          <w:sz w:val="20"/>
          <w:szCs w:val="20"/>
          <w:color w:val="auto"/>
        </w:rPr>
      </w:pPr>
    </w:p>
    <w:p>
      <w:pPr>
        <w:jc w:val="both"/>
        <w:ind w:left="2060" w:right="839"/>
        <w:spacing w:after="0" w:line="241" w:lineRule="auto"/>
        <w:rPr>
          <w:sz w:val="20"/>
          <w:szCs w:val="20"/>
          <w:color w:val="auto"/>
        </w:rPr>
      </w:pPr>
      <w:r>
        <w:rPr>
          <w:rFonts w:ascii="Arial" w:cs="Arial" w:eastAsia="Arial" w:hAnsi="Arial"/>
          <w:sz w:val="11"/>
          <w:szCs w:val="11"/>
          <w:color w:val="050505"/>
        </w:rPr>
        <w:t>We have developed a proprietary music platform that fuels the workout experience with thoughtfully curated playlists that align with our Members’ musical preferences. We have over a million songs under license, representing the largest audiovisual connected fitness music catalog in the world. Our curated music is as diverse and dynamic as the Members we serve, delivering a custom-fit-and-finish musical experience created by instructors and music supervisors on our production team.</w:t>
      </w:r>
    </w:p>
    <w:p>
      <w:pPr>
        <w:spacing w:after="0" w:line="140" w:lineRule="exact"/>
        <w:rPr>
          <w:sz w:val="20"/>
          <w:szCs w:val="20"/>
          <w:color w:val="auto"/>
        </w:rPr>
      </w:pPr>
    </w:p>
    <w:p>
      <w:pPr>
        <w:jc w:val="both"/>
        <w:ind w:left="2060" w:right="839"/>
        <w:spacing w:after="0"/>
        <w:rPr>
          <w:sz w:val="20"/>
          <w:szCs w:val="20"/>
          <w:color w:val="auto"/>
        </w:rPr>
      </w:pPr>
      <w:r>
        <w:rPr>
          <w:rFonts w:ascii="Arial" w:cs="Arial" w:eastAsia="Arial" w:hAnsi="Arial"/>
          <w:sz w:val="11"/>
          <w:szCs w:val="11"/>
          <w:color w:val="050505"/>
        </w:rPr>
        <w:t>We control the intersection of fitness and music in a deeply engaging way, motivating Members to achieve their fitness goals while discovering great music in the process. Peloton is a discovery resource for new artists and songs while also providing the opportunity for our Members to re-discover music they love. Members consistently rank the music we provide as one of their favorite aspects of the Peloton experience. We believe we have defined a new standard for musical content development in the fitness and wellness categories, which includes premiering new music, working with artists to co-curate classes based on their own music or influences, and partnering to create new music.</w:t>
      </w:r>
    </w:p>
    <w:p>
      <w:pPr>
        <w:spacing w:after="0" w:line="142" w:lineRule="exact"/>
        <w:rPr>
          <w:sz w:val="20"/>
          <w:szCs w:val="20"/>
          <w:color w:val="auto"/>
        </w:rPr>
      </w:pPr>
    </w:p>
    <w:p>
      <w:pPr>
        <w:ind w:left="2060"/>
        <w:spacing w:after="0"/>
        <w:rPr>
          <w:sz w:val="20"/>
          <w:szCs w:val="20"/>
          <w:color w:val="auto"/>
        </w:rPr>
      </w:pPr>
      <w:r>
        <w:rPr>
          <w:rFonts w:ascii="Arial" w:cs="Arial" w:eastAsia="Arial" w:hAnsi="Arial"/>
          <w:sz w:val="11"/>
          <w:szCs w:val="11"/>
          <w:color w:val="050505"/>
        </w:rPr>
        <w:t>We have applied, and will continue to apply, technological solutions to enhance our music platform including:</w:t>
      </w:r>
    </w:p>
    <w:p>
      <w:pPr>
        <w:spacing w:after="0" w:line="162" w:lineRule="exact"/>
        <w:rPr>
          <w:sz w:val="20"/>
          <w:szCs w:val="20"/>
          <w:color w:val="auto"/>
        </w:rPr>
      </w:pPr>
    </w:p>
    <w:p>
      <w:pPr>
        <w:ind w:left="2420" w:hanging="217"/>
        <w:spacing w:after="0"/>
        <w:tabs>
          <w:tab w:leader="none" w:pos="2420" w:val="left"/>
        </w:tabs>
        <w:numPr>
          <w:ilvl w:val="0"/>
          <w:numId w:val="62"/>
        </w:numPr>
        <w:rPr>
          <w:rFonts w:ascii="Arial" w:cs="Arial" w:eastAsia="Arial" w:hAnsi="Arial"/>
          <w:sz w:val="11"/>
          <w:szCs w:val="11"/>
          <w:color w:val="F7323F"/>
        </w:rPr>
      </w:pPr>
      <w:r>
        <w:rPr>
          <w:rFonts w:ascii="Arial" w:cs="Arial" w:eastAsia="Arial" w:hAnsi="Arial"/>
          <w:sz w:val="11"/>
          <w:szCs w:val="11"/>
          <w:color w:val="050505"/>
        </w:rPr>
        <w:t>data-driven playlist recommendations for our instructors and music supervisors to use in developing class plans;</w:t>
      </w:r>
    </w:p>
    <w:p>
      <w:pPr>
        <w:spacing w:after="0" w:line="44" w:lineRule="exact"/>
        <w:rPr>
          <w:rFonts w:ascii="Arial" w:cs="Arial" w:eastAsia="Arial" w:hAnsi="Arial"/>
          <w:sz w:val="11"/>
          <w:szCs w:val="11"/>
          <w:color w:val="F7323F"/>
        </w:rPr>
      </w:pPr>
    </w:p>
    <w:p>
      <w:pPr>
        <w:ind w:left="2420" w:hanging="217"/>
        <w:spacing w:after="0"/>
        <w:tabs>
          <w:tab w:leader="none" w:pos="2420" w:val="left"/>
        </w:tabs>
        <w:numPr>
          <w:ilvl w:val="0"/>
          <w:numId w:val="62"/>
        </w:numPr>
        <w:rPr>
          <w:rFonts w:ascii="Arial" w:cs="Arial" w:eastAsia="Arial" w:hAnsi="Arial"/>
          <w:sz w:val="11"/>
          <w:szCs w:val="11"/>
          <w:color w:val="F7323F"/>
        </w:rPr>
      </w:pPr>
      <w:r>
        <w:rPr>
          <w:rFonts w:ascii="Arial" w:cs="Arial" w:eastAsia="Arial" w:hAnsi="Arial"/>
          <w:sz w:val="11"/>
          <w:szCs w:val="11"/>
          <w:color w:val="050505"/>
        </w:rPr>
        <w:t>instructor-facing song search and filtering functions, including the ability to search by song length and BPM;</w:t>
      </w:r>
    </w:p>
    <w:p>
      <w:pPr>
        <w:spacing w:after="0" w:line="44" w:lineRule="exact"/>
        <w:rPr>
          <w:rFonts w:ascii="Arial" w:cs="Arial" w:eastAsia="Arial" w:hAnsi="Arial"/>
          <w:sz w:val="11"/>
          <w:szCs w:val="11"/>
          <w:color w:val="F7323F"/>
        </w:rPr>
      </w:pPr>
    </w:p>
    <w:p>
      <w:pPr>
        <w:ind w:left="2420" w:hanging="217"/>
        <w:spacing w:after="0"/>
        <w:tabs>
          <w:tab w:leader="none" w:pos="2420" w:val="left"/>
        </w:tabs>
        <w:numPr>
          <w:ilvl w:val="0"/>
          <w:numId w:val="62"/>
        </w:numPr>
        <w:rPr>
          <w:rFonts w:ascii="Arial" w:cs="Arial" w:eastAsia="Arial" w:hAnsi="Arial"/>
          <w:sz w:val="11"/>
          <w:szCs w:val="11"/>
          <w:color w:val="F7323F"/>
        </w:rPr>
      </w:pPr>
      <w:r>
        <w:rPr>
          <w:rFonts w:ascii="Arial" w:cs="Arial" w:eastAsia="Arial" w:hAnsi="Arial"/>
          <w:sz w:val="11"/>
          <w:szCs w:val="11"/>
          <w:color w:val="050505"/>
        </w:rPr>
        <w:t>real-time music and content management and reporting;</w:t>
      </w:r>
    </w:p>
    <w:p>
      <w:pPr>
        <w:spacing w:after="0" w:line="44" w:lineRule="exact"/>
        <w:rPr>
          <w:rFonts w:ascii="Arial" w:cs="Arial" w:eastAsia="Arial" w:hAnsi="Arial"/>
          <w:sz w:val="11"/>
          <w:szCs w:val="11"/>
          <w:color w:val="F7323F"/>
        </w:rPr>
      </w:pPr>
    </w:p>
    <w:p>
      <w:pPr>
        <w:ind w:left="2420" w:hanging="217"/>
        <w:spacing w:after="0"/>
        <w:tabs>
          <w:tab w:leader="none" w:pos="2420" w:val="left"/>
        </w:tabs>
        <w:numPr>
          <w:ilvl w:val="0"/>
          <w:numId w:val="62"/>
        </w:numPr>
        <w:rPr>
          <w:rFonts w:ascii="Arial" w:cs="Arial" w:eastAsia="Arial" w:hAnsi="Arial"/>
          <w:sz w:val="11"/>
          <w:szCs w:val="11"/>
          <w:color w:val="F7323F"/>
        </w:rPr>
      </w:pPr>
      <w:r>
        <w:rPr>
          <w:rFonts w:ascii="Arial" w:cs="Arial" w:eastAsia="Arial" w:hAnsi="Arial"/>
          <w:sz w:val="11"/>
          <w:szCs w:val="11"/>
          <w:color w:val="050505"/>
        </w:rPr>
        <w:t>for Members, a display of every song played in a class, including artist name and associated artwork;</w:t>
      </w:r>
    </w:p>
    <w:p>
      <w:pPr>
        <w:spacing w:after="0" w:line="44" w:lineRule="exact"/>
        <w:rPr>
          <w:rFonts w:ascii="Arial" w:cs="Arial" w:eastAsia="Arial" w:hAnsi="Arial"/>
          <w:sz w:val="11"/>
          <w:szCs w:val="11"/>
          <w:color w:val="F7323F"/>
        </w:rPr>
      </w:pPr>
    </w:p>
    <w:p>
      <w:pPr>
        <w:ind w:left="2420" w:hanging="217"/>
        <w:spacing w:after="0"/>
        <w:tabs>
          <w:tab w:leader="none" w:pos="2420" w:val="left"/>
        </w:tabs>
        <w:numPr>
          <w:ilvl w:val="0"/>
          <w:numId w:val="62"/>
        </w:numPr>
        <w:rPr>
          <w:rFonts w:ascii="Arial" w:cs="Arial" w:eastAsia="Arial" w:hAnsi="Arial"/>
          <w:sz w:val="11"/>
          <w:szCs w:val="11"/>
          <w:color w:val="F7323F"/>
        </w:rPr>
      </w:pPr>
      <w:r>
        <w:rPr>
          <w:rFonts w:ascii="Arial" w:cs="Arial" w:eastAsia="Arial" w:hAnsi="Arial"/>
          <w:sz w:val="11"/>
          <w:szCs w:val="11"/>
          <w:color w:val="050505"/>
        </w:rPr>
        <w:t>ability for Members to “like” songs they discover anywhere on our platform and save it to their profile; and</w:t>
      </w:r>
    </w:p>
    <w:p>
      <w:pPr>
        <w:spacing w:after="0" w:line="44" w:lineRule="exact"/>
        <w:rPr>
          <w:rFonts w:ascii="Arial" w:cs="Arial" w:eastAsia="Arial" w:hAnsi="Arial"/>
          <w:sz w:val="11"/>
          <w:szCs w:val="11"/>
          <w:color w:val="F7323F"/>
        </w:rPr>
      </w:pPr>
    </w:p>
    <w:p>
      <w:pPr>
        <w:ind w:left="2420" w:hanging="217"/>
        <w:spacing w:after="0"/>
        <w:tabs>
          <w:tab w:leader="none" w:pos="2420" w:val="left"/>
        </w:tabs>
        <w:numPr>
          <w:ilvl w:val="0"/>
          <w:numId w:val="62"/>
        </w:numPr>
        <w:rPr>
          <w:rFonts w:ascii="Arial" w:cs="Arial" w:eastAsia="Arial" w:hAnsi="Arial"/>
          <w:sz w:val="11"/>
          <w:szCs w:val="11"/>
          <w:color w:val="F7323F"/>
        </w:rPr>
      </w:pPr>
      <w:r>
        <w:rPr>
          <w:rFonts w:ascii="Arial" w:cs="Arial" w:eastAsia="Arial" w:hAnsi="Arial"/>
          <w:sz w:val="11"/>
          <w:szCs w:val="11"/>
          <w:color w:val="050505"/>
        </w:rPr>
        <w:t>integrations with Spotify and Apple Music, enabling Members to sync songs they hear on Peloton to their streaming service.</w:t>
      </w:r>
    </w:p>
    <w:p>
      <w:pPr>
        <w:spacing w:after="0" w:line="99" w:lineRule="exact"/>
        <w:rPr>
          <w:sz w:val="20"/>
          <w:szCs w:val="20"/>
          <w:color w:val="auto"/>
        </w:rPr>
      </w:pPr>
    </w:p>
    <w:p>
      <w:pPr>
        <w:ind w:left="5640"/>
        <w:spacing w:after="0"/>
        <w:rPr>
          <w:sz w:val="20"/>
          <w:szCs w:val="20"/>
          <w:color w:val="auto"/>
        </w:rPr>
      </w:pPr>
      <w:r>
        <w:rPr>
          <w:rFonts w:ascii="Arial" w:cs="Arial" w:eastAsia="Arial" w:hAnsi="Arial"/>
          <w:sz w:val="11"/>
          <w:szCs w:val="11"/>
          <w:color w:val="050505"/>
        </w:rPr>
        <w:t>105</w:t>
      </w:r>
    </w:p>
    <w:p>
      <w:pPr>
        <w:sectPr>
          <w:pgSz w:w="11900" w:h="16838" w:orient="portrait"/>
          <w:cols w:equalWidth="0" w:num="1">
            <w:col w:w="10239"/>
          </w:cols>
          <w:pgMar w:left="220" w:top="354" w:right="1440" w:bottom="1440" w:gutter="0" w:footer="0" w:header="0"/>
        </w:sectPr>
      </w:pPr>
    </w:p>
    <w:bookmarkStart w:id="115" w:name="page116"/>
    <w:bookmarkEnd w:id="115"/>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hyperlink w:anchor="page5">
        <w:r>
          <w:rPr>
            <w:rFonts w:ascii="Arial" w:cs="Arial" w:eastAsia="Arial" w:hAnsi="Arial"/>
            <w:sz w:val="12"/>
            <w:szCs w:val="12"/>
            <w:b w:val="1"/>
            <w:bCs w:val="1"/>
            <w:u w:val="single" w:color="auto"/>
            <w:color w:val="0000EE"/>
          </w:rPr>
          <w:t>Table of Contents</w:t>
        </w:r>
      </w:hyperlink>
    </w:p>
    <w:p>
      <w:pPr>
        <w:spacing w:after="0" w:line="204" w:lineRule="exact"/>
        <w:rPr>
          <w:sz w:val="20"/>
          <w:szCs w:val="20"/>
          <w:color w:val="auto"/>
        </w:rPr>
      </w:pPr>
    </w:p>
    <w:p>
      <w:pPr>
        <w:ind w:left="2060"/>
        <w:spacing w:after="0"/>
        <w:rPr>
          <w:sz w:val="20"/>
          <w:szCs w:val="20"/>
          <w:color w:val="auto"/>
        </w:rPr>
      </w:pPr>
      <w:r>
        <w:rPr>
          <w:rFonts w:ascii="Arial" w:cs="Arial" w:eastAsia="Arial" w:hAnsi="Arial"/>
          <w:sz w:val="11"/>
          <w:szCs w:val="11"/>
          <w:b w:val="1"/>
          <w:bCs w:val="1"/>
          <w:i w:val="1"/>
          <w:iCs w:val="1"/>
          <w:color w:val="auto"/>
        </w:rPr>
        <w:t>Music Rights Strategy</w:t>
      </w:r>
    </w:p>
    <w:p>
      <w:pPr>
        <w:spacing w:after="0" w:line="12" w:lineRule="exact"/>
        <w:rPr>
          <w:sz w:val="20"/>
          <w:szCs w:val="20"/>
          <w:color w:val="auto"/>
        </w:rPr>
      </w:pPr>
    </w:p>
    <w:p>
      <w:pPr>
        <w:jc w:val="both"/>
        <w:ind w:left="2060" w:right="839"/>
        <w:spacing w:after="0"/>
        <w:rPr>
          <w:sz w:val="20"/>
          <w:szCs w:val="20"/>
          <w:color w:val="auto"/>
        </w:rPr>
      </w:pPr>
      <w:r>
        <w:rPr>
          <w:rFonts w:ascii="Arial" w:cs="Arial" w:eastAsia="Arial" w:hAnsi="Arial"/>
          <w:sz w:val="11"/>
          <w:szCs w:val="11"/>
          <w:color w:val="050505"/>
        </w:rPr>
        <w:t>We have built a world class music content management and reporting system to meet the needs of our music rights holders in order to support our highly-engaged, growing global community of over 1.4 million Members. Peloton is increasingly seen by our partners as an impactful music discovery platform, which has created opportunities to progressively and meaningfully enhance our classes with custom music experiences. We expect this to continue as we invest in music-first technology to improve the quality of our Members’ experience, strengthen our competitive advantage over other fitness platforms, and add value to our Members.</w:t>
      </w:r>
    </w:p>
    <w:p>
      <w:pPr>
        <w:spacing w:after="0" w:line="202" w:lineRule="exact"/>
        <w:rPr>
          <w:sz w:val="20"/>
          <w:szCs w:val="20"/>
          <w:color w:val="auto"/>
        </w:rPr>
      </w:pPr>
    </w:p>
    <w:p>
      <w:pPr>
        <w:ind w:left="2060"/>
        <w:spacing w:after="0"/>
        <w:rPr>
          <w:sz w:val="20"/>
          <w:szCs w:val="20"/>
          <w:color w:val="auto"/>
        </w:rPr>
      </w:pPr>
      <w:r>
        <w:rPr>
          <w:rFonts w:ascii="Arial" w:cs="Arial" w:eastAsia="Arial" w:hAnsi="Arial"/>
          <w:sz w:val="11"/>
          <w:szCs w:val="11"/>
          <w:b w:val="1"/>
          <w:bCs w:val="1"/>
          <w:i w:val="1"/>
          <w:iCs w:val="1"/>
          <w:color w:val="auto"/>
        </w:rPr>
        <w:t>Sales and Marketing</w:t>
      </w:r>
    </w:p>
    <w:p>
      <w:pPr>
        <w:spacing w:after="0" w:line="12" w:lineRule="exact"/>
        <w:rPr>
          <w:sz w:val="20"/>
          <w:szCs w:val="20"/>
          <w:color w:val="auto"/>
        </w:rPr>
      </w:pPr>
    </w:p>
    <w:p>
      <w:pPr>
        <w:jc w:val="both"/>
        <w:ind w:left="2060" w:right="839"/>
        <w:spacing w:after="0"/>
        <w:rPr>
          <w:sz w:val="20"/>
          <w:szCs w:val="20"/>
          <w:color w:val="auto"/>
        </w:rPr>
      </w:pPr>
      <w:r>
        <w:rPr>
          <w:rFonts w:ascii="Arial" w:cs="Arial" w:eastAsia="Arial" w:hAnsi="Arial"/>
          <w:sz w:val="11"/>
          <w:szCs w:val="11"/>
          <w:color w:val="050505"/>
        </w:rPr>
        <w:t>Our goal is to increase brand awareness and purchase intent for our Connected Fitness Products and subscriptions. We use a unique combination of brand and product-specific performance marketing to build brand awareness and generate predictable sales of our Connected Fitness Products. In just a few years, Peloton’s aided brand awareness has grown significantly, and as of April 3, 2019, our aided brand awareness in the United States was 67%. Our marketing strategies have focused on product education and broadening our demographic reach. Our fastest growing demographic segments included Members under the age of 35 and Members making under $75,000 in annual household income.</w:t>
      </w:r>
    </w:p>
    <w:p>
      <w:pPr>
        <w:spacing w:after="0" w:line="142" w:lineRule="exact"/>
        <w:rPr>
          <w:sz w:val="20"/>
          <w:szCs w:val="20"/>
          <w:color w:val="auto"/>
        </w:rPr>
      </w:pPr>
    </w:p>
    <w:p>
      <w:pPr>
        <w:jc w:val="both"/>
        <w:ind w:left="2060" w:right="839"/>
        <w:spacing w:after="0"/>
        <w:rPr>
          <w:sz w:val="20"/>
          <w:szCs w:val="20"/>
          <w:color w:val="auto"/>
        </w:rPr>
      </w:pPr>
      <w:r>
        <w:rPr>
          <w:rFonts w:ascii="Arial" w:cs="Arial" w:eastAsia="Arial" w:hAnsi="Arial"/>
          <w:sz w:val="11"/>
          <w:szCs w:val="11"/>
          <w:color w:val="050505"/>
        </w:rPr>
        <w:t>Video has been the strongest medium to communicate the features of the Peloton platform. We primarily market through advertisements on broadcast and cable television, social media, and over-the-top providers such as Hulu and YouTube to reach our target audience, focusing on incremental return on investment. Our direct-to-consumer model allows us to conduct frequent tests in our sales channels, including testing our brand creative and messages, allowing us to further optimize marketing spend. We also frequently test alternative marketing channels, such as podcasts and other forms of audio advertising, as well as direct mailing.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2060"/>
        <w:spacing w:after="0"/>
        <w:rPr>
          <w:sz w:val="20"/>
          <w:szCs w:val="20"/>
          <w:color w:val="auto"/>
        </w:rPr>
      </w:pPr>
      <w:r>
        <w:rPr>
          <w:rFonts w:ascii="Arial" w:cs="Arial" w:eastAsia="Arial" w:hAnsi="Arial"/>
          <w:sz w:val="11"/>
          <w:szCs w:val="11"/>
          <w:b w:val="1"/>
          <w:bCs w:val="1"/>
          <w:i w:val="1"/>
          <w:iCs w:val="1"/>
          <w:color w:val="auto"/>
        </w:rPr>
        <w:t>Direct to Consumer, Multi-Channel Sales Model</w:t>
      </w:r>
    </w:p>
    <w:p>
      <w:pPr>
        <w:spacing w:after="0" w:line="12" w:lineRule="exact"/>
        <w:rPr>
          <w:sz w:val="20"/>
          <w:szCs w:val="20"/>
          <w:color w:val="auto"/>
        </w:rPr>
      </w:pPr>
    </w:p>
    <w:p>
      <w:pPr>
        <w:jc w:val="both"/>
        <w:ind w:left="2060" w:right="839"/>
        <w:spacing w:after="0" w:line="241" w:lineRule="auto"/>
        <w:rPr>
          <w:sz w:val="20"/>
          <w:szCs w:val="20"/>
          <w:color w:val="auto"/>
        </w:rPr>
      </w:pPr>
      <w:r>
        <w:rPr>
          <w:rFonts w:ascii="Arial" w:cs="Arial" w:eastAsia="Arial" w:hAnsi="Arial"/>
          <w:sz w:val="11"/>
          <w:szCs w:val="11"/>
          <w:color w:val="050505"/>
        </w:rPr>
        <w:t>We sell our products directly to customers through a multi-channel sales platform that includes e-commerce, inside sales, and showrooms. Our sales associates use robust customer relationship management tools to deliver an elevated, personalized, and educational purchase experience, regardless of channel of capture and conversion. Integration and coordination across all sales channels is critical to the customer journey, evidenced by over 37% of our customers purchasing a product or service in a different channel than where they originally engaged with Peloton in fiscal 2019.</w:t>
      </w:r>
    </w:p>
    <w:p>
      <w:pPr>
        <w:spacing w:after="0" w:line="148" w:lineRule="exact"/>
        <w:rPr>
          <w:sz w:val="20"/>
          <w:szCs w:val="20"/>
          <w:color w:val="auto"/>
        </w:rPr>
      </w:pPr>
    </w:p>
    <w:p>
      <w:pPr>
        <w:jc w:val="both"/>
        <w:ind w:left="2420" w:right="839" w:hanging="217"/>
        <w:spacing w:after="0" w:line="251" w:lineRule="auto"/>
        <w:tabs>
          <w:tab w:leader="none" w:pos="2420" w:val="left"/>
        </w:tabs>
        <w:numPr>
          <w:ilvl w:val="0"/>
          <w:numId w:val="63"/>
        </w:numPr>
        <w:rPr>
          <w:rFonts w:ascii="Arial" w:cs="Arial" w:eastAsia="Arial" w:hAnsi="Arial"/>
          <w:sz w:val="11"/>
          <w:szCs w:val="11"/>
          <w:color w:val="F7323F"/>
        </w:rPr>
      </w:pPr>
      <w:r>
        <w:rPr>
          <w:rFonts w:ascii="Arial" w:cs="Arial" w:eastAsia="Arial" w:hAnsi="Arial"/>
          <w:sz w:val="11"/>
          <w:szCs w:val="11"/>
          <w:i w:val="1"/>
          <w:iCs w:val="1"/>
          <w:color w:val="050505"/>
        </w:rPr>
        <w:t xml:space="preserve">E-Commerce and Inside Sales: </w:t>
      </w:r>
      <w:r>
        <w:rPr>
          <w:rFonts w:ascii="Arial" w:cs="Arial" w:eastAsia="Arial" w:hAnsi="Arial"/>
          <w:sz w:val="11"/>
          <w:szCs w:val="11"/>
          <w:color w:val="050505"/>
        </w:rPr>
        <w:t>Our desktop and mobile websites, www.onepeloton.com, www.onepeloton.co.uk, and www.onepeloton.ca, provide</w:t>
      </w:r>
      <w:r>
        <w:rPr>
          <w:rFonts w:ascii="Arial" w:cs="Arial" w:eastAsia="Arial" w:hAnsi="Arial"/>
          <w:sz w:val="11"/>
          <w:szCs w:val="11"/>
          <w:i w:val="1"/>
          <w:iCs w:val="1"/>
          <w:color w:val="050505"/>
        </w:rPr>
        <w:t xml:space="preserve"> </w:t>
      </w:r>
      <w:r>
        <w:rPr>
          <w:rFonts w:ascii="Arial" w:cs="Arial" w:eastAsia="Arial" w:hAnsi="Arial"/>
          <w:sz w:val="11"/>
          <w:szCs w:val="11"/>
          <w:color w:val="050505"/>
        </w:rPr>
        <w:t>an elevated brand experience where visitors can learn about our products and services and access product reviews. Our inside sales team engages with customers by phone, email, and online chat on our websites, and offers one-on-one sales consultations seven days a week.</w:t>
      </w:r>
    </w:p>
    <w:p>
      <w:pPr>
        <w:spacing w:after="0" w:line="91" w:lineRule="exact"/>
        <w:rPr>
          <w:sz w:val="20"/>
          <w:szCs w:val="20"/>
          <w:color w:val="auto"/>
        </w:rPr>
      </w:pPr>
    </w:p>
    <w:p>
      <w:pPr>
        <w:ind w:left="5640"/>
        <w:spacing w:after="0"/>
        <w:rPr>
          <w:sz w:val="20"/>
          <w:szCs w:val="20"/>
          <w:color w:val="auto"/>
        </w:rPr>
      </w:pPr>
      <w:r>
        <w:rPr>
          <w:rFonts w:ascii="Arial" w:cs="Arial" w:eastAsia="Arial" w:hAnsi="Arial"/>
          <w:sz w:val="11"/>
          <w:szCs w:val="11"/>
          <w:color w:val="050505"/>
        </w:rPr>
        <w:t>106</w:t>
      </w:r>
    </w:p>
    <w:p>
      <w:pPr>
        <w:sectPr>
          <w:pgSz w:w="11900" w:h="16838" w:orient="portrait"/>
          <w:cols w:equalWidth="0" w:num="1">
            <w:col w:w="10239"/>
          </w:cols>
          <w:pgMar w:left="220" w:top="354" w:right="1440" w:bottom="1440" w:gutter="0" w:footer="0" w:header="0"/>
        </w:sectPr>
      </w:pPr>
    </w:p>
    <w:bookmarkStart w:id="116" w:name="page117"/>
    <w:bookmarkEnd w:id="116"/>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hyperlink w:anchor="page5">
        <w:r>
          <w:rPr>
            <w:rFonts w:ascii="Arial" w:cs="Arial" w:eastAsia="Arial" w:hAnsi="Arial"/>
            <w:sz w:val="12"/>
            <w:szCs w:val="12"/>
            <w:b w:val="1"/>
            <w:bCs w:val="1"/>
            <w:u w:val="single" w:color="auto"/>
            <w:color w:val="0000EE"/>
          </w:rPr>
          <w:t>Table of Contents</w:t>
        </w:r>
      </w:hyperlink>
    </w:p>
    <w:p>
      <w:pPr>
        <w:spacing w:after="0" w:line="206" w:lineRule="exact"/>
        <w:rPr>
          <w:sz w:val="20"/>
          <w:szCs w:val="20"/>
          <w:color w:val="auto"/>
        </w:rPr>
      </w:pPr>
    </w:p>
    <w:p>
      <w:pPr>
        <w:jc w:val="both"/>
        <w:ind w:left="2420" w:right="839" w:hanging="217"/>
        <w:spacing w:after="0" w:line="251" w:lineRule="auto"/>
        <w:tabs>
          <w:tab w:leader="none" w:pos="2420" w:val="left"/>
        </w:tabs>
        <w:numPr>
          <w:ilvl w:val="0"/>
          <w:numId w:val="64"/>
        </w:numPr>
        <w:rPr>
          <w:rFonts w:ascii="Arial" w:cs="Arial" w:eastAsia="Arial" w:hAnsi="Arial"/>
          <w:sz w:val="11"/>
          <w:szCs w:val="11"/>
          <w:color w:val="F7323F"/>
        </w:rPr>
      </w:pPr>
      <w:r>
        <w:rPr>
          <w:rFonts w:ascii="Arial" w:cs="Arial" w:eastAsia="Arial" w:hAnsi="Arial"/>
          <w:sz w:val="11"/>
          <w:szCs w:val="11"/>
          <w:i w:val="1"/>
          <w:iCs w:val="1"/>
          <w:color w:val="050505"/>
        </w:rPr>
        <w:t xml:space="preserve">Showrooms: </w:t>
      </w:r>
      <w:r>
        <w:rPr>
          <w:rFonts w:ascii="Arial" w:cs="Arial" w:eastAsia="Arial" w:hAnsi="Arial"/>
          <w:sz w:val="11"/>
          <w:szCs w:val="11"/>
          <w:color w:val="050505"/>
        </w:rPr>
        <w:t>Our showrooms allow customers to experience and try our products. We provide interactive product demonstrations and many of our</w:t>
      </w:r>
      <w:r>
        <w:rPr>
          <w:rFonts w:ascii="Arial" w:cs="Arial" w:eastAsia="Arial" w:hAnsi="Arial"/>
          <w:sz w:val="11"/>
          <w:szCs w:val="11"/>
          <w:i w:val="1"/>
          <w:iCs w:val="1"/>
          <w:color w:val="050505"/>
        </w:rPr>
        <w:t xml:space="preserve"> </w:t>
      </w:r>
      <w:r>
        <w:rPr>
          <w:rFonts w:ascii="Arial" w:cs="Arial" w:eastAsia="Arial" w:hAnsi="Arial"/>
          <w:sz w:val="11"/>
          <w:szCs w:val="11"/>
          <w:color w:val="050505"/>
        </w:rPr>
        <w:t>showrooms have private areas where customers can do a “test ride” or “test run.” We frequently host Peloton community events in our showrooms, which help deepen brand engagement and loyalty.</w:t>
      </w:r>
    </w:p>
    <w:p>
      <w:pPr>
        <w:spacing w:after="0" w:line="26" w:lineRule="exact"/>
        <w:rPr>
          <w:rFonts w:ascii="Arial" w:cs="Arial" w:eastAsia="Arial" w:hAnsi="Arial"/>
          <w:sz w:val="11"/>
          <w:szCs w:val="11"/>
          <w:color w:val="F7323F"/>
        </w:rPr>
      </w:pPr>
    </w:p>
    <w:p>
      <w:pPr>
        <w:jc w:val="both"/>
        <w:ind w:left="2420" w:right="839" w:hanging="217"/>
        <w:spacing w:after="0" w:line="251" w:lineRule="auto"/>
        <w:tabs>
          <w:tab w:leader="none" w:pos="2420" w:val="left"/>
        </w:tabs>
        <w:numPr>
          <w:ilvl w:val="0"/>
          <w:numId w:val="64"/>
        </w:numPr>
        <w:rPr>
          <w:rFonts w:ascii="Arial" w:cs="Arial" w:eastAsia="Arial" w:hAnsi="Arial"/>
          <w:sz w:val="11"/>
          <w:szCs w:val="11"/>
          <w:color w:val="F7323F"/>
        </w:rPr>
      </w:pPr>
      <w:r>
        <w:rPr>
          <w:rFonts w:ascii="Arial" w:cs="Arial" w:eastAsia="Arial" w:hAnsi="Arial"/>
          <w:sz w:val="11"/>
          <w:szCs w:val="11"/>
          <w:i w:val="1"/>
          <w:iCs w:val="1"/>
          <w:color w:val="050505"/>
        </w:rPr>
        <w:t xml:space="preserve">Commercial: </w:t>
      </w:r>
      <w:r>
        <w:rPr>
          <w:rFonts w:ascii="Arial" w:cs="Arial" w:eastAsia="Arial" w:hAnsi="Arial"/>
          <w:sz w:val="11"/>
          <w:szCs w:val="11"/>
          <w:color w:val="050505"/>
        </w:rPr>
        <w:t>The commercial and hospitality markets represent a small percentage of sales but are important to driving trial and brand</w:t>
      </w:r>
      <w:r>
        <w:rPr>
          <w:rFonts w:ascii="Arial" w:cs="Arial" w:eastAsia="Arial" w:hAnsi="Arial"/>
          <w:sz w:val="11"/>
          <w:szCs w:val="11"/>
          <w:i w:val="1"/>
          <w:iCs w:val="1"/>
          <w:color w:val="050505"/>
        </w:rPr>
        <w:t xml:space="preserve"> </w:t>
      </w:r>
      <w:r>
        <w:rPr>
          <w:rFonts w:ascii="Arial" w:cs="Arial" w:eastAsia="Arial" w:hAnsi="Arial"/>
          <w:sz w:val="11"/>
          <w:szCs w:val="11"/>
          <w:color w:val="050505"/>
        </w:rPr>
        <w:t>awareness. Our Bikes in hospitality locations help keep our Members riding when they travel, creating further Member engagement, loyalty, and convenience. Across our markets as of June 30, 2019, there were 1,298 Peloton Bikes in 696 hotels and resorts.</w:t>
      </w:r>
    </w:p>
    <w:p>
      <w:pPr>
        <w:spacing w:after="0" w:line="124" w:lineRule="exact"/>
        <w:rPr>
          <w:sz w:val="20"/>
          <w:szCs w:val="20"/>
          <w:color w:val="auto"/>
        </w:rPr>
      </w:pPr>
    </w:p>
    <w:p>
      <w:pPr>
        <w:ind w:left="2060"/>
        <w:spacing w:after="0"/>
        <w:rPr>
          <w:sz w:val="20"/>
          <w:szCs w:val="20"/>
          <w:color w:val="auto"/>
        </w:rPr>
      </w:pPr>
      <w:r>
        <w:rPr>
          <w:rFonts w:ascii="Arial" w:cs="Arial" w:eastAsia="Arial" w:hAnsi="Arial"/>
          <w:sz w:val="11"/>
          <w:szCs w:val="11"/>
          <w:b w:val="1"/>
          <w:bCs w:val="1"/>
          <w:i w:val="1"/>
          <w:iCs w:val="1"/>
          <w:color w:val="auto"/>
        </w:rPr>
        <w:t>Showroom Site Strategy</w:t>
      </w:r>
    </w:p>
    <w:p>
      <w:pPr>
        <w:spacing w:after="0" w:line="12" w:lineRule="exact"/>
        <w:rPr>
          <w:sz w:val="20"/>
          <w:szCs w:val="20"/>
          <w:color w:val="auto"/>
        </w:rPr>
      </w:pPr>
    </w:p>
    <w:p>
      <w:pPr>
        <w:jc w:val="both"/>
        <w:ind w:left="2060" w:right="839"/>
        <w:spacing w:after="0"/>
        <w:rPr>
          <w:sz w:val="20"/>
          <w:szCs w:val="20"/>
          <w:color w:val="auto"/>
        </w:rPr>
      </w:pPr>
      <w:r>
        <w:rPr>
          <w:rFonts w:ascii="Arial" w:cs="Arial" w:eastAsia="Arial" w:hAnsi="Arial"/>
          <w:sz w:val="11"/>
          <w:szCs w:val="11"/>
          <w:color w:val="050505"/>
        </w:rPr>
        <w:t>As of June 30, 2019, we operated 74 showrooms across the United States, Canada and the United Kingdom. Our showrooms are located primarily in upscale malls, lifestyle centers, and premium street locations. When evaluating potential new markets, we carefully examine historical sales data, key demographics, traffic patterns, geographic locations, and co-tenancy of other complementary lifestyle-oriented retailers. In the United States, we attempt to cluster stores around major urban markets and suburbs while also operating in super regional and regional centers that draw from a greater trade area. In Canada and the United Kingdom, we will continue to focus on major urban markets. We target locations where we expect payback of one year or less and positive contributions to EBITDA within the first year of operation.</w:t>
      </w:r>
    </w:p>
    <w:p>
      <w:pPr>
        <w:spacing w:after="0" w:line="142" w:lineRule="exact"/>
        <w:rPr>
          <w:sz w:val="20"/>
          <w:szCs w:val="20"/>
          <w:color w:val="auto"/>
        </w:rPr>
      </w:pPr>
    </w:p>
    <w:p>
      <w:pPr>
        <w:jc w:val="both"/>
        <w:ind w:left="2060" w:right="839"/>
        <w:spacing w:after="0" w:line="270" w:lineRule="auto"/>
        <w:rPr>
          <w:sz w:val="20"/>
          <w:szCs w:val="20"/>
          <w:color w:val="auto"/>
        </w:rPr>
      </w:pPr>
      <w:r>
        <w:rPr>
          <w:rFonts w:ascii="Arial" w:cs="Arial" w:eastAsia="Arial" w:hAnsi="Arial"/>
          <w:sz w:val="10"/>
          <w:szCs w:val="10"/>
          <w:color w:val="050505"/>
        </w:rPr>
        <w:t>We operate two showroom formats including our large showrooms which range from 1,500 to 2,000 square feet and “microstores” which are typically around 300 square feet. Large showrooms comprise 70% of our retail locations and provide space for Connected Fitness Products and Peloton-branded apparel, as well as private areas for “test rides” and “test runs.” Microstores represent 30% of our retail locations and are typically placed in highly visible “center court” areas. Our showroom leases are typically five to ten years in lease duration while microstores are typically open for up to 1.5 years. Microstores allow us to test markets and specific shopping areas, and provide a temporary location while searching for the ideal large showroom space.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1910715</wp:posOffset>
            </wp:positionH>
            <wp:positionV relativeFrom="paragraph">
              <wp:posOffset>92075</wp:posOffset>
            </wp:positionV>
            <wp:extent cx="3460115" cy="12528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3460115" cy="12528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2060"/>
        <w:spacing w:after="0"/>
        <w:rPr>
          <w:sz w:val="20"/>
          <w:szCs w:val="20"/>
          <w:color w:val="auto"/>
        </w:rPr>
      </w:pPr>
      <w:r>
        <w:rPr>
          <w:rFonts w:ascii="Arial" w:cs="Arial" w:eastAsia="Arial" w:hAnsi="Arial"/>
          <w:sz w:val="11"/>
          <w:szCs w:val="11"/>
          <w:b w:val="1"/>
          <w:bCs w:val="1"/>
          <w:i w:val="1"/>
          <w:iCs w:val="1"/>
          <w:color w:val="auto"/>
        </w:rPr>
        <w:t>Retention Marketing &amp; Member Support Services</w:t>
      </w:r>
    </w:p>
    <w:p>
      <w:pPr>
        <w:spacing w:after="0" w:line="12" w:lineRule="exact"/>
        <w:rPr>
          <w:sz w:val="20"/>
          <w:szCs w:val="20"/>
          <w:color w:val="auto"/>
        </w:rPr>
      </w:pPr>
    </w:p>
    <w:p>
      <w:pPr>
        <w:jc w:val="both"/>
        <w:ind w:left="2060" w:right="839"/>
        <w:spacing w:after="0" w:line="217" w:lineRule="auto"/>
        <w:rPr>
          <w:sz w:val="20"/>
          <w:szCs w:val="20"/>
          <w:color w:val="auto"/>
        </w:rPr>
      </w:pPr>
      <w:r>
        <w:rPr>
          <w:rFonts w:ascii="Arial" w:cs="Arial" w:eastAsia="Arial" w:hAnsi="Arial"/>
          <w:sz w:val="11"/>
          <w:szCs w:val="11"/>
          <w:color w:val="050505"/>
        </w:rPr>
        <w:t>The retention marketing team is focused on driving engagement to help us maintain our high Connected Fitness Subscriber retention rates. The team develops new ways to promote engagement with our products and community or help Members reengage with our platform when activity has lapsed. The retention team helps curate goal-based challenges, awards digital badges for Member accomplishments, and sends Peloton-branded “Century Club” shirts after a Member’s 100</w:t>
      </w:r>
      <w:r>
        <w:rPr>
          <w:rFonts w:ascii="Arial" w:cs="Arial" w:eastAsia="Arial" w:hAnsi="Arial"/>
          <w:sz w:val="18"/>
          <w:szCs w:val="18"/>
          <w:color w:val="050505"/>
          <w:vertAlign w:val="superscript"/>
        </w:rPr>
        <w:t>th</w:t>
      </w:r>
      <w:r>
        <w:rPr>
          <w:rFonts w:ascii="Arial" w:cs="Arial" w:eastAsia="Arial" w:hAnsi="Arial"/>
          <w:sz w:val="11"/>
          <w:szCs w:val="11"/>
          <w:color w:val="050505"/>
        </w:rPr>
        <w:t xml:space="preserve"> class. The team also communicates with Members with no recent activity through email campaigns that help encourage these Members to get back to their workout routine. The retention marketing team also collects and responds to feedback about our platform that is on our closed Facebook group of over 180,000 Members as of June 30, 2019.</w:t>
      </w:r>
    </w:p>
    <w:p>
      <w:pPr>
        <w:spacing w:after="0" w:line="142" w:lineRule="exact"/>
        <w:rPr>
          <w:sz w:val="20"/>
          <w:szCs w:val="20"/>
          <w:color w:val="auto"/>
        </w:rPr>
      </w:pPr>
    </w:p>
    <w:p>
      <w:pPr>
        <w:jc w:val="both"/>
        <w:ind w:left="2060" w:right="839"/>
        <w:spacing w:after="0"/>
        <w:rPr>
          <w:sz w:val="20"/>
          <w:szCs w:val="20"/>
          <w:color w:val="auto"/>
        </w:rPr>
      </w:pPr>
      <w:r>
        <w:rPr>
          <w:rFonts w:ascii="Arial" w:cs="Arial" w:eastAsia="Arial" w:hAnsi="Arial"/>
          <w:sz w:val="11"/>
          <w:szCs w:val="11"/>
          <w:color w:val="050505"/>
        </w:rPr>
        <w:t>In order to bring our community together, we organize several in-person events throughout the year including welcoming Members for workouts, milestone celebrations, and instructor meet-and-greets at our production studios in New York City. We also host Members at our showrooms, and celebrate our Members with our flagship Member event, Peloton Homecoming, held in New York City each May. At Peloton Homecoming 2019, we welcomed nearly 3,000 individuals to New York City to participate in three days of events including scheduled talks, a community celebration, and fitness classes.</w:t>
      </w:r>
    </w:p>
    <w:p>
      <w:pPr>
        <w:spacing w:after="0" w:line="97" w:lineRule="exact"/>
        <w:rPr>
          <w:sz w:val="20"/>
          <w:szCs w:val="20"/>
          <w:color w:val="auto"/>
        </w:rPr>
      </w:pPr>
    </w:p>
    <w:p>
      <w:pPr>
        <w:ind w:left="5640"/>
        <w:spacing w:after="0"/>
        <w:rPr>
          <w:sz w:val="20"/>
          <w:szCs w:val="20"/>
          <w:color w:val="auto"/>
        </w:rPr>
      </w:pPr>
      <w:r>
        <w:rPr>
          <w:rFonts w:ascii="Arial" w:cs="Arial" w:eastAsia="Arial" w:hAnsi="Arial"/>
          <w:sz w:val="11"/>
          <w:szCs w:val="11"/>
          <w:color w:val="050505"/>
        </w:rPr>
        <w:t>107</w:t>
      </w:r>
    </w:p>
    <w:p>
      <w:pPr>
        <w:sectPr>
          <w:pgSz w:w="11900" w:h="16838" w:orient="portrait"/>
          <w:cols w:equalWidth="0" w:num="1">
            <w:col w:w="10239"/>
          </w:cols>
          <w:pgMar w:left="220" w:top="354" w:right="1440" w:bottom="1440" w:gutter="0" w:footer="0" w:header="0"/>
        </w:sectPr>
      </w:pPr>
    </w:p>
    <w:bookmarkStart w:id="117" w:name="page118"/>
    <w:bookmarkEnd w:id="117"/>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hyperlink w:anchor="page5">
        <w:r>
          <w:rPr>
            <w:rFonts w:ascii="Arial" w:cs="Arial" w:eastAsia="Arial" w:hAnsi="Arial"/>
            <w:sz w:val="12"/>
            <w:szCs w:val="12"/>
            <w:b w:val="1"/>
            <w:bCs w:val="1"/>
            <w:u w:val="single" w:color="auto"/>
            <w:color w:val="0000EE"/>
          </w:rPr>
          <w:t>Table of Contents</w:t>
        </w:r>
      </w:hyperlink>
    </w:p>
    <w:p>
      <w:pPr>
        <w:spacing w:after="0" w:line="216" w:lineRule="exact"/>
        <w:rPr>
          <w:sz w:val="20"/>
          <w:szCs w:val="20"/>
          <w:color w:val="auto"/>
        </w:rPr>
      </w:pPr>
    </w:p>
    <w:p>
      <w:pPr>
        <w:jc w:val="both"/>
        <w:ind w:left="2060" w:right="839"/>
        <w:spacing w:after="0" w:line="241" w:lineRule="auto"/>
        <w:rPr>
          <w:sz w:val="20"/>
          <w:szCs w:val="20"/>
          <w:color w:val="auto"/>
        </w:rPr>
      </w:pPr>
      <w:r>
        <w:rPr>
          <w:rFonts w:ascii="Arial" w:cs="Arial" w:eastAsia="Arial" w:hAnsi="Arial"/>
          <w:sz w:val="11"/>
          <w:szCs w:val="11"/>
          <w:color w:val="050505"/>
        </w:rPr>
        <w:t>The Member support team was created to serve all the needs of our customers and Members including sales support, scheduling, delivery, installation, account and billing inquiries, Connected Fitness Product trouble-shooting and repair, product education, returns and exchanges, and anything else our Members need. This team primarily operates in New York City and Plano, Texas. We also utilize some additional third-party support services in Ireland and North America to help us efficiently scale our team.</w:t>
      </w:r>
    </w:p>
    <w:p>
      <w:pPr>
        <w:spacing w:after="0" w:line="128" w:lineRule="exact"/>
        <w:rPr>
          <w:sz w:val="20"/>
          <w:szCs w:val="20"/>
          <w:color w:val="auto"/>
        </w:rPr>
      </w:pPr>
    </w:p>
    <w:p>
      <w:pPr>
        <w:ind w:left="2060"/>
        <w:spacing w:after="0"/>
        <w:rPr>
          <w:sz w:val="20"/>
          <w:szCs w:val="20"/>
          <w:color w:val="auto"/>
        </w:rPr>
      </w:pPr>
      <w:r>
        <w:rPr>
          <w:rFonts w:ascii="Arial" w:cs="Arial" w:eastAsia="Arial" w:hAnsi="Arial"/>
          <w:sz w:val="11"/>
          <w:szCs w:val="11"/>
          <w:b w:val="1"/>
          <w:bCs w:val="1"/>
          <w:i w:val="1"/>
          <w:iCs w:val="1"/>
          <w:color w:val="auto"/>
        </w:rPr>
        <w:t>Manufacturing</w:t>
      </w:r>
    </w:p>
    <w:p>
      <w:pPr>
        <w:spacing w:after="0" w:line="12" w:lineRule="exact"/>
        <w:rPr>
          <w:sz w:val="20"/>
          <w:szCs w:val="20"/>
          <w:color w:val="auto"/>
        </w:rPr>
      </w:pPr>
    </w:p>
    <w:p>
      <w:pPr>
        <w:jc w:val="both"/>
        <w:ind w:left="2060" w:right="839"/>
        <w:spacing w:after="0"/>
        <w:rPr>
          <w:sz w:val="20"/>
          <w:szCs w:val="20"/>
          <w:color w:val="auto"/>
        </w:rPr>
      </w:pPr>
      <w:r>
        <w:rPr>
          <w:rFonts w:ascii="Arial" w:cs="Arial" w:eastAsia="Arial" w:hAnsi="Arial"/>
          <w:sz w:val="11"/>
          <w:szCs w:val="11"/>
          <w:color w:val="050505"/>
        </w:rPr>
        <w:t>We outsource the manufacturing of our products to multiple contract manufacturers located in Asia. The components used in our products are sourced either directly by us or on our behalf by our contract manufacturers from a variety of component suppliers. To continue to provide our Members with leading fitness technology, our supply chain team coordinates the relationships between our contract manufacturers and component suppliers. We regularly review our existing contract manufacturers and component suppliers, and evaluate new partners and suppliers, to ensure that we can scale our manufacturing base as we grow.</w:t>
      </w:r>
    </w:p>
    <w:p>
      <w:pPr>
        <w:spacing w:after="0" w:line="142" w:lineRule="exact"/>
        <w:rPr>
          <w:sz w:val="20"/>
          <w:szCs w:val="20"/>
          <w:color w:val="auto"/>
        </w:rPr>
      </w:pPr>
    </w:p>
    <w:p>
      <w:pPr>
        <w:jc w:val="both"/>
        <w:ind w:left="2060" w:right="839"/>
        <w:spacing w:after="0"/>
        <w:rPr>
          <w:sz w:val="20"/>
          <w:szCs w:val="20"/>
          <w:color w:val="auto"/>
        </w:rPr>
      </w:pPr>
      <w:r>
        <w:rPr>
          <w:rFonts w:ascii="Arial" w:cs="Arial" w:eastAsia="Arial" w:hAnsi="Arial"/>
          <w:sz w:val="11"/>
          <w:szCs w:val="11"/>
          <w:color w:val="050505"/>
        </w:rPr>
        <w:t>We purchase from our primary contract manufacturers on a purchase order basis. Under our governing agreements, our contract manufacturers must follow our established product design specifications, quality assurance programs, and manufacturing standards. We have developed preferred relationships with our partners to maintain access to the resources needed to scale seasonally and ensure our partners have the requisite experience to produce our Connected Fitness Products and accessories. We pay for and own certain tooling and equipment specifically required to manufacture our products to have control of supply and component pipelines. We have purchase commitments based on our purchase orders for certain amounts of goods, work-in-progress, and components.</w:t>
      </w:r>
    </w:p>
    <w:p>
      <w:pPr>
        <w:spacing w:after="0" w:line="142" w:lineRule="exact"/>
        <w:rPr>
          <w:sz w:val="20"/>
          <w:szCs w:val="20"/>
          <w:color w:val="auto"/>
        </w:rPr>
      </w:pPr>
    </w:p>
    <w:p>
      <w:pPr>
        <w:jc w:val="both"/>
        <w:ind w:left="2060" w:right="839"/>
        <w:spacing w:after="0" w:line="242" w:lineRule="auto"/>
        <w:rPr>
          <w:sz w:val="20"/>
          <w:szCs w:val="20"/>
          <w:color w:val="auto"/>
        </w:rPr>
      </w:pPr>
      <w:r>
        <w:rPr>
          <w:rFonts w:ascii="Arial" w:cs="Arial" w:eastAsia="Arial" w:hAnsi="Arial"/>
          <w:sz w:val="11"/>
          <w:szCs w:val="11"/>
          <w:color w:val="050505"/>
        </w:rPr>
        <w:t>In order to mitigate against the risks related to a single source of supply, we qualify alternative suppliers and manufacturers when possible, and develop contingency plans for responding to disruptions, including maintaining adequate inventory of any single source components and products. To date, we have not experienced material delays in obtaining any of our components or products.</w:t>
      </w:r>
    </w:p>
    <w:p>
      <w:pPr>
        <w:spacing w:after="0" w:line="140" w:lineRule="exact"/>
        <w:rPr>
          <w:sz w:val="20"/>
          <w:szCs w:val="20"/>
          <w:color w:val="auto"/>
        </w:rPr>
      </w:pPr>
    </w:p>
    <w:p>
      <w:pPr>
        <w:jc w:val="both"/>
        <w:ind w:left="2060" w:right="839"/>
        <w:spacing w:after="0" w:line="245" w:lineRule="auto"/>
        <w:rPr>
          <w:sz w:val="20"/>
          <w:szCs w:val="20"/>
          <w:color w:val="auto"/>
        </w:rPr>
      </w:pPr>
      <w:r>
        <w:rPr>
          <w:rFonts w:ascii="Arial" w:cs="Arial" w:eastAsia="Arial" w:hAnsi="Arial"/>
          <w:sz w:val="11"/>
          <w:szCs w:val="11"/>
          <w:color w:val="050505"/>
        </w:rPr>
        <w:t>At each of our manufacturers’ facilities, we have a quality team that is involved throughout the entire development process. To ensure consistent quality, we routinely perform product audits on non-core suppliers and staff full-time supplier quality engineers at core product manufacturing sites.</w:t>
      </w:r>
    </w:p>
    <w:p>
      <w:pPr>
        <w:spacing w:after="0" w:line="126" w:lineRule="exact"/>
        <w:rPr>
          <w:sz w:val="20"/>
          <w:szCs w:val="20"/>
          <w:color w:val="auto"/>
        </w:rPr>
      </w:pPr>
    </w:p>
    <w:p>
      <w:pPr>
        <w:ind w:left="2060"/>
        <w:spacing w:after="0"/>
        <w:rPr>
          <w:sz w:val="20"/>
          <w:szCs w:val="20"/>
          <w:color w:val="auto"/>
        </w:rPr>
      </w:pPr>
      <w:r>
        <w:rPr>
          <w:rFonts w:ascii="Arial" w:cs="Arial" w:eastAsia="Arial" w:hAnsi="Arial"/>
          <w:sz w:val="11"/>
          <w:szCs w:val="11"/>
          <w:b w:val="1"/>
          <w:bCs w:val="1"/>
          <w:i w:val="1"/>
          <w:iCs w:val="1"/>
          <w:color w:val="auto"/>
        </w:rPr>
        <w:t>Logistics and Fulfillment</w:t>
      </w:r>
    </w:p>
    <w:p>
      <w:pPr>
        <w:spacing w:after="0" w:line="12" w:lineRule="exact"/>
        <w:rPr>
          <w:sz w:val="20"/>
          <w:szCs w:val="20"/>
          <w:color w:val="auto"/>
        </w:rPr>
      </w:pPr>
    </w:p>
    <w:p>
      <w:pPr>
        <w:jc w:val="both"/>
        <w:ind w:left="2060" w:right="839"/>
        <w:spacing w:after="0"/>
        <w:rPr>
          <w:sz w:val="20"/>
          <w:szCs w:val="20"/>
          <w:color w:val="auto"/>
        </w:rPr>
      </w:pPr>
      <w:r>
        <w:rPr>
          <w:rFonts w:ascii="Arial" w:cs="Arial" w:eastAsia="Arial" w:hAnsi="Arial"/>
          <w:sz w:val="11"/>
          <w:szCs w:val="11"/>
          <w:color w:val="050505"/>
        </w:rPr>
        <w:t>To control every touchpoint of our product and service offering, we have built networks of last mile field operations centers, which have further expanded from the United States into Canada and the United Kingdom. With 24 locations in major markets of North America and two locations in the United Kingdom as of June 30, 2019, our field operations team supports in-home delivery of our Connected Fitness Products with professional high-touch set up service and ongoing in- home service and care. As highly trained experts on our products and services, our field specialists offer product education, assistance with account set up, and tips and recommendations for product care and content selection. As we grow our logistics network, we are able to efficiently service, deploy, and install replacement parts to our Members over time.</w:t>
      </w:r>
    </w:p>
    <w:p>
      <w:pPr>
        <w:spacing w:after="0" w:line="142" w:lineRule="exact"/>
        <w:rPr>
          <w:sz w:val="20"/>
          <w:szCs w:val="20"/>
          <w:color w:val="auto"/>
        </w:rPr>
      </w:pPr>
    </w:p>
    <w:p>
      <w:pPr>
        <w:jc w:val="both"/>
        <w:ind w:left="2060" w:right="839"/>
        <w:spacing w:after="0"/>
        <w:rPr>
          <w:sz w:val="20"/>
          <w:szCs w:val="20"/>
          <w:color w:val="auto"/>
        </w:rPr>
      </w:pPr>
      <w:r>
        <w:rPr>
          <w:rFonts w:ascii="Arial" w:cs="Arial" w:eastAsia="Arial" w:hAnsi="Arial"/>
          <w:sz w:val="11"/>
          <w:szCs w:val="11"/>
          <w:color w:val="050505"/>
        </w:rPr>
        <w:t>With our commitment to our Members-first approach, we will continue to invest to strengthen our field operations’ coverage in locations we identify as cost-effective delivery markets throughout North America and in new international regions. To further scale our distribution system and maintain flexibility, we also work with third-party fulfillment partners that deliver our products from multiple locations in the United States, Canada, and the United Kingdom. Third-party fulfillment partnerships allow us to reduce order fulfillment time, reduce shipping costs, and expand our geographical reach. Our field operations performed 58% of Connected Fitness Product deliveries during fiscal 2019.</w:t>
      </w:r>
    </w:p>
    <w:p>
      <w:pPr>
        <w:spacing w:after="0" w:line="130" w:lineRule="exact"/>
        <w:rPr>
          <w:sz w:val="20"/>
          <w:szCs w:val="20"/>
          <w:color w:val="auto"/>
        </w:rPr>
      </w:pPr>
    </w:p>
    <w:p>
      <w:pPr>
        <w:ind w:left="2060"/>
        <w:spacing w:after="0"/>
        <w:rPr>
          <w:sz w:val="20"/>
          <w:szCs w:val="20"/>
          <w:color w:val="auto"/>
        </w:rPr>
      </w:pPr>
      <w:r>
        <w:rPr>
          <w:rFonts w:ascii="Arial" w:cs="Arial" w:eastAsia="Arial" w:hAnsi="Arial"/>
          <w:sz w:val="11"/>
          <w:szCs w:val="11"/>
          <w:b w:val="1"/>
          <w:bCs w:val="1"/>
          <w:u w:val="single" w:color="auto"/>
          <w:color w:val="auto"/>
        </w:rPr>
        <w:t>Intellectual Property</w:t>
      </w:r>
    </w:p>
    <w:p>
      <w:pPr>
        <w:spacing w:after="0" w:line="12" w:lineRule="exact"/>
        <w:rPr>
          <w:sz w:val="20"/>
          <w:szCs w:val="20"/>
          <w:color w:val="auto"/>
        </w:rPr>
      </w:pPr>
    </w:p>
    <w:p>
      <w:pPr>
        <w:jc w:val="both"/>
        <w:ind w:left="2060" w:right="839"/>
        <w:spacing w:after="0" w:line="241" w:lineRule="auto"/>
        <w:rPr>
          <w:sz w:val="20"/>
          <w:szCs w:val="20"/>
          <w:color w:val="auto"/>
        </w:rPr>
      </w:pPr>
      <w:r>
        <w:rPr>
          <w:rFonts w:ascii="Arial" w:cs="Arial" w:eastAsia="Arial" w:hAnsi="Arial"/>
          <w:sz w:val="11"/>
          <w:szCs w:val="11"/>
          <w:color w:val="050505"/>
        </w:rPr>
        <w:t>The protection of our technology and intellectual property is an important aspect of our business. We rely upon a combination of patents, trademarks, trade secrets, copyrights, confidentiality procedures, contractual commitments, and other legal rights to establish and protect our intellectual property. We generally enter into confidentiality agreements and invention or work product assignment agreements with our employees and consultants to control access to, and clarify ownership of, our proprietary information.</w:t>
      </w:r>
    </w:p>
    <w:p>
      <w:pPr>
        <w:spacing w:after="0" w:line="140" w:lineRule="exact"/>
        <w:rPr>
          <w:sz w:val="20"/>
          <w:szCs w:val="20"/>
          <w:color w:val="auto"/>
        </w:rPr>
      </w:pPr>
    </w:p>
    <w:p>
      <w:pPr>
        <w:jc w:val="both"/>
        <w:ind w:left="2060" w:right="839"/>
        <w:spacing w:after="0" w:line="245" w:lineRule="auto"/>
        <w:rPr>
          <w:sz w:val="20"/>
          <w:szCs w:val="20"/>
          <w:color w:val="auto"/>
        </w:rPr>
      </w:pPr>
      <w:r>
        <w:rPr>
          <w:rFonts w:ascii="Arial" w:cs="Arial" w:eastAsia="Arial" w:hAnsi="Arial"/>
          <w:sz w:val="11"/>
          <w:szCs w:val="11"/>
          <w:color w:val="050505"/>
        </w:rPr>
        <w:t>As of June 30, 2019, we held six issued U.S. patents and had 22 U.S. patent applications pending. We also held 13 patent applications pending in foreign jurisdictions. Our U.S. issued patents expire between May 20, 2025 and July 16, 2034. As of</w:t>
      </w:r>
    </w:p>
    <w:p>
      <w:pPr>
        <w:spacing w:after="0" w:line="93" w:lineRule="exact"/>
        <w:rPr>
          <w:sz w:val="20"/>
          <w:szCs w:val="20"/>
          <w:color w:val="auto"/>
        </w:rPr>
      </w:pPr>
    </w:p>
    <w:p>
      <w:pPr>
        <w:ind w:left="5640"/>
        <w:spacing w:after="0"/>
        <w:rPr>
          <w:sz w:val="20"/>
          <w:szCs w:val="20"/>
          <w:color w:val="auto"/>
        </w:rPr>
      </w:pPr>
      <w:r>
        <w:rPr>
          <w:rFonts w:ascii="Arial" w:cs="Arial" w:eastAsia="Arial" w:hAnsi="Arial"/>
          <w:sz w:val="11"/>
          <w:szCs w:val="11"/>
          <w:color w:val="050505"/>
        </w:rPr>
        <w:t>108</w:t>
      </w:r>
    </w:p>
    <w:p>
      <w:pPr>
        <w:sectPr>
          <w:pgSz w:w="11900" w:h="16838" w:orient="portrait"/>
          <w:cols w:equalWidth="0" w:num="1">
            <w:col w:w="10239"/>
          </w:cols>
          <w:pgMar w:left="220" w:top="354" w:right="1440" w:bottom="1440" w:gutter="0" w:footer="0" w:header="0"/>
        </w:sectPr>
      </w:pPr>
    </w:p>
    <w:bookmarkStart w:id="118" w:name="page119"/>
    <w:bookmarkEnd w:id="118"/>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hyperlink w:anchor="page5">
        <w:r>
          <w:rPr>
            <w:rFonts w:ascii="Arial" w:cs="Arial" w:eastAsia="Arial" w:hAnsi="Arial"/>
            <w:sz w:val="12"/>
            <w:szCs w:val="12"/>
            <w:b w:val="1"/>
            <w:bCs w:val="1"/>
            <w:u w:val="single" w:color="auto"/>
            <w:color w:val="0000EE"/>
          </w:rPr>
          <w:t>Table of Contents</w:t>
        </w:r>
      </w:hyperlink>
    </w:p>
    <w:p>
      <w:pPr>
        <w:spacing w:after="0" w:line="216" w:lineRule="exact"/>
        <w:rPr>
          <w:sz w:val="20"/>
          <w:szCs w:val="20"/>
          <w:color w:val="auto"/>
        </w:rPr>
      </w:pPr>
    </w:p>
    <w:p>
      <w:pPr>
        <w:jc w:val="both"/>
        <w:ind w:left="2060" w:right="839"/>
        <w:spacing w:after="0" w:line="242" w:lineRule="auto"/>
        <w:rPr>
          <w:sz w:val="20"/>
          <w:szCs w:val="20"/>
          <w:color w:val="auto"/>
        </w:rPr>
      </w:pPr>
      <w:r>
        <w:rPr>
          <w:rFonts w:ascii="Arial" w:cs="Arial" w:eastAsia="Arial" w:hAnsi="Arial"/>
          <w:sz w:val="11"/>
          <w:szCs w:val="11"/>
          <w:color w:val="050505"/>
        </w:rPr>
        <w:t>June 30, 2019, we held 10 registered trademarks in the United States, including the Peloton mark and our “P” logo and also held 63 registered trademarks in foreign jurisdictions. We continually review our development efforts to assess the existence and patentability of new intellectual property. We intend to continue to file additional patent applications with respect to our technology.</w:t>
      </w:r>
    </w:p>
    <w:p>
      <w:pPr>
        <w:spacing w:after="0" w:line="140" w:lineRule="exact"/>
        <w:rPr>
          <w:sz w:val="20"/>
          <w:szCs w:val="20"/>
          <w:color w:val="auto"/>
        </w:rPr>
      </w:pPr>
    </w:p>
    <w:p>
      <w:pPr>
        <w:jc w:val="both"/>
        <w:ind w:left="2060" w:right="839"/>
        <w:spacing w:after="0" w:line="242" w:lineRule="auto"/>
        <w:rPr>
          <w:sz w:val="20"/>
          <w:szCs w:val="20"/>
          <w:color w:val="auto"/>
        </w:rPr>
      </w:pPr>
      <w:r>
        <w:rPr>
          <w:rFonts w:ascii="Arial" w:cs="Arial" w:eastAsia="Arial" w:hAnsi="Arial"/>
          <w:sz w:val="11"/>
          <w:szCs w:val="11"/>
          <w:color w:val="050505"/>
        </w:rPr>
        <w:t>Intellectual property laws, procedures, and restrictions provide only limited protection and any of our intellectual property rights may be challenged, invalidated, circumvented, infringed, or misappropriated. Further, the laws of certain countries do not protect proprietary rights to the same extent as the laws of the United States, and, therefore, in certain jurisdictions, we may be unable to protect our proprietary technology.</w:t>
      </w:r>
    </w:p>
    <w:p>
      <w:pPr>
        <w:spacing w:after="0" w:line="128" w:lineRule="exact"/>
        <w:rPr>
          <w:sz w:val="20"/>
          <w:szCs w:val="20"/>
          <w:color w:val="auto"/>
        </w:rPr>
      </w:pPr>
    </w:p>
    <w:p>
      <w:pPr>
        <w:ind w:left="2060"/>
        <w:spacing w:after="0"/>
        <w:rPr>
          <w:sz w:val="20"/>
          <w:szCs w:val="20"/>
          <w:color w:val="auto"/>
        </w:rPr>
      </w:pPr>
      <w:r>
        <w:rPr>
          <w:rFonts w:ascii="Arial" w:cs="Arial" w:eastAsia="Arial" w:hAnsi="Arial"/>
          <w:sz w:val="11"/>
          <w:szCs w:val="11"/>
          <w:b w:val="1"/>
          <w:bCs w:val="1"/>
          <w:u w:val="single" w:color="auto"/>
          <w:color w:val="auto"/>
        </w:rPr>
        <w:t>Government Regulation</w:t>
      </w:r>
    </w:p>
    <w:p>
      <w:pPr>
        <w:spacing w:after="0" w:line="12" w:lineRule="exact"/>
        <w:rPr>
          <w:sz w:val="20"/>
          <w:szCs w:val="20"/>
          <w:color w:val="auto"/>
        </w:rPr>
      </w:pPr>
    </w:p>
    <w:p>
      <w:pPr>
        <w:jc w:val="both"/>
        <w:ind w:left="2060" w:right="839"/>
        <w:spacing w:after="0"/>
        <w:rPr>
          <w:sz w:val="20"/>
          <w:szCs w:val="20"/>
          <w:color w:val="auto"/>
        </w:rPr>
      </w:pPr>
      <w:r>
        <w:rPr>
          <w:rFonts w:ascii="Arial" w:cs="Arial" w:eastAsia="Arial" w:hAnsi="Arial"/>
          <w:sz w:val="11"/>
          <w:szCs w:val="11"/>
          <w:color w:val="050505"/>
        </w:rPr>
        <w:t>We are subject to many varying laws and regulations in the United States, the United Kingdom, the European Union and throughout the world, including those related to privacy, data protection, content regulation, intellectual property, consumer protection, e-commerce, marketing, advertising, messaging, rights of publicity, health and safety, employment and labor, product liability, accessibility, competition, and taxation. These laws often require companies to implement specific information security controls to protect certain types of information, such as personal data, “special categories of personal data” or health data. These laws and regulations are constantly evolving and may be interpreted, applied, created, or amended in a manner that could harm our current or future business and operations. In addition, it is possible that certain governments may seek to block or limit our products and services or otherwise impose other restrictions that may affect the accessibility or usability of any or all of our products and services for an extended period of time or indefinitely.</w:t>
      </w:r>
    </w:p>
    <w:p>
      <w:pPr>
        <w:spacing w:after="0" w:line="141" w:lineRule="exact"/>
        <w:rPr>
          <w:sz w:val="20"/>
          <w:szCs w:val="20"/>
          <w:color w:val="auto"/>
        </w:rPr>
      </w:pPr>
    </w:p>
    <w:p>
      <w:pPr>
        <w:jc w:val="both"/>
        <w:ind w:left="2060" w:right="839"/>
        <w:spacing w:after="0" w:line="239" w:lineRule="auto"/>
        <w:rPr>
          <w:sz w:val="20"/>
          <w:szCs w:val="20"/>
          <w:color w:val="auto"/>
        </w:rPr>
      </w:pPr>
      <w:r>
        <w:rPr>
          <w:rFonts w:ascii="Arial" w:cs="Arial" w:eastAsia="Arial" w:hAnsi="Arial"/>
          <w:sz w:val="11"/>
          <w:szCs w:val="11"/>
          <w:color w:val="050505"/>
        </w:rPr>
        <w:t>In the European Union, the General Data Protection Regulation, or the GDPR, became effective on May 25, 2018. The GDPR is intended to create a single legal framework that applies across all EU member states. However, there are certain areas where EU member states can deviate from the requirements in their own legislation. It is therefore likely that we will need to comply with these local regulations in addition to the GDPR. Local supervisory authorities are able to impose fines for non-compliance and have the power to carry out audits, require companies to cease or change processing, request information, and obtain access to premises. The GDPR created more stringent operational requirements for processors and controllers of personal data, including, for example, requiring enhanced disclosures to data subjects about how personal data is processed (including information about the profiling of individuals and automated individual decision-making), limiting retention periods of personal data, requiring mandatory data breach notification, and requiring additional policies and procedures to comply with the accountability principle under the GDPR. In addition, data subjects have more robust rights with regard to their personal data. Similarly, other jurisdictions are instituting privacy and data security laws, rules, and regulations, which could increase our risk and compliance costs.</w:t>
      </w:r>
    </w:p>
    <w:p>
      <w:pPr>
        <w:spacing w:after="0" w:line="146" w:lineRule="exact"/>
        <w:rPr>
          <w:sz w:val="20"/>
          <w:szCs w:val="20"/>
          <w:color w:val="auto"/>
        </w:rPr>
      </w:pPr>
    </w:p>
    <w:p>
      <w:pPr>
        <w:jc w:val="both"/>
        <w:ind w:left="2060" w:right="839"/>
        <w:spacing w:after="0"/>
        <w:rPr>
          <w:sz w:val="20"/>
          <w:szCs w:val="20"/>
          <w:color w:val="auto"/>
        </w:rPr>
      </w:pPr>
      <w:r>
        <w:rPr>
          <w:rFonts w:ascii="Arial" w:cs="Arial" w:eastAsia="Arial" w:hAnsi="Arial"/>
          <w:sz w:val="11"/>
          <w:szCs w:val="11"/>
          <w:color w:val="050505"/>
        </w:rPr>
        <w:t>Additionally, we are subject to laws, rules, and regulations regarding cross-border transfers of personal data, including laws relating to the transfer of personal data outside the European Economic Area, or EEA, and the United Kingdom (after Brexit). We rely on transfer mechanisms permitted under these laws, including the standard contract clauses, which have been subject to regulatory and judicial scrutiny. If these existing mechanisms for transferring personal data from the EEA, the United Kingdom, or other jurisdictions are unavailable, we may be unable to transfer personal data of employees or Members in those regions to the United States.</w:t>
      </w:r>
    </w:p>
    <w:p>
      <w:pPr>
        <w:spacing w:after="0" w:line="130" w:lineRule="exact"/>
        <w:rPr>
          <w:sz w:val="20"/>
          <w:szCs w:val="20"/>
          <w:color w:val="auto"/>
        </w:rPr>
      </w:pPr>
    </w:p>
    <w:p>
      <w:pPr>
        <w:ind w:left="2060"/>
        <w:spacing w:after="0"/>
        <w:rPr>
          <w:sz w:val="20"/>
          <w:szCs w:val="20"/>
          <w:color w:val="auto"/>
        </w:rPr>
      </w:pPr>
      <w:r>
        <w:rPr>
          <w:rFonts w:ascii="Arial" w:cs="Arial" w:eastAsia="Arial" w:hAnsi="Arial"/>
          <w:sz w:val="11"/>
          <w:szCs w:val="11"/>
          <w:b w:val="1"/>
          <w:bCs w:val="1"/>
          <w:u w:val="single" w:color="auto"/>
          <w:color w:val="auto"/>
        </w:rPr>
        <w:t>Competition</w:t>
      </w:r>
    </w:p>
    <w:p>
      <w:pPr>
        <w:spacing w:after="0" w:line="12" w:lineRule="exact"/>
        <w:rPr>
          <w:sz w:val="20"/>
          <w:szCs w:val="20"/>
          <w:color w:val="auto"/>
        </w:rPr>
      </w:pPr>
    </w:p>
    <w:p>
      <w:pPr>
        <w:jc w:val="both"/>
        <w:ind w:left="2060" w:right="839"/>
        <w:spacing w:after="0" w:line="278" w:lineRule="auto"/>
        <w:rPr>
          <w:sz w:val="20"/>
          <w:szCs w:val="20"/>
          <w:color w:val="auto"/>
        </w:rPr>
      </w:pPr>
      <w:r>
        <w:rPr>
          <w:rFonts w:ascii="Arial" w:cs="Arial" w:eastAsia="Arial" w:hAnsi="Arial"/>
          <w:sz w:val="10"/>
          <w:szCs w:val="10"/>
          <w:color w:val="050505"/>
        </w:rPr>
        <w:t>We believe that our first-mover advantage, leading market position, brand recognition, and vertically integrated platform set us apart in the rapidly growing market for connected, technology-enabled fitness. We provide a superior value proposition and benefit from the clear endorsement of our Connected Fitness Subscribers, giving us a competitive advantage versus traditional fitness and wellness products and services, and future potential entrants.</w:t>
      </w:r>
    </w:p>
    <w:p>
      <w:pPr>
        <w:spacing w:after="0" w:line="123" w:lineRule="exact"/>
        <w:rPr>
          <w:sz w:val="20"/>
          <w:szCs w:val="20"/>
          <w:color w:val="auto"/>
        </w:rPr>
      </w:pPr>
    </w:p>
    <w:p>
      <w:pPr>
        <w:jc w:val="both"/>
        <w:ind w:left="2060" w:right="839"/>
        <w:spacing w:after="0" w:line="245" w:lineRule="auto"/>
        <w:rPr>
          <w:sz w:val="20"/>
          <w:szCs w:val="20"/>
          <w:color w:val="auto"/>
        </w:rPr>
      </w:pPr>
      <w:r>
        <w:rPr>
          <w:rFonts w:ascii="Arial" w:cs="Arial" w:eastAsia="Arial" w:hAnsi="Arial"/>
          <w:sz w:val="11"/>
          <w:szCs w:val="11"/>
          <w:color w:val="050505"/>
        </w:rPr>
        <w:t>While we believe we are changing the consumption patterns for fitness and growing the market, the main sources of competition include in-studio fitness classes, fitness clubs, at-home fitness equipment and content, and health and wellness apps.</w:t>
      </w:r>
    </w:p>
    <w:p>
      <w:pPr>
        <w:spacing w:after="0" w:line="138" w:lineRule="exact"/>
        <w:rPr>
          <w:sz w:val="20"/>
          <w:szCs w:val="20"/>
          <w:color w:val="auto"/>
        </w:rPr>
      </w:pPr>
    </w:p>
    <w:p>
      <w:pPr>
        <w:ind w:left="2060"/>
        <w:spacing w:after="0"/>
        <w:rPr>
          <w:sz w:val="20"/>
          <w:szCs w:val="20"/>
          <w:color w:val="auto"/>
        </w:rPr>
      </w:pPr>
      <w:r>
        <w:rPr>
          <w:rFonts w:ascii="Arial" w:cs="Arial" w:eastAsia="Arial" w:hAnsi="Arial"/>
          <w:sz w:val="11"/>
          <w:szCs w:val="11"/>
          <w:color w:val="050505"/>
        </w:rPr>
        <w:t>The areas in which we compete include:</w:t>
      </w:r>
    </w:p>
    <w:p>
      <w:pPr>
        <w:spacing w:after="0" w:line="150" w:lineRule="exact"/>
        <w:rPr>
          <w:sz w:val="20"/>
          <w:szCs w:val="20"/>
          <w:color w:val="auto"/>
        </w:rPr>
      </w:pPr>
    </w:p>
    <w:p>
      <w:pPr>
        <w:ind w:left="2420" w:right="839" w:hanging="217"/>
        <w:spacing w:after="0" w:line="268" w:lineRule="auto"/>
        <w:tabs>
          <w:tab w:leader="none" w:pos="2420" w:val="left"/>
        </w:tabs>
        <w:numPr>
          <w:ilvl w:val="0"/>
          <w:numId w:val="65"/>
        </w:numPr>
        <w:rPr>
          <w:rFonts w:ascii="Arial" w:cs="Arial" w:eastAsia="Arial" w:hAnsi="Arial"/>
          <w:sz w:val="11"/>
          <w:szCs w:val="11"/>
          <w:color w:val="F7323F"/>
        </w:rPr>
      </w:pPr>
      <w:r>
        <w:rPr>
          <w:rFonts w:ascii="Arial" w:cs="Arial" w:eastAsia="Arial" w:hAnsi="Arial"/>
          <w:sz w:val="11"/>
          <w:szCs w:val="11"/>
          <w:b w:val="1"/>
          <w:bCs w:val="1"/>
          <w:i w:val="1"/>
          <w:iCs w:val="1"/>
          <w:color w:val="050505"/>
        </w:rPr>
        <w:t xml:space="preserve">Consumers and Engagement. </w:t>
      </w:r>
      <w:r>
        <w:rPr>
          <w:rFonts w:ascii="Arial" w:cs="Arial" w:eastAsia="Arial" w:hAnsi="Arial"/>
          <w:sz w:val="11"/>
          <w:szCs w:val="11"/>
          <w:color w:val="050505"/>
        </w:rPr>
        <w:t>We compete for consumers to join our platform through Connected Fitness or Digital Subscriptions, and we seek</w:t>
      </w:r>
      <w:r>
        <w:rPr>
          <w:rFonts w:ascii="Arial" w:cs="Arial" w:eastAsia="Arial" w:hAnsi="Arial"/>
          <w:sz w:val="11"/>
          <w:szCs w:val="11"/>
          <w:b w:val="1"/>
          <w:bCs w:val="1"/>
          <w:i w:val="1"/>
          <w:iCs w:val="1"/>
          <w:color w:val="050505"/>
        </w:rPr>
        <w:t xml:space="preserve"> </w:t>
      </w:r>
      <w:r>
        <w:rPr>
          <w:rFonts w:ascii="Arial" w:cs="Arial" w:eastAsia="Arial" w:hAnsi="Arial"/>
          <w:sz w:val="11"/>
          <w:szCs w:val="11"/>
          <w:color w:val="050505"/>
        </w:rPr>
        <w:t>to retain them through engagement and community.</w:t>
      </w:r>
    </w:p>
    <w:p>
      <w:pPr>
        <w:spacing w:after="0" w:line="81" w:lineRule="exact"/>
        <w:rPr>
          <w:sz w:val="20"/>
          <w:szCs w:val="20"/>
          <w:color w:val="auto"/>
        </w:rPr>
      </w:pPr>
    </w:p>
    <w:p>
      <w:pPr>
        <w:ind w:left="5640"/>
        <w:spacing w:after="0"/>
        <w:rPr>
          <w:sz w:val="20"/>
          <w:szCs w:val="20"/>
          <w:color w:val="auto"/>
        </w:rPr>
      </w:pPr>
      <w:r>
        <w:rPr>
          <w:rFonts w:ascii="Arial" w:cs="Arial" w:eastAsia="Arial" w:hAnsi="Arial"/>
          <w:sz w:val="11"/>
          <w:szCs w:val="11"/>
          <w:color w:val="050505"/>
        </w:rPr>
        <w:t>109</w:t>
      </w:r>
    </w:p>
    <w:p>
      <w:pPr>
        <w:sectPr>
          <w:pgSz w:w="11900" w:h="16838" w:orient="portrait"/>
          <w:cols w:equalWidth="0" w:num="1">
            <w:col w:w="10239"/>
          </w:cols>
          <w:pgMar w:left="220" w:top="354" w:right="1440" w:bottom="1440" w:gutter="0" w:footer="0" w:header="0"/>
        </w:sectPr>
      </w:pPr>
    </w:p>
    <w:bookmarkStart w:id="119" w:name="page120"/>
    <w:bookmarkEnd w:id="119"/>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hyperlink w:anchor="page5">
        <w:r>
          <w:rPr>
            <w:rFonts w:ascii="Arial" w:cs="Arial" w:eastAsia="Arial" w:hAnsi="Arial"/>
            <w:sz w:val="12"/>
            <w:szCs w:val="12"/>
            <w:b w:val="1"/>
            <w:bCs w:val="1"/>
            <w:u w:val="single" w:color="auto"/>
            <w:color w:val="0000EE"/>
          </w:rPr>
          <w:t>Table of Contents</w:t>
        </w:r>
      </w:hyperlink>
    </w:p>
    <w:p>
      <w:pPr>
        <w:spacing w:after="0" w:line="204" w:lineRule="exact"/>
        <w:rPr>
          <w:sz w:val="20"/>
          <w:szCs w:val="20"/>
          <w:color w:val="auto"/>
        </w:rPr>
      </w:pPr>
    </w:p>
    <w:p>
      <w:pPr>
        <w:ind w:left="2420" w:right="839" w:hanging="217"/>
        <w:spacing w:after="0" w:line="268" w:lineRule="auto"/>
        <w:tabs>
          <w:tab w:leader="none" w:pos="2420" w:val="left"/>
        </w:tabs>
        <w:numPr>
          <w:ilvl w:val="0"/>
          <w:numId w:val="66"/>
        </w:numPr>
        <w:rPr>
          <w:rFonts w:ascii="Arial" w:cs="Arial" w:eastAsia="Arial" w:hAnsi="Arial"/>
          <w:sz w:val="11"/>
          <w:szCs w:val="11"/>
          <w:color w:val="F7323F"/>
        </w:rPr>
      </w:pPr>
      <w:r>
        <w:rPr>
          <w:rFonts w:ascii="Arial" w:cs="Arial" w:eastAsia="Arial" w:hAnsi="Arial"/>
          <w:sz w:val="11"/>
          <w:szCs w:val="11"/>
          <w:b w:val="1"/>
          <w:bCs w:val="1"/>
          <w:i w:val="1"/>
          <w:iCs w:val="1"/>
          <w:color w:val="050505"/>
        </w:rPr>
        <w:t xml:space="preserve">Product Offering. </w:t>
      </w:r>
      <w:r>
        <w:rPr>
          <w:rFonts w:ascii="Arial" w:cs="Arial" w:eastAsia="Arial" w:hAnsi="Arial"/>
          <w:sz w:val="11"/>
          <w:szCs w:val="11"/>
          <w:color w:val="050505"/>
        </w:rPr>
        <w:t>We compete with producers of fitness products and work to ensure that our Connected Fitness Products maintain the most</w:t>
      </w:r>
      <w:r>
        <w:rPr>
          <w:rFonts w:ascii="Arial" w:cs="Arial" w:eastAsia="Arial" w:hAnsi="Arial"/>
          <w:sz w:val="11"/>
          <w:szCs w:val="11"/>
          <w:b w:val="1"/>
          <w:bCs w:val="1"/>
          <w:i w:val="1"/>
          <w:iCs w:val="1"/>
          <w:color w:val="050505"/>
        </w:rPr>
        <w:t xml:space="preserve"> </w:t>
      </w:r>
      <w:r>
        <w:rPr>
          <w:rFonts w:ascii="Arial" w:cs="Arial" w:eastAsia="Arial" w:hAnsi="Arial"/>
          <w:sz w:val="11"/>
          <w:szCs w:val="11"/>
          <w:color w:val="050505"/>
        </w:rPr>
        <w:t>innovative technology and user-friendly features.</w:t>
      </w:r>
    </w:p>
    <w:p>
      <w:pPr>
        <w:spacing w:after="0" w:line="14" w:lineRule="exact"/>
        <w:rPr>
          <w:rFonts w:ascii="Arial" w:cs="Arial" w:eastAsia="Arial" w:hAnsi="Arial"/>
          <w:sz w:val="11"/>
          <w:szCs w:val="11"/>
          <w:color w:val="F7323F"/>
        </w:rPr>
      </w:pPr>
    </w:p>
    <w:p>
      <w:pPr>
        <w:jc w:val="both"/>
        <w:ind w:left="2420" w:right="839" w:hanging="217"/>
        <w:spacing w:after="0" w:line="253" w:lineRule="auto"/>
        <w:tabs>
          <w:tab w:leader="none" w:pos="2420" w:val="left"/>
        </w:tabs>
        <w:numPr>
          <w:ilvl w:val="0"/>
          <w:numId w:val="66"/>
        </w:numPr>
        <w:rPr>
          <w:rFonts w:ascii="Arial" w:cs="Arial" w:eastAsia="Arial" w:hAnsi="Arial"/>
          <w:sz w:val="11"/>
          <w:szCs w:val="11"/>
          <w:color w:val="F7323F"/>
        </w:rPr>
      </w:pPr>
      <w:r>
        <w:rPr>
          <w:rFonts w:ascii="Arial" w:cs="Arial" w:eastAsia="Arial" w:hAnsi="Arial"/>
          <w:sz w:val="11"/>
          <w:szCs w:val="11"/>
          <w:b w:val="1"/>
          <w:bCs w:val="1"/>
          <w:i w:val="1"/>
          <w:iCs w:val="1"/>
          <w:color w:val="050505"/>
        </w:rPr>
        <w:t xml:space="preserve">Talent. </w:t>
      </w:r>
      <w:r>
        <w:rPr>
          <w:rFonts w:ascii="Arial" w:cs="Arial" w:eastAsia="Arial" w:hAnsi="Arial"/>
          <w:sz w:val="11"/>
          <w:szCs w:val="11"/>
          <w:color w:val="050505"/>
        </w:rPr>
        <w:t>We compete for talent in every vertical across our company including technology, media, fitness, design, logistics, music, marketing,</w:t>
      </w:r>
      <w:r>
        <w:rPr>
          <w:rFonts w:ascii="Arial" w:cs="Arial" w:eastAsia="Arial" w:hAnsi="Arial"/>
          <w:sz w:val="11"/>
          <w:szCs w:val="11"/>
          <w:b w:val="1"/>
          <w:bCs w:val="1"/>
          <w:i w:val="1"/>
          <w:iCs w:val="1"/>
          <w:color w:val="050505"/>
        </w:rPr>
        <w:t xml:space="preserve"> </w:t>
      </w:r>
      <w:r>
        <w:rPr>
          <w:rFonts w:ascii="Arial" w:cs="Arial" w:eastAsia="Arial" w:hAnsi="Arial"/>
          <w:sz w:val="11"/>
          <w:szCs w:val="11"/>
          <w:color w:val="050505"/>
        </w:rPr>
        <w:t>finance, legal, and retail. As our platform is highly dependent on technology and software, we require a significant base of engineers to continue innovating.</w:t>
      </w:r>
    </w:p>
    <w:p>
      <w:pPr>
        <w:spacing w:after="0" w:line="134" w:lineRule="exact"/>
        <w:rPr>
          <w:sz w:val="20"/>
          <w:szCs w:val="20"/>
          <w:color w:val="auto"/>
        </w:rPr>
      </w:pPr>
    </w:p>
    <w:p>
      <w:pPr>
        <w:jc w:val="both"/>
        <w:ind w:left="2060" w:right="839"/>
        <w:spacing w:after="0" w:line="241" w:lineRule="auto"/>
        <w:rPr>
          <w:sz w:val="20"/>
          <w:szCs w:val="20"/>
          <w:color w:val="auto"/>
        </w:rPr>
      </w:pPr>
      <w:r>
        <w:rPr>
          <w:rFonts w:ascii="Arial" w:cs="Arial" w:eastAsia="Arial" w:hAnsi="Arial"/>
          <w:sz w:val="11"/>
          <w:szCs w:val="11"/>
          <w:color w:val="050505"/>
        </w:rPr>
        <w:t>The principal competitive factors that companies in our industry need to consider include, but are not limited to: total cost, manufacturing efficiency, enhanced products and services, original content, product quality and safety, competitive pricing policies, vision for the market and product innovation, strength of sales and marketing strategies, technological advances, and brand awareness and reputation. We believe we compete favorably across all of these factors and we have developed a business model that is difficult to replicate.</w:t>
      </w:r>
    </w:p>
    <w:p>
      <w:pPr>
        <w:spacing w:after="0" w:line="128" w:lineRule="exact"/>
        <w:rPr>
          <w:sz w:val="20"/>
          <w:szCs w:val="20"/>
          <w:color w:val="auto"/>
        </w:rPr>
      </w:pPr>
    </w:p>
    <w:p>
      <w:pPr>
        <w:ind w:left="2060"/>
        <w:spacing w:after="0"/>
        <w:rPr>
          <w:sz w:val="20"/>
          <w:szCs w:val="20"/>
          <w:color w:val="auto"/>
        </w:rPr>
      </w:pPr>
      <w:r>
        <w:rPr>
          <w:rFonts w:ascii="Arial" w:cs="Arial" w:eastAsia="Arial" w:hAnsi="Arial"/>
          <w:sz w:val="11"/>
          <w:szCs w:val="11"/>
          <w:b w:val="1"/>
          <w:bCs w:val="1"/>
          <w:u w:val="single" w:color="auto"/>
          <w:color w:val="auto"/>
        </w:rPr>
        <w:t>Culture and People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1310640</wp:posOffset>
            </wp:positionH>
            <wp:positionV relativeFrom="paragraph">
              <wp:posOffset>34925</wp:posOffset>
            </wp:positionV>
            <wp:extent cx="737870" cy="6286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37870" cy="62865"/>
                    </a:xfrm>
                    <a:prstGeom prst="rect">
                      <a:avLst/>
                    </a:prstGeom>
                    <a:noFill/>
                  </pic:spPr>
                </pic:pic>
              </a:graphicData>
            </a:graphic>
          </wp:anchor>
        </w:drawing>
      </w:r>
    </w:p>
    <w:p>
      <w:pPr>
        <w:spacing w:after="0" w:line="36" w:lineRule="exact"/>
        <w:rPr>
          <w:sz w:val="20"/>
          <w:szCs w:val="20"/>
          <w:color w:val="auto"/>
        </w:rPr>
      </w:pPr>
    </w:p>
    <w:p>
      <w:pPr>
        <w:ind w:left="3300"/>
        <w:spacing w:after="0"/>
        <w:rPr>
          <w:sz w:val="20"/>
          <w:szCs w:val="20"/>
          <w:color w:val="auto"/>
        </w:rPr>
      </w:pPr>
      <w:r>
        <w:rPr>
          <w:rFonts w:ascii="Arial" w:cs="Arial" w:eastAsia="Arial" w:hAnsi="Arial"/>
          <w:sz w:val="11"/>
          <w:szCs w:val="11"/>
          <w:color w:val="auto"/>
        </w:rPr>
        <w:t>The main group of riders in a race.</w:t>
      </w:r>
    </w:p>
    <w:p>
      <w:pPr>
        <w:ind w:left="2360"/>
        <w:spacing w:after="0"/>
        <w:rPr>
          <w:sz w:val="20"/>
          <w:szCs w:val="20"/>
          <w:color w:val="auto"/>
        </w:rPr>
      </w:pPr>
      <w:r>
        <w:rPr>
          <w:rFonts w:ascii="Arial" w:cs="Arial" w:eastAsia="Arial" w:hAnsi="Arial"/>
          <w:sz w:val="11"/>
          <w:szCs w:val="11"/>
          <w:color w:val="050505"/>
        </w:rPr>
        <w:t>Riders in a peloton work together, conserve energy and perform better because of one another.</w:t>
      </w:r>
    </w:p>
    <w:p>
      <w:pPr>
        <w:spacing w:after="0" w:line="132" w:lineRule="exact"/>
        <w:rPr>
          <w:sz w:val="20"/>
          <w:szCs w:val="20"/>
          <w:color w:val="auto"/>
        </w:rPr>
      </w:pPr>
    </w:p>
    <w:p>
      <w:pPr>
        <w:ind w:left="2060"/>
        <w:spacing w:after="0"/>
        <w:rPr>
          <w:sz w:val="20"/>
          <w:szCs w:val="20"/>
          <w:color w:val="auto"/>
        </w:rPr>
      </w:pPr>
      <w:r>
        <w:rPr>
          <w:rFonts w:ascii="Arial" w:cs="Arial" w:eastAsia="Arial" w:hAnsi="Arial"/>
          <w:sz w:val="11"/>
          <w:szCs w:val="11"/>
          <w:b w:val="1"/>
          <w:bCs w:val="1"/>
          <w:i w:val="1"/>
          <w:iCs w:val="1"/>
          <w:color w:val="auto"/>
        </w:rPr>
        <w:t>Mission and Values</w:t>
      </w:r>
    </w:p>
    <w:p>
      <w:pPr>
        <w:spacing w:after="0" w:line="12" w:lineRule="exact"/>
        <w:rPr>
          <w:sz w:val="20"/>
          <w:szCs w:val="20"/>
          <w:color w:val="auto"/>
        </w:rPr>
      </w:pPr>
    </w:p>
    <w:p>
      <w:pPr>
        <w:jc w:val="both"/>
        <w:ind w:left="2060" w:right="839"/>
        <w:spacing w:after="0" w:line="278" w:lineRule="auto"/>
        <w:rPr>
          <w:sz w:val="20"/>
          <w:szCs w:val="20"/>
          <w:color w:val="auto"/>
        </w:rPr>
      </w:pPr>
      <w:r>
        <w:rPr>
          <w:rFonts w:ascii="Arial" w:cs="Arial" w:eastAsia="Arial" w:hAnsi="Arial"/>
          <w:sz w:val="10"/>
          <w:szCs w:val="10"/>
          <w:color w:val="050505"/>
        </w:rPr>
        <w:t xml:space="preserve">Like our brand, product, and content offerings, our culture is dynamic, unique, and framed by our expansive vision and passion for community and collaboration. For our people, the purpose and function of our culture is clear, and operates as a shared language of values and as a way of </w:t>
      </w:r>
      <w:r>
        <w:rPr>
          <w:rFonts w:ascii="Arial" w:cs="Arial" w:eastAsia="Arial" w:hAnsi="Arial"/>
          <w:sz w:val="10"/>
          <w:szCs w:val="10"/>
          <w:i w:val="1"/>
          <w:iCs w:val="1"/>
          <w:color w:val="050505"/>
        </w:rPr>
        <w:t>getting things</w:t>
      </w:r>
      <w:r>
        <w:rPr>
          <w:rFonts w:ascii="Arial" w:cs="Arial" w:eastAsia="Arial" w:hAnsi="Arial"/>
          <w:sz w:val="10"/>
          <w:szCs w:val="10"/>
          <w:color w:val="050505"/>
        </w:rPr>
        <w:t xml:space="preserve"> </w:t>
      </w:r>
      <w:r>
        <w:rPr>
          <w:rFonts w:ascii="Arial" w:cs="Arial" w:eastAsia="Arial" w:hAnsi="Arial"/>
          <w:sz w:val="10"/>
          <w:szCs w:val="10"/>
          <w:i w:val="1"/>
          <w:iCs w:val="1"/>
          <w:color w:val="050505"/>
        </w:rPr>
        <w:t xml:space="preserve">done </w:t>
      </w:r>
      <w:r>
        <w:rPr>
          <w:rFonts w:ascii="Arial" w:cs="Arial" w:eastAsia="Arial" w:hAnsi="Arial"/>
          <w:sz w:val="10"/>
          <w:szCs w:val="10"/>
          <w:color w:val="050505"/>
        </w:rPr>
        <w:t>that permeates through the many areas in which we operate as a company. Our culture is shaped by our four primary values, described below:</w:t>
      </w:r>
    </w:p>
    <w:p>
      <w:pPr>
        <w:spacing w:after="0" w:line="131" w:lineRule="exact"/>
        <w:rPr>
          <w:sz w:val="20"/>
          <w:szCs w:val="20"/>
          <w:color w:val="auto"/>
        </w:rPr>
      </w:pPr>
    </w:p>
    <w:p>
      <w:pPr>
        <w:ind w:left="2420" w:right="839" w:hanging="217"/>
        <w:spacing w:after="0" w:line="264" w:lineRule="auto"/>
        <w:tabs>
          <w:tab w:leader="none" w:pos="2420" w:val="left"/>
        </w:tabs>
        <w:numPr>
          <w:ilvl w:val="0"/>
          <w:numId w:val="67"/>
        </w:numPr>
        <w:rPr>
          <w:rFonts w:ascii="Arial" w:cs="Arial" w:eastAsia="Arial" w:hAnsi="Arial"/>
          <w:sz w:val="11"/>
          <w:szCs w:val="11"/>
          <w:color w:val="F7323F"/>
        </w:rPr>
      </w:pPr>
      <w:r>
        <w:rPr>
          <w:rFonts w:ascii="Arial" w:cs="Arial" w:eastAsia="Arial" w:hAnsi="Arial"/>
          <w:sz w:val="11"/>
          <w:szCs w:val="11"/>
          <w:i w:val="1"/>
          <w:iCs w:val="1"/>
          <w:color w:val="050505"/>
        </w:rPr>
        <w:t xml:space="preserve">Put Members First: </w:t>
      </w:r>
      <w:r>
        <w:rPr>
          <w:rFonts w:ascii="Arial" w:cs="Arial" w:eastAsia="Arial" w:hAnsi="Arial"/>
          <w:sz w:val="11"/>
          <w:szCs w:val="11"/>
          <w:color w:val="050505"/>
        </w:rPr>
        <w:t>We obsess over every touchpoint of our Member experience. We have a Member-centered mindset that prioritizes a positive</w:t>
      </w:r>
      <w:r>
        <w:rPr>
          <w:rFonts w:ascii="Arial" w:cs="Arial" w:eastAsia="Arial" w:hAnsi="Arial"/>
          <w:sz w:val="11"/>
          <w:szCs w:val="11"/>
          <w:i w:val="1"/>
          <w:iCs w:val="1"/>
          <w:color w:val="050505"/>
        </w:rPr>
        <w:t xml:space="preserve"> </w:t>
      </w:r>
      <w:r>
        <w:rPr>
          <w:rFonts w:ascii="Arial" w:cs="Arial" w:eastAsia="Arial" w:hAnsi="Arial"/>
          <w:sz w:val="11"/>
          <w:szCs w:val="11"/>
          <w:color w:val="050505"/>
        </w:rPr>
        <w:t>product and brand experience. We are proud to be pioneers and innovators of a global, product-oriented, fitness-centered community.</w:t>
      </w:r>
    </w:p>
    <w:p>
      <w:pPr>
        <w:spacing w:after="0" w:line="18" w:lineRule="exact"/>
        <w:rPr>
          <w:rFonts w:ascii="Arial" w:cs="Arial" w:eastAsia="Arial" w:hAnsi="Arial"/>
          <w:sz w:val="11"/>
          <w:szCs w:val="11"/>
          <w:color w:val="F7323F"/>
        </w:rPr>
      </w:pPr>
    </w:p>
    <w:p>
      <w:pPr>
        <w:jc w:val="both"/>
        <w:ind w:left="2420" w:right="839" w:hanging="217"/>
        <w:spacing w:after="0" w:line="251" w:lineRule="auto"/>
        <w:tabs>
          <w:tab w:leader="none" w:pos="2420" w:val="left"/>
        </w:tabs>
        <w:numPr>
          <w:ilvl w:val="0"/>
          <w:numId w:val="67"/>
        </w:numPr>
        <w:rPr>
          <w:rFonts w:ascii="Arial" w:cs="Arial" w:eastAsia="Arial" w:hAnsi="Arial"/>
          <w:sz w:val="11"/>
          <w:szCs w:val="11"/>
          <w:color w:val="F7323F"/>
        </w:rPr>
      </w:pPr>
      <w:r>
        <w:rPr>
          <w:rFonts w:ascii="Arial" w:cs="Arial" w:eastAsia="Arial" w:hAnsi="Arial"/>
          <w:sz w:val="11"/>
          <w:szCs w:val="11"/>
          <w:i w:val="1"/>
          <w:iCs w:val="1"/>
          <w:color w:val="050505"/>
        </w:rPr>
        <w:t xml:space="preserve">Operate with a Bias for Action: </w:t>
      </w:r>
      <w:r>
        <w:rPr>
          <w:rFonts w:ascii="Arial" w:cs="Arial" w:eastAsia="Arial" w:hAnsi="Arial"/>
          <w:sz w:val="11"/>
          <w:szCs w:val="11"/>
          <w:color w:val="050505"/>
        </w:rPr>
        <w:t>We value innovation, continuous improvement, and challenging the status quo, all of which are keys to success in</w:t>
      </w:r>
      <w:r>
        <w:rPr>
          <w:rFonts w:ascii="Arial" w:cs="Arial" w:eastAsia="Arial" w:hAnsi="Arial"/>
          <w:sz w:val="11"/>
          <w:szCs w:val="11"/>
          <w:i w:val="1"/>
          <w:iCs w:val="1"/>
          <w:color w:val="050505"/>
        </w:rPr>
        <w:t xml:space="preserve"> </w:t>
      </w:r>
      <w:r>
        <w:rPr>
          <w:rFonts w:ascii="Arial" w:cs="Arial" w:eastAsia="Arial" w:hAnsi="Arial"/>
          <w:sz w:val="11"/>
          <w:szCs w:val="11"/>
          <w:color w:val="050505"/>
        </w:rPr>
        <w:t>a competitive environment. We move quickly, take smart risks, fail fast and learn from failures. We never let the fear of imperfection stop us from achieving great things.</w:t>
      </w:r>
    </w:p>
    <w:p>
      <w:pPr>
        <w:spacing w:after="0" w:line="26" w:lineRule="exact"/>
        <w:rPr>
          <w:rFonts w:ascii="Arial" w:cs="Arial" w:eastAsia="Arial" w:hAnsi="Arial"/>
          <w:sz w:val="11"/>
          <w:szCs w:val="11"/>
          <w:color w:val="F7323F"/>
        </w:rPr>
      </w:pPr>
    </w:p>
    <w:p>
      <w:pPr>
        <w:ind w:left="2420" w:right="839" w:hanging="217"/>
        <w:spacing w:after="0" w:line="264" w:lineRule="auto"/>
        <w:tabs>
          <w:tab w:leader="none" w:pos="2420" w:val="left"/>
        </w:tabs>
        <w:numPr>
          <w:ilvl w:val="0"/>
          <w:numId w:val="67"/>
        </w:numPr>
        <w:rPr>
          <w:rFonts w:ascii="Arial" w:cs="Arial" w:eastAsia="Arial" w:hAnsi="Arial"/>
          <w:sz w:val="11"/>
          <w:szCs w:val="11"/>
          <w:color w:val="F7323F"/>
        </w:rPr>
      </w:pPr>
      <w:r>
        <w:rPr>
          <w:rFonts w:ascii="Arial" w:cs="Arial" w:eastAsia="Arial" w:hAnsi="Arial"/>
          <w:sz w:val="11"/>
          <w:szCs w:val="11"/>
          <w:i w:val="1"/>
          <w:iCs w:val="1"/>
          <w:color w:val="050505"/>
        </w:rPr>
        <w:t xml:space="preserve">Empower Teams of Smart Creatives: </w:t>
      </w:r>
      <w:r>
        <w:rPr>
          <w:rFonts w:ascii="Arial" w:cs="Arial" w:eastAsia="Arial" w:hAnsi="Arial"/>
          <w:sz w:val="11"/>
          <w:szCs w:val="11"/>
          <w:color w:val="050505"/>
        </w:rPr>
        <w:t>We hire individuals who are great at what they do, and encourage all of our team members to think openly</w:t>
      </w:r>
      <w:r>
        <w:rPr>
          <w:rFonts w:ascii="Arial" w:cs="Arial" w:eastAsia="Arial" w:hAnsi="Arial"/>
          <w:sz w:val="11"/>
          <w:szCs w:val="11"/>
          <w:i w:val="1"/>
          <w:iCs w:val="1"/>
          <w:color w:val="050505"/>
        </w:rPr>
        <w:t xml:space="preserve"> </w:t>
      </w:r>
      <w:r>
        <w:rPr>
          <w:rFonts w:ascii="Arial" w:cs="Arial" w:eastAsia="Arial" w:hAnsi="Arial"/>
          <w:sz w:val="11"/>
          <w:szCs w:val="11"/>
          <w:color w:val="050505"/>
        </w:rPr>
        <w:t>and creatively to solve tough, exciting problems. We empower our team members to think and act like owners.</w:t>
      </w:r>
    </w:p>
    <w:p>
      <w:pPr>
        <w:spacing w:after="0" w:line="18" w:lineRule="exact"/>
        <w:rPr>
          <w:rFonts w:ascii="Arial" w:cs="Arial" w:eastAsia="Arial" w:hAnsi="Arial"/>
          <w:sz w:val="11"/>
          <w:szCs w:val="11"/>
          <w:color w:val="F7323F"/>
        </w:rPr>
      </w:pPr>
    </w:p>
    <w:p>
      <w:pPr>
        <w:jc w:val="both"/>
        <w:ind w:left="2420" w:right="839" w:hanging="217"/>
        <w:spacing w:after="0" w:line="251" w:lineRule="auto"/>
        <w:tabs>
          <w:tab w:leader="none" w:pos="2420" w:val="left"/>
        </w:tabs>
        <w:numPr>
          <w:ilvl w:val="0"/>
          <w:numId w:val="67"/>
        </w:numPr>
        <w:rPr>
          <w:rFonts w:ascii="Arial" w:cs="Arial" w:eastAsia="Arial" w:hAnsi="Arial"/>
          <w:sz w:val="11"/>
          <w:szCs w:val="11"/>
          <w:color w:val="F7323F"/>
        </w:rPr>
      </w:pPr>
      <w:r>
        <w:rPr>
          <w:rFonts w:ascii="Arial" w:cs="Arial" w:eastAsia="Arial" w:hAnsi="Arial"/>
          <w:sz w:val="11"/>
          <w:szCs w:val="11"/>
          <w:i w:val="1"/>
          <w:iCs w:val="1"/>
          <w:color w:val="050505"/>
        </w:rPr>
        <w:t xml:space="preserve">Together We Go Far: </w:t>
      </w:r>
      <w:r>
        <w:rPr>
          <w:rFonts w:ascii="Arial" w:cs="Arial" w:eastAsia="Arial" w:hAnsi="Arial"/>
          <w:sz w:val="11"/>
          <w:szCs w:val="11"/>
          <w:color w:val="050505"/>
        </w:rPr>
        <w:t>As our company name suggests, we know the importance and value of a team. We know our collective differences make us</w:t>
      </w:r>
      <w:r>
        <w:rPr>
          <w:rFonts w:ascii="Arial" w:cs="Arial" w:eastAsia="Arial" w:hAnsi="Arial"/>
          <w:sz w:val="11"/>
          <w:szCs w:val="11"/>
          <w:i w:val="1"/>
          <w:iCs w:val="1"/>
          <w:color w:val="050505"/>
        </w:rPr>
        <w:t xml:space="preserve"> </w:t>
      </w:r>
      <w:r>
        <w:rPr>
          <w:rFonts w:ascii="Arial" w:cs="Arial" w:eastAsia="Arial" w:hAnsi="Arial"/>
          <w:sz w:val="11"/>
          <w:szCs w:val="11"/>
          <w:color w:val="050505"/>
        </w:rPr>
        <w:t xml:space="preserve">stronger, and uphold the obligation to dissent and listen. We value inclusivity and we are proud that </w:t>
      </w:r>
      <w:r>
        <w:rPr>
          <w:rFonts w:ascii="Arial" w:cs="Arial" w:eastAsia="Arial" w:hAnsi="Arial"/>
          <w:sz w:val="11"/>
          <w:szCs w:val="11"/>
          <w:i w:val="1"/>
          <w:iCs w:val="1"/>
          <w:color w:val="050505"/>
        </w:rPr>
        <w:t>everyone</w:t>
      </w:r>
      <w:r>
        <w:rPr>
          <w:rFonts w:ascii="Arial" w:cs="Arial" w:eastAsia="Arial" w:hAnsi="Arial"/>
          <w:sz w:val="11"/>
          <w:szCs w:val="11"/>
          <w:color w:val="050505"/>
        </w:rPr>
        <w:t xml:space="preserve"> can work to help solve difficult problems and have an impact.</w:t>
      </w:r>
    </w:p>
    <w:p>
      <w:pPr>
        <w:spacing w:after="0" w:line="136" w:lineRule="exact"/>
        <w:rPr>
          <w:sz w:val="20"/>
          <w:szCs w:val="20"/>
          <w:color w:val="auto"/>
        </w:rPr>
      </w:pPr>
    </w:p>
    <w:p>
      <w:pPr>
        <w:ind w:left="2060"/>
        <w:spacing w:after="0"/>
        <w:rPr>
          <w:sz w:val="20"/>
          <w:szCs w:val="20"/>
          <w:color w:val="auto"/>
        </w:rPr>
      </w:pPr>
      <w:r>
        <w:rPr>
          <w:rFonts w:ascii="Arial" w:cs="Arial" w:eastAsia="Arial" w:hAnsi="Arial"/>
          <w:sz w:val="11"/>
          <w:szCs w:val="11"/>
          <w:color w:val="050505"/>
        </w:rPr>
        <w:t>To foster these values, we have committed to promote our “One Peloton” culture:</w:t>
      </w:r>
    </w:p>
    <w:p>
      <w:pPr>
        <w:spacing w:after="0" w:line="152" w:lineRule="exact"/>
        <w:rPr>
          <w:sz w:val="20"/>
          <w:szCs w:val="20"/>
          <w:color w:val="auto"/>
        </w:rPr>
      </w:pPr>
    </w:p>
    <w:p>
      <w:pPr>
        <w:ind w:left="2420" w:right="839" w:hanging="217"/>
        <w:spacing w:after="0" w:line="264" w:lineRule="auto"/>
        <w:tabs>
          <w:tab w:leader="none" w:pos="2420" w:val="left"/>
        </w:tabs>
        <w:numPr>
          <w:ilvl w:val="0"/>
          <w:numId w:val="68"/>
        </w:numPr>
        <w:rPr>
          <w:rFonts w:ascii="Arial" w:cs="Arial" w:eastAsia="Arial" w:hAnsi="Arial"/>
          <w:sz w:val="11"/>
          <w:szCs w:val="11"/>
          <w:color w:val="F7323F"/>
        </w:rPr>
      </w:pPr>
      <w:r>
        <w:rPr>
          <w:rFonts w:ascii="Arial" w:cs="Arial" w:eastAsia="Arial" w:hAnsi="Arial"/>
          <w:sz w:val="11"/>
          <w:szCs w:val="11"/>
          <w:i w:val="1"/>
          <w:iCs w:val="1"/>
          <w:color w:val="050505"/>
        </w:rPr>
        <w:t>Best Place to Work</w:t>
      </w:r>
      <w:r>
        <w:rPr>
          <w:rFonts w:ascii="Arial" w:cs="Arial" w:eastAsia="Arial" w:hAnsi="Arial"/>
          <w:sz w:val="11"/>
          <w:szCs w:val="11"/>
          <w:color w:val="050505"/>
        </w:rPr>
        <w:t>: We offer generous benefits and compensation packages, including equity to all full-time employees, parental leave, health</w:t>
      </w:r>
      <w:r>
        <w:rPr>
          <w:rFonts w:ascii="Arial" w:cs="Arial" w:eastAsia="Arial" w:hAnsi="Arial"/>
          <w:sz w:val="11"/>
          <w:szCs w:val="11"/>
          <w:i w:val="1"/>
          <w:iCs w:val="1"/>
          <w:color w:val="050505"/>
        </w:rPr>
        <w:t xml:space="preserve"> </w:t>
      </w:r>
      <w:r>
        <w:rPr>
          <w:rFonts w:ascii="Arial" w:cs="Arial" w:eastAsia="Arial" w:hAnsi="Arial"/>
          <w:sz w:val="11"/>
          <w:szCs w:val="11"/>
          <w:color w:val="050505"/>
        </w:rPr>
        <w:t>and wellness offerings, family planning assistance, and learning and development opportunities.</w:t>
      </w:r>
    </w:p>
    <w:p>
      <w:pPr>
        <w:spacing w:after="0" w:line="18" w:lineRule="exact"/>
        <w:rPr>
          <w:rFonts w:ascii="Arial" w:cs="Arial" w:eastAsia="Arial" w:hAnsi="Arial"/>
          <w:sz w:val="11"/>
          <w:szCs w:val="11"/>
          <w:color w:val="F7323F"/>
        </w:rPr>
      </w:pPr>
    </w:p>
    <w:p>
      <w:pPr>
        <w:jc w:val="both"/>
        <w:ind w:left="2420" w:right="839" w:hanging="217"/>
        <w:spacing w:after="0" w:line="251" w:lineRule="auto"/>
        <w:tabs>
          <w:tab w:leader="none" w:pos="2420" w:val="left"/>
        </w:tabs>
        <w:numPr>
          <w:ilvl w:val="0"/>
          <w:numId w:val="68"/>
        </w:numPr>
        <w:rPr>
          <w:rFonts w:ascii="Arial" w:cs="Arial" w:eastAsia="Arial" w:hAnsi="Arial"/>
          <w:sz w:val="11"/>
          <w:szCs w:val="11"/>
          <w:color w:val="F7323F"/>
        </w:rPr>
      </w:pPr>
      <w:r>
        <w:rPr>
          <w:rFonts w:ascii="Arial" w:cs="Arial" w:eastAsia="Arial" w:hAnsi="Arial"/>
          <w:sz w:val="11"/>
          <w:szCs w:val="11"/>
          <w:i w:val="1"/>
          <w:iCs w:val="1"/>
          <w:color w:val="050505"/>
        </w:rPr>
        <w:t>Commitment to Equal Pay</w:t>
      </w:r>
      <w:r>
        <w:rPr>
          <w:rFonts w:ascii="Arial" w:cs="Arial" w:eastAsia="Arial" w:hAnsi="Arial"/>
          <w:sz w:val="11"/>
          <w:szCs w:val="11"/>
          <w:color w:val="050505"/>
        </w:rPr>
        <w:t>: We conduct an annual third-party audit of team members’ pay to confirm that our pay-for-performance philosophy</w:t>
      </w:r>
      <w:r>
        <w:rPr>
          <w:rFonts w:ascii="Arial" w:cs="Arial" w:eastAsia="Arial" w:hAnsi="Arial"/>
          <w:sz w:val="11"/>
          <w:szCs w:val="11"/>
          <w:i w:val="1"/>
          <w:iCs w:val="1"/>
          <w:color w:val="050505"/>
        </w:rPr>
        <w:t xml:space="preserve"> </w:t>
      </w:r>
      <w:r>
        <w:rPr>
          <w:rFonts w:ascii="Arial" w:cs="Arial" w:eastAsia="Arial" w:hAnsi="Arial"/>
          <w:sz w:val="11"/>
          <w:szCs w:val="11"/>
          <w:color w:val="050505"/>
        </w:rPr>
        <w:t>transcends race and gender. If an audit reveals any pay differences unexplained by legitimate business factors between team members who hold similar jobs, but are of different races or genders, we adjust the affected team members’ respective compensation accordingly.</w:t>
      </w:r>
    </w:p>
    <w:p>
      <w:pPr>
        <w:spacing w:after="0" w:line="26" w:lineRule="exact"/>
        <w:rPr>
          <w:rFonts w:ascii="Arial" w:cs="Arial" w:eastAsia="Arial" w:hAnsi="Arial"/>
          <w:sz w:val="11"/>
          <w:szCs w:val="11"/>
          <w:color w:val="F7323F"/>
        </w:rPr>
      </w:pPr>
    </w:p>
    <w:p>
      <w:pPr>
        <w:jc w:val="both"/>
        <w:ind w:left="2420" w:right="839" w:hanging="217"/>
        <w:spacing w:after="0" w:line="245" w:lineRule="auto"/>
        <w:tabs>
          <w:tab w:leader="none" w:pos="2420" w:val="left"/>
        </w:tabs>
        <w:numPr>
          <w:ilvl w:val="0"/>
          <w:numId w:val="68"/>
        </w:numPr>
        <w:rPr>
          <w:rFonts w:ascii="Arial" w:cs="Arial" w:eastAsia="Arial" w:hAnsi="Arial"/>
          <w:sz w:val="11"/>
          <w:szCs w:val="11"/>
          <w:color w:val="F7323F"/>
        </w:rPr>
      </w:pPr>
      <w:r>
        <w:rPr>
          <w:rFonts w:ascii="Arial" w:cs="Arial" w:eastAsia="Arial" w:hAnsi="Arial"/>
          <w:sz w:val="11"/>
          <w:szCs w:val="11"/>
          <w:i w:val="1"/>
          <w:iCs w:val="1"/>
          <w:color w:val="050505"/>
        </w:rPr>
        <w:t xml:space="preserve">Social Impact: </w:t>
      </w:r>
      <w:r>
        <w:rPr>
          <w:rFonts w:ascii="Arial" w:cs="Arial" w:eastAsia="Arial" w:hAnsi="Arial"/>
          <w:sz w:val="11"/>
          <w:szCs w:val="11"/>
          <w:color w:val="050505"/>
        </w:rPr>
        <w:t>Our “Comeback Initiative” recognizes Members and non-Members nominated by themselves or others through sharing stories</w:t>
      </w:r>
      <w:r>
        <w:rPr>
          <w:rFonts w:ascii="Arial" w:cs="Arial" w:eastAsia="Arial" w:hAnsi="Arial"/>
          <w:sz w:val="11"/>
          <w:szCs w:val="11"/>
          <w:i w:val="1"/>
          <w:iCs w:val="1"/>
          <w:color w:val="050505"/>
        </w:rPr>
        <w:t xml:space="preserve"> </w:t>
      </w:r>
      <w:r>
        <w:rPr>
          <w:rFonts w:ascii="Arial" w:cs="Arial" w:eastAsia="Arial" w:hAnsi="Arial"/>
          <w:sz w:val="11"/>
          <w:szCs w:val="11"/>
          <w:color w:val="050505"/>
        </w:rPr>
        <w:t>about their respective journeys back from a difficult time. Committees consisting of Peloton team members determine the individuals to recognize and, in turn, develop deeper connections to our community. Recognized individuals receive a Peloton Bike and three-year Connected Fitness Subscription. We believe this award offers motivation and encouragement to support those on their comeback journeys, while engaging and activating our community.</w:t>
      </w:r>
    </w:p>
    <w:p>
      <w:pPr>
        <w:spacing w:after="0" w:line="127" w:lineRule="exact"/>
        <w:rPr>
          <w:sz w:val="20"/>
          <w:szCs w:val="20"/>
          <w:color w:val="auto"/>
        </w:rPr>
      </w:pPr>
    </w:p>
    <w:p>
      <w:pPr>
        <w:ind w:left="2060"/>
        <w:spacing w:after="0"/>
        <w:rPr>
          <w:sz w:val="20"/>
          <w:szCs w:val="20"/>
          <w:color w:val="auto"/>
        </w:rPr>
      </w:pPr>
      <w:r>
        <w:rPr>
          <w:rFonts w:ascii="Arial" w:cs="Arial" w:eastAsia="Arial" w:hAnsi="Arial"/>
          <w:sz w:val="11"/>
          <w:szCs w:val="11"/>
          <w:b w:val="1"/>
          <w:bCs w:val="1"/>
          <w:i w:val="1"/>
          <w:iCs w:val="1"/>
          <w:color w:val="auto"/>
        </w:rPr>
        <w:t>Employees</w:t>
      </w:r>
    </w:p>
    <w:p>
      <w:pPr>
        <w:spacing w:after="0" w:line="12" w:lineRule="exact"/>
        <w:rPr>
          <w:sz w:val="20"/>
          <w:szCs w:val="20"/>
          <w:color w:val="auto"/>
        </w:rPr>
      </w:pPr>
    </w:p>
    <w:p>
      <w:pPr>
        <w:ind w:left="2060" w:right="839"/>
        <w:spacing w:after="0" w:line="245" w:lineRule="auto"/>
        <w:rPr>
          <w:sz w:val="20"/>
          <w:szCs w:val="20"/>
          <w:color w:val="auto"/>
        </w:rPr>
      </w:pPr>
      <w:r>
        <w:rPr>
          <w:rFonts w:ascii="Arial" w:cs="Arial" w:eastAsia="Arial" w:hAnsi="Arial"/>
          <w:sz w:val="11"/>
          <w:szCs w:val="11"/>
          <w:color w:val="050505"/>
        </w:rPr>
        <w:t>We are extremely proud of our team which embodies a diverse mix of backgrounds, industries, and levels of experience. As of June 30, 2019, we employed approximately 1,800 individuals in the United States across our New York City headquarters,</w:t>
      </w:r>
    </w:p>
    <w:p>
      <w:pPr>
        <w:spacing w:after="0" w:line="93" w:lineRule="exact"/>
        <w:rPr>
          <w:sz w:val="20"/>
          <w:szCs w:val="20"/>
          <w:color w:val="auto"/>
        </w:rPr>
      </w:pPr>
    </w:p>
    <w:p>
      <w:pPr>
        <w:ind w:left="5640"/>
        <w:spacing w:after="0"/>
        <w:rPr>
          <w:sz w:val="20"/>
          <w:szCs w:val="20"/>
          <w:color w:val="auto"/>
        </w:rPr>
      </w:pPr>
      <w:r>
        <w:rPr>
          <w:rFonts w:ascii="Arial" w:cs="Arial" w:eastAsia="Arial" w:hAnsi="Arial"/>
          <w:sz w:val="11"/>
          <w:szCs w:val="11"/>
          <w:color w:val="050505"/>
        </w:rPr>
        <w:t>110</w:t>
      </w:r>
    </w:p>
    <w:p>
      <w:pPr>
        <w:sectPr>
          <w:pgSz w:w="11900" w:h="16838" w:orient="portrait"/>
          <w:cols w:equalWidth="0" w:num="1">
            <w:col w:w="10239"/>
          </w:cols>
          <w:pgMar w:left="220" w:top="354" w:right="1440" w:bottom="1440" w:gutter="0" w:footer="0" w:header="0"/>
        </w:sectPr>
      </w:pPr>
    </w:p>
    <w:bookmarkStart w:id="120" w:name="page121"/>
    <w:bookmarkEnd w:id="120"/>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hyperlink w:anchor="page5">
        <w:r>
          <w:rPr>
            <w:rFonts w:ascii="Arial" w:cs="Arial" w:eastAsia="Arial" w:hAnsi="Arial"/>
            <w:sz w:val="12"/>
            <w:szCs w:val="12"/>
            <w:b w:val="1"/>
            <w:bCs w:val="1"/>
            <w:u w:val="single" w:color="auto"/>
            <w:color w:val="0000EE"/>
          </w:rPr>
          <w:t>Table of Contents</w:t>
        </w:r>
      </w:hyperlink>
    </w:p>
    <w:p>
      <w:pPr>
        <w:spacing w:after="0" w:line="216" w:lineRule="exact"/>
        <w:rPr>
          <w:sz w:val="20"/>
          <w:szCs w:val="20"/>
          <w:color w:val="auto"/>
        </w:rPr>
      </w:pPr>
    </w:p>
    <w:p>
      <w:pPr>
        <w:jc w:val="both"/>
        <w:ind w:left="2060" w:right="839"/>
        <w:spacing w:after="0" w:line="269" w:lineRule="auto"/>
        <w:rPr>
          <w:sz w:val="20"/>
          <w:szCs w:val="20"/>
          <w:color w:val="auto"/>
        </w:rPr>
      </w:pPr>
      <w:r>
        <w:rPr>
          <w:rFonts w:ascii="Arial" w:cs="Arial" w:eastAsia="Arial" w:hAnsi="Arial"/>
          <w:sz w:val="10"/>
          <w:szCs w:val="10"/>
          <w:color w:val="050505"/>
        </w:rPr>
        <w:t>Plano campus, Atlanta office, showrooms, and 23 field operations warehouses. Internationally, we had 94 employees in the United Kingdom and Germany across corporate, showroom, and warehouse functions, 34 employees in Canada largely in showroom and warehouse roles, and 26 individuals in Taiwan across quality engineering and operations functions. Certain of our instructors are covered by collective bargaining agreements with the Screen Actors Guild-American Federation of Television and Radio Artists, or SAG-AFTRA. However, we are not signatories to any agreements with SAG-AFTRA. With the exception of SAG-AFTRA, none of our domestic employees are currently represented by a labor organization or a party to any collective bargaining. We also hire additional seasonal employees in our field operations, member support, and showrooms during the holiday season.</w:t>
      </w:r>
    </w:p>
    <w:p>
      <w:pPr>
        <w:spacing w:after="0" w:line="115" w:lineRule="exact"/>
        <w:rPr>
          <w:sz w:val="20"/>
          <w:szCs w:val="20"/>
          <w:color w:val="auto"/>
        </w:rPr>
      </w:pPr>
    </w:p>
    <w:p>
      <w:pPr>
        <w:ind w:left="2060"/>
        <w:spacing w:after="0"/>
        <w:rPr>
          <w:sz w:val="20"/>
          <w:szCs w:val="20"/>
          <w:color w:val="auto"/>
        </w:rPr>
      </w:pPr>
      <w:r>
        <w:rPr>
          <w:rFonts w:ascii="Arial" w:cs="Arial" w:eastAsia="Arial" w:hAnsi="Arial"/>
          <w:sz w:val="11"/>
          <w:szCs w:val="11"/>
          <w:b w:val="1"/>
          <w:bCs w:val="1"/>
          <w:u w:val="single" w:color="auto"/>
          <w:color w:val="auto"/>
        </w:rPr>
        <w:t>Facilities</w:t>
      </w:r>
    </w:p>
    <w:p>
      <w:pPr>
        <w:spacing w:after="0" w:line="12" w:lineRule="exact"/>
        <w:rPr>
          <w:sz w:val="20"/>
          <w:szCs w:val="20"/>
          <w:color w:val="auto"/>
        </w:rPr>
      </w:pPr>
    </w:p>
    <w:p>
      <w:pPr>
        <w:jc w:val="both"/>
        <w:ind w:left="2060" w:right="839"/>
        <w:spacing w:after="0"/>
        <w:rPr>
          <w:sz w:val="20"/>
          <w:szCs w:val="20"/>
          <w:color w:val="auto"/>
        </w:rPr>
      </w:pPr>
      <w:r>
        <w:rPr>
          <w:rFonts w:ascii="Arial" w:cs="Arial" w:eastAsia="Arial" w:hAnsi="Arial"/>
          <w:sz w:val="11"/>
          <w:szCs w:val="11"/>
          <w:color w:val="050505"/>
        </w:rPr>
        <w:t>Our corporate headquarters are located in New York City, where we occupy facilities totaling approximately 65,000 rentable square feet under a lease that expires in 2027. We use these facilities primarily for technology, product design, research and development, sales and marketing, supply chain and logistics, finance, legal, human resources, and information technology. In November 2018, we entered into a lease agreement for our planned new corporate headquarters in New York City, which we intend to occupy by the fall of 2020 and which consists of approximately 312,000 square feet under a 16-year lease. We also have a Member support and sales team located in Plano, Texas, where we occupy approximately 28,000 rentable square feet under a lease that expires in 2023.</w:t>
      </w:r>
    </w:p>
    <w:p>
      <w:pPr>
        <w:spacing w:after="0" w:line="142" w:lineRule="exact"/>
        <w:rPr>
          <w:sz w:val="20"/>
          <w:szCs w:val="20"/>
          <w:color w:val="auto"/>
        </w:rPr>
      </w:pPr>
    </w:p>
    <w:p>
      <w:pPr>
        <w:jc w:val="both"/>
        <w:ind w:left="2060" w:right="839"/>
        <w:spacing w:after="0"/>
        <w:rPr>
          <w:sz w:val="20"/>
          <w:szCs w:val="20"/>
          <w:color w:val="auto"/>
        </w:rPr>
      </w:pPr>
      <w:r>
        <w:rPr>
          <w:rFonts w:ascii="Arial" w:cs="Arial" w:eastAsia="Arial" w:hAnsi="Arial"/>
          <w:sz w:val="11"/>
          <w:szCs w:val="11"/>
          <w:color w:val="050505"/>
        </w:rPr>
        <w:t>In addition to our corporate headquarters and regional campus, we currently operate two small programming hubs in New York City where we produce our content and offer fitness classes. In December 2017, we entered into a twenty-year lease for approximately 36,000 rentable square feet in New York City, which will include four production studios and adjacent office space. In September 2018, we entered into a lease for 11 Floral Street in London, which will serve as our content production hub for Europe and has 31,150 rentable square feet. We expect to open this London location in Fall 2020. We currently operate a temporary production studio in London where we produce local indoor cycling content. We also lease office space and showrooms for our products in 74 locations in the United States, the United Kingdom, and Canada as of June 30, 2019.</w:t>
      </w:r>
    </w:p>
    <w:p>
      <w:pPr>
        <w:spacing w:after="0" w:line="142" w:lineRule="exact"/>
        <w:rPr>
          <w:sz w:val="20"/>
          <w:szCs w:val="20"/>
          <w:color w:val="auto"/>
        </w:rPr>
      </w:pPr>
    </w:p>
    <w:p>
      <w:pPr>
        <w:jc w:val="both"/>
        <w:ind w:left="2060" w:right="839"/>
        <w:spacing w:after="0" w:line="245" w:lineRule="auto"/>
        <w:rPr>
          <w:sz w:val="20"/>
          <w:szCs w:val="20"/>
          <w:color w:val="auto"/>
        </w:rPr>
      </w:pPr>
      <w:r>
        <w:rPr>
          <w:rFonts w:ascii="Arial" w:cs="Arial" w:eastAsia="Arial" w:hAnsi="Arial"/>
          <w:sz w:val="11"/>
          <w:szCs w:val="11"/>
          <w:color w:val="050505"/>
        </w:rPr>
        <w:t>We intend to procure additional space as we add employees and expand geographically. We believe that our facilities are adequate to meet our needs for the immediate future and that suitable additional space will be available to accommodate any expansion of our operations as needed.</w:t>
      </w:r>
    </w:p>
    <w:p>
      <w:pPr>
        <w:spacing w:after="0" w:line="126" w:lineRule="exact"/>
        <w:rPr>
          <w:sz w:val="20"/>
          <w:szCs w:val="20"/>
          <w:color w:val="auto"/>
        </w:rPr>
      </w:pPr>
    </w:p>
    <w:p>
      <w:pPr>
        <w:ind w:left="2060"/>
        <w:spacing w:after="0"/>
        <w:rPr>
          <w:sz w:val="20"/>
          <w:szCs w:val="20"/>
          <w:color w:val="auto"/>
        </w:rPr>
      </w:pPr>
      <w:r>
        <w:rPr>
          <w:rFonts w:ascii="Arial" w:cs="Arial" w:eastAsia="Arial" w:hAnsi="Arial"/>
          <w:sz w:val="11"/>
          <w:szCs w:val="11"/>
          <w:b w:val="1"/>
          <w:bCs w:val="1"/>
          <w:u w:val="single" w:color="auto"/>
          <w:color w:val="auto"/>
        </w:rPr>
        <w:t>Legal Proceedings</w:t>
      </w:r>
    </w:p>
    <w:p>
      <w:pPr>
        <w:spacing w:after="0" w:line="144" w:lineRule="exact"/>
        <w:rPr>
          <w:sz w:val="20"/>
          <w:szCs w:val="20"/>
          <w:color w:val="auto"/>
        </w:rPr>
      </w:pPr>
    </w:p>
    <w:p>
      <w:pPr>
        <w:ind w:left="2060"/>
        <w:spacing w:after="0"/>
        <w:rPr>
          <w:sz w:val="20"/>
          <w:szCs w:val="20"/>
          <w:color w:val="auto"/>
        </w:rPr>
      </w:pPr>
      <w:r>
        <w:rPr>
          <w:rFonts w:ascii="Arial" w:cs="Arial" w:eastAsia="Arial" w:hAnsi="Arial"/>
          <w:sz w:val="11"/>
          <w:szCs w:val="11"/>
          <w:b w:val="1"/>
          <w:bCs w:val="1"/>
          <w:i w:val="1"/>
          <w:iCs w:val="1"/>
          <w:color w:val="auto"/>
        </w:rPr>
        <w:t>VR Optics</w:t>
      </w:r>
    </w:p>
    <w:p>
      <w:pPr>
        <w:spacing w:after="0" w:line="12" w:lineRule="exact"/>
        <w:rPr>
          <w:sz w:val="20"/>
          <w:szCs w:val="20"/>
          <w:color w:val="auto"/>
        </w:rPr>
      </w:pPr>
    </w:p>
    <w:p>
      <w:pPr>
        <w:jc w:val="both"/>
        <w:ind w:left="2060" w:right="839"/>
        <w:spacing w:after="0"/>
        <w:rPr>
          <w:sz w:val="20"/>
          <w:szCs w:val="20"/>
          <w:color w:val="auto"/>
        </w:rPr>
      </w:pPr>
      <w:r>
        <w:rPr>
          <w:rFonts w:ascii="Arial" w:cs="Arial" w:eastAsia="Arial" w:hAnsi="Arial"/>
          <w:sz w:val="11"/>
          <w:szCs w:val="11"/>
          <w:color w:val="050505"/>
        </w:rPr>
        <w:t>On August 11, 2016, VR Optics, LLC, or VR Optics, filed a lawsuit against us in the U.S. District Court for the Southern District of New York, alleging that we are infringing U.S. Patent No. 6,902,513 titled “Interactive fitness equipment,” or the ’513 patent. On November 7, 2016, we filed counterclaims against VR Optics for declaratory judgment of non-infringement and invalidity and intentional interference with our contractual relationship with Villency Design Group, LLC, or VDG, a product design company we hired in 2012 to help design the Peloton Bike. We also filed an amended third-party complaint against VDG for breach of contract and the covenant of good faith and fair dealing, and Eric Villency and Joseph Coffey, the owners of VR Optics and VDG, for intentional interference with our contractual relationship with VDG. Among other things, we seek to enforce VDG’s contractual obligation to defend and indemnify us for intellectual property claims, including the patent claim asserted by VR Optics.</w:t>
      </w:r>
    </w:p>
    <w:p>
      <w:pPr>
        <w:spacing w:after="0" w:line="141" w:lineRule="exact"/>
        <w:rPr>
          <w:sz w:val="20"/>
          <w:szCs w:val="20"/>
          <w:color w:val="auto"/>
        </w:rPr>
      </w:pPr>
    </w:p>
    <w:p>
      <w:pPr>
        <w:jc w:val="both"/>
        <w:ind w:left="2060" w:right="839"/>
        <w:spacing w:after="0"/>
        <w:rPr>
          <w:sz w:val="20"/>
          <w:szCs w:val="20"/>
          <w:color w:val="auto"/>
        </w:rPr>
      </w:pPr>
      <w:r>
        <w:rPr>
          <w:rFonts w:ascii="Arial" w:cs="Arial" w:eastAsia="Arial" w:hAnsi="Arial"/>
          <w:sz w:val="11"/>
          <w:szCs w:val="11"/>
          <w:color w:val="050505"/>
        </w:rPr>
        <w:t>On December 9, 2016, VR Optics and VDG moved to dismiss all our non-patent counterclaims. In response, we amended our counterclaims to add a new claim against VDG for its fraudulent concealment of a potential patent infringement claim against us when Mr. Villency and Mr. Coffey first sought to acquire the ’513 patent, which was prior to the expiration of our contract with VDG. On January 20, 2017, VR Optics, VDG, Mr. Villency, and Mr. Coffey filed a motion to dismiss the third-party complaint and one of our non-patent counterclaims against VR Optics. The motion to dismiss was denied on August 18, 2017. Fact discovery concluded on February 1, 2019. Expert discovery is complete. Summary judgment motions were filed by both parties in early July 2019 and decisions on them are pending. There is currently no trial date set.</w:t>
      </w:r>
    </w:p>
    <w:p>
      <w:pPr>
        <w:spacing w:after="0" w:line="142" w:lineRule="exact"/>
        <w:rPr>
          <w:sz w:val="20"/>
          <w:szCs w:val="20"/>
          <w:color w:val="auto"/>
        </w:rPr>
      </w:pPr>
    </w:p>
    <w:p>
      <w:pPr>
        <w:jc w:val="both"/>
        <w:ind w:left="2060" w:right="839"/>
        <w:spacing w:after="0" w:line="241" w:lineRule="auto"/>
        <w:rPr>
          <w:sz w:val="20"/>
          <w:szCs w:val="20"/>
          <w:color w:val="auto"/>
        </w:rPr>
      </w:pPr>
      <w:r>
        <w:rPr>
          <w:rFonts w:ascii="Arial" w:cs="Arial" w:eastAsia="Arial" w:hAnsi="Arial"/>
          <w:sz w:val="11"/>
          <w:szCs w:val="11"/>
          <w:color w:val="050505"/>
        </w:rPr>
        <w:t>We intend to defend the claims made against us and to prosecute the counterclaims presented. Litigation, however, is inherently uncertain, and any judgment or injunctive relief entered against us or settlement could materially and adversely impact our business, financial condition, operating results, and prospects. In addition, litigation can involve significant management time and attention, and the cost of litigation can be expensive, regardless of outcome.</w:t>
      </w:r>
    </w:p>
    <w:p>
      <w:pPr>
        <w:spacing w:after="0" w:line="95" w:lineRule="exact"/>
        <w:rPr>
          <w:sz w:val="20"/>
          <w:szCs w:val="20"/>
          <w:color w:val="auto"/>
        </w:rPr>
      </w:pPr>
    </w:p>
    <w:p>
      <w:pPr>
        <w:ind w:left="5640"/>
        <w:spacing w:after="0"/>
        <w:rPr>
          <w:sz w:val="20"/>
          <w:szCs w:val="20"/>
          <w:color w:val="auto"/>
        </w:rPr>
      </w:pPr>
      <w:r>
        <w:rPr>
          <w:rFonts w:ascii="Arial" w:cs="Arial" w:eastAsia="Arial" w:hAnsi="Arial"/>
          <w:sz w:val="11"/>
          <w:szCs w:val="11"/>
          <w:color w:val="050505"/>
        </w:rPr>
        <w:t>111</w:t>
      </w:r>
    </w:p>
    <w:p>
      <w:pPr>
        <w:sectPr>
          <w:pgSz w:w="11900" w:h="16838" w:orient="portrait"/>
          <w:cols w:equalWidth="0" w:num="1">
            <w:col w:w="10239"/>
          </w:cols>
          <w:pgMar w:left="220" w:top="354" w:right="1440" w:bottom="1440" w:gutter="0" w:footer="0" w:header="0"/>
        </w:sectPr>
      </w:pPr>
    </w:p>
    <w:bookmarkStart w:id="121" w:name="page122"/>
    <w:bookmarkEnd w:id="121"/>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hyperlink w:anchor="page5">
        <w:r>
          <w:rPr>
            <w:rFonts w:ascii="Arial" w:cs="Arial" w:eastAsia="Arial" w:hAnsi="Arial"/>
            <w:sz w:val="12"/>
            <w:szCs w:val="12"/>
            <w:b w:val="1"/>
            <w:bCs w:val="1"/>
            <w:u w:val="single" w:color="auto"/>
            <w:color w:val="0000EE"/>
          </w:rPr>
          <w:t>Table of Contents</w:t>
        </w:r>
      </w:hyperlink>
    </w:p>
    <w:p>
      <w:pPr>
        <w:spacing w:after="0" w:line="204" w:lineRule="exact"/>
        <w:rPr>
          <w:sz w:val="20"/>
          <w:szCs w:val="20"/>
          <w:color w:val="auto"/>
        </w:rPr>
      </w:pPr>
    </w:p>
    <w:p>
      <w:pPr>
        <w:ind w:left="2060"/>
        <w:spacing w:after="0"/>
        <w:rPr>
          <w:sz w:val="20"/>
          <w:szCs w:val="20"/>
          <w:color w:val="auto"/>
        </w:rPr>
      </w:pPr>
      <w:r>
        <w:rPr>
          <w:rFonts w:ascii="Arial" w:cs="Arial" w:eastAsia="Arial" w:hAnsi="Arial"/>
          <w:sz w:val="11"/>
          <w:szCs w:val="11"/>
          <w:b w:val="1"/>
          <w:bCs w:val="1"/>
          <w:i w:val="1"/>
          <w:iCs w:val="1"/>
          <w:color w:val="auto"/>
        </w:rPr>
        <w:t>Downtown Music Publishing</w:t>
      </w:r>
    </w:p>
    <w:p>
      <w:pPr>
        <w:spacing w:after="0" w:line="12" w:lineRule="exact"/>
        <w:rPr>
          <w:sz w:val="20"/>
          <w:szCs w:val="20"/>
          <w:color w:val="auto"/>
        </w:rPr>
      </w:pPr>
    </w:p>
    <w:p>
      <w:pPr>
        <w:jc w:val="both"/>
        <w:ind w:left="2060" w:right="839"/>
        <w:spacing w:after="0"/>
        <w:rPr>
          <w:sz w:val="20"/>
          <w:szCs w:val="20"/>
          <w:color w:val="auto"/>
        </w:rPr>
      </w:pPr>
      <w:r>
        <w:rPr>
          <w:rFonts w:ascii="Arial" w:cs="Arial" w:eastAsia="Arial" w:hAnsi="Arial"/>
          <w:sz w:val="11"/>
          <w:szCs w:val="11"/>
          <w:color w:val="050505"/>
        </w:rPr>
        <w:t>On March 19, 2019, Downtown Music Publishing LLC, ole Media Management, L.P., Big Deal Music, LLC, CYPMP, LLC, Peer International Corporation, PSO Limited, Peermusic Ltd., Peermusic III, Ltd., Peertunes, Ltd., Songs of Peer Ltd., Reservoir Media Management, Inc., The Richmond Organization, Inc., Round Hill Music LLC, The Royalty Network, Inc., and Ultra International Music Publishing, LLC filed a lawsuit against us in the U.S. District Court for the Southern District of New York, captioned Downtown Music Publ’g LLC, et. al v. Peloton Interactive, Inc., alleging that we engaged in copyright infringement by using certain accused songs in classes without necessary licenses. The plaintiffs allege that they are music publishers that own or control the copyrights in numerous musical works that were synchronized by us without the plaintiffs’ authorization. The complaint asserts a single claim for copyright infringement. It seeks injunctive relief, more than $150 million in damages, and attorneys’ fees and costs.</w:t>
      </w:r>
    </w:p>
    <w:p>
      <w:pPr>
        <w:spacing w:after="0" w:line="141" w:lineRule="exact"/>
        <w:rPr>
          <w:sz w:val="20"/>
          <w:szCs w:val="20"/>
          <w:color w:val="auto"/>
        </w:rPr>
      </w:pPr>
    </w:p>
    <w:p>
      <w:pPr>
        <w:jc w:val="both"/>
        <w:ind w:left="2060" w:right="839"/>
        <w:spacing w:after="0" w:line="239" w:lineRule="auto"/>
        <w:rPr>
          <w:sz w:val="20"/>
          <w:szCs w:val="20"/>
          <w:color w:val="auto"/>
        </w:rPr>
      </w:pPr>
      <w:r>
        <w:rPr>
          <w:rFonts w:ascii="Arial" w:cs="Arial" w:eastAsia="Arial" w:hAnsi="Arial"/>
          <w:sz w:val="11"/>
          <w:szCs w:val="11"/>
          <w:color w:val="050505"/>
        </w:rPr>
        <w:t>The plaintiffs served us with the summons and complaint on March 21, 2019. On April 30, 2019, we answered the complaint and filed counterclaims against the original named plaintiffs and National Music Publishers’ Association, Inc., a trade association, alleging that they coordinated to collectively negotiate licenses in violation of the antitrust laws. Our counterclaims also assert that the trade association tortiously interfered with Peloton’s attempts to engage in direct negotiations with music publishers in violation of state law. The counterclaims seek injunctive relief, monetary damages (to be trebled under applicable statute), and attorneys’ fees and costs. An amended complaint filed on May 31, 2019 named additional plaintiffs Greensleeves Publishing Ltd., Me Gusta Music, LLC, Raleigh Music Publishing LLC, STB Music, Inc., and TuneCore, Inc. and identified additional musical works. We answered the amended complaint on June 14, 2019. On June 24, 2019, counter-defendants filed a motion to dismiss the counterclaims, to which we filed an opposition on August 8, 2019. On September 12, 2019, the plaintiffs filed a motion seeking leave to file a second amended complaint identifying additional musical works and requesting injunctive relief, more than $300 million in damages, and attorneys’ fees and costs. We are opposing the motion and it is currently pending before the court. Discovery on the claims and counterclaims is ongoing in the case.</w:t>
      </w:r>
    </w:p>
    <w:p>
      <w:pPr>
        <w:spacing w:after="0" w:line="146" w:lineRule="exact"/>
        <w:rPr>
          <w:sz w:val="20"/>
          <w:szCs w:val="20"/>
          <w:color w:val="auto"/>
        </w:rPr>
      </w:pPr>
    </w:p>
    <w:p>
      <w:pPr>
        <w:jc w:val="both"/>
        <w:ind w:left="2060" w:right="839"/>
        <w:spacing w:after="0" w:line="241" w:lineRule="auto"/>
        <w:rPr>
          <w:sz w:val="20"/>
          <w:szCs w:val="20"/>
          <w:color w:val="auto"/>
        </w:rPr>
      </w:pPr>
      <w:r>
        <w:rPr>
          <w:rFonts w:ascii="Arial" w:cs="Arial" w:eastAsia="Arial" w:hAnsi="Arial"/>
          <w:sz w:val="11"/>
          <w:szCs w:val="11"/>
          <w:color w:val="050505"/>
        </w:rPr>
        <w:t>We intend to defend the claims made against us and to prosecute the counterclaims presented. Litigation, however, is inherently uncertain, and any judgment or injunctive relief entered against us or settlement could materially and adversely impact our business, financial condition, operating results, and prospects. In addition, litigation can involve significant management time and attention, and the cost of litigation can be expensive, regardless of outcome.</w:t>
      </w:r>
    </w:p>
    <w:p>
      <w:pPr>
        <w:spacing w:after="0" w:line="128" w:lineRule="exact"/>
        <w:rPr>
          <w:sz w:val="20"/>
          <w:szCs w:val="20"/>
          <w:color w:val="auto"/>
        </w:rPr>
      </w:pPr>
    </w:p>
    <w:p>
      <w:pPr>
        <w:ind w:left="2060"/>
        <w:spacing w:after="0"/>
        <w:rPr>
          <w:sz w:val="20"/>
          <w:szCs w:val="20"/>
          <w:color w:val="auto"/>
        </w:rPr>
      </w:pPr>
      <w:r>
        <w:rPr>
          <w:rFonts w:ascii="Arial" w:cs="Arial" w:eastAsia="Arial" w:hAnsi="Arial"/>
          <w:sz w:val="11"/>
          <w:szCs w:val="11"/>
          <w:b w:val="1"/>
          <w:bCs w:val="1"/>
          <w:i w:val="1"/>
          <w:iCs w:val="1"/>
          <w:color w:val="auto"/>
        </w:rPr>
        <w:t>Other</w:t>
      </w:r>
    </w:p>
    <w:p>
      <w:pPr>
        <w:spacing w:after="0" w:line="12" w:lineRule="exact"/>
        <w:rPr>
          <w:sz w:val="20"/>
          <w:szCs w:val="20"/>
          <w:color w:val="auto"/>
        </w:rPr>
      </w:pPr>
    </w:p>
    <w:p>
      <w:pPr>
        <w:jc w:val="both"/>
        <w:ind w:left="2060" w:right="839"/>
        <w:spacing w:after="0" w:line="242" w:lineRule="auto"/>
        <w:rPr>
          <w:sz w:val="20"/>
          <w:szCs w:val="20"/>
          <w:color w:val="auto"/>
        </w:rPr>
      </w:pPr>
      <w:r>
        <w:rPr>
          <w:rFonts w:ascii="Arial" w:cs="Arial" w:eastAsia="Arial" w:hAnsi="Arial"/>
          <w:sz w:val="11"/>
          <w:szCs w:val="11"/>
          <w:color w:val="050505"/>
        </w:rPr>
        <w:t>We are and, from time to time, we may become involved in legal proceedings or be subject to claims arising in the ordinary course of our business. We are not presently a party to any other legal proceedings that in the opinion of our management, if determined adversely to us, would individually or taken together have a material adverse effect on our business, operating results, financial condition, or cash flows.</w:t>
      </w:r>
    </w:p>
    <w:p>
      <w:pPr>
        <w:spacing w:after="0" w:line="95" w:lineRule="exact"/>
        <w:rPr>
          <w:sz w:val="20"/>
          <w:szCs w:val="20"/>
          <w:color w:val="auto"/>
        </w:rPr>
      </w:pPr>
    </w:p>
    <w:p>
      <w:pPr>
        <w:ind w:left="5640"/>
        <w:spacing w:after="0"/>
        <w:rPr>
          <w:sz w:val="20"/>
          <w:szCs w:val="20"/>
          <w:color w:val="auto"/>
        </w:rPr>
      </w:pPr>
      <w:r>
        <w:rPr>
          <w:rFonts w:ascii="Arial" w:cs="Arial" w:eastAsia="Arial" w:hAnsi="Arial"/>
          <w:sz w:val="11"/>
          <w:szCs w:val="11"/>
          <w:color w:val="050505"/>
        </w:rPr>
        <w:t>112</w:t>
      </w:r>
    </w:p>
    <w:p>
      <w:pPr>
        <w:sectPr>
          <w:pgSz w:w="11900" w:h="16838" w:orient="portrait"/>
          <w:cols w:equalWidth="0" w:num="1">
            <w:col w:w="10239"/>
          </w:cols>
          <w:pgMar w:left="220" w:top="354" w:right="1440" w:bottom="1440" w:gutter="0" w:footer="0" w:header="0"/>
        </w:sectPr>
      </w:pPr>
    </w:p>
    <w:bookmarkStart w:id="122" w:name="page123"/>
    <w:bookmarkEnd w:id="122"/>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hyperlink w:anchor="page5">
        <w:r>
          <w:rPr>
            <w:rFonts w:ascii="Arial" w:cs="Arial" w:eastAsia="Arial" w:hAnsi="Arial"/>
            <w:sz w:val="12"/>
            <w:szCs w:val="12"/>
            <w:b w:val="1"/>
            <w:bCs w:val="1"/>
            <w:u w:val="single" w:color="auto"/>
            <w:color w:val="0000EE"/>
          </w:rPr>
          <w:t>Table of Contents</w:t>
        </w:r>
      </w:hyperlink>
    </w:p>
    <w:p>
      <w:pPr>
        <w:spacing w:after="0" w:line="200" w:lineRule="exact"/>
        <w:rPr>
          <w:sz w:val="20"/>
          <w:szCs w:val="20"/>
          <w:color w:val="auto"/>
        </w:rPr>
      </w:pPr>
    </w:p>
    <w:p>
      <w:pPr>
        <w:ind w:left="5300"/>
        <w:spacing w:after="0"/>
        <w:rPr>
          <w:sz w:val="20"/>
          <w:szCs w:val="20"/>
          <w:color w:val="auto"/>
        </w:rPr>
      </w:pPr>
      <w:r>
        <w:rPr>
          <w:rFonts w:ascii="Arial" w:cs="Arial" w:eastAsia="Arial" w:hAnsi="Arial"/>
          <w:sz w:val="12"/>
          <w:szCs w:val="12"/>
          <w:b w:val="1"/>
          <w:bCs w:val="1"/>
          <w:color w:val="auto"/>
        </w:rPr>
        <w:t>MANAGEMENT</w:t>
      </w:r>
    </w:p>
    <w:p>
      <w:pPr>
        <w:spacing w:after="0" w:line="145" w:lineRule="exact"/>
        <w:rPr>
          <w:sz w:val="20"/>
          <w:szCs w:val="20"/>
          <w:color w:val="auto"/>
        </w:rPr>
      </w:pPr>
    </w:p>
    <w:p>
      <w:pPr>
        <w:ind w:left="2060"/>
        <w:spacing w:after="0"/>
        <w:rPr>
          <w:sz w:val="20"/>
          <w:szCs w:val="20"/>
          <w:color w:val="auto"/>
        </w:rPr>
      </w:pPr>
      <w:r>
        <w:rPr>
          <w:rFonts w:ascii="Arial" w:cs="Arial" w:eastAsia="Arial" w:hAnsi="Arial"/>
          <w:sz w:val="11"/>
          <w:szCs w:val="11"/>
          <w:b w:val="1"/>
          <w:bCs w:val="1"/>
          <w:u w:val="single" w:color="auto"/>
          <w:color w:val="auto"/>
        </w:rPr>
        <w:t>Executive Officers and Non-Employee Directors</w:t>
      </w:r>
    </w:p>
    <w:p>
      <w:pPr>
        <w:spacing w:after="0" w:line="12" w:lineRule="exact"/>
        <w:rPr>
          <w:sz w:val="20"/>
          <w:szCs w:val="20"/>
          <w:color w:val="auto"/>
        </w:rPr>
      </w:pPr>
    </w:p>
    <w:p>
      <w:pPr>
        <w:ind w:left="2060"/>
        <w:spacing w:after="0"/>
        <w:rPr>
          <w:sz w:val="20"/>
          <w:szCs w:val="20"/>
          <w:color w:val="auto"/>
        </w:rPr>
      </w:pPr>
      <w:r>
        <w:rPr>
          <w:rFonts w:ascii="Arial" w:cs="Arial" w:eastAsia="Arial" w:hAnsi="Arial"/>
          <w:sz w:val="11"/>
          <w:szCs w:val="11"/>
          <w:color w:val="050505"/>
        </w:rPr>
        <w:t>The following table provides information regarding our executive officers and directors as of June 30, 2019.</w:t>
      </w:r>
    </w:p>
    <w:p>
      <w:pPr>
        <w:spacing w:after="0" w:line="150" w:lineRule="exact"/>
        <w:rPr>
          <w:sz w:val="20"/>
          <w:szCs w:val="20"/>
          <w:color w:val="auto"/>
        </w:rPr>
      </w:pPr>
    </w:p>
    <w:tbl>
      <w:tblPr>
        <w:tblLayout w:type="fixed"/>
        <w:tblInd w:w="2060" w:type="dxa"/>
        <w:tblCellMar>
          <w:top w:w="0" w:type="dxa"/>
          <w:left w:w="0" w:type="dxa"/>
          <w:bottom w:w="0" w:type="dxa"/>
          <w:right w:w="0" w:type="dxa"/>
        </w:tblCellMar>
      </w:tblPr>
      <w:tr>
        <w:trPr>
          <w:trHeight w:val="146"/>
        </w:trPr>
        <w:tc>
          <w:tcPr>
            <w:tcW w:w="2180" w:type="dxa"/>
            <w:vAlign w:val="bottom"/>
          </w:tcPr>
          <w:p>
            <w:pPr>
              <w:ind w:left="1020"/>
              <w:spacing w:after="0"/>
              <w:rPr>
                <w:sz w:val="20"/>
                <w:szCs w:val="20"/>
                <w:color w:val="auto"/>
              </w:rPr>
            </w:pPr>
            <w:r>
              <w:rPr>
                <w:rFonts w:ascii="Arial" w:cs="Arial" w:eastAsia="Arial" w:hAnsi="Arial"/>
                <w:sz w:val="11"/>
                <w:szCs w:val="11"/>
                <w:b w:val="1"/>
                <w:bCs w:val="1"/>
                <w:color w:val="050505"/>
              </w:rPr>
              <w:t>Name</w:t>
            </w:r>
          </w:p>
        </w:tc>
        <w:tc>
          <w:tcPr>
            <w:tcW w:w="340" w:type="dxa"/>
            <w:vAlign w:val="bottom"/>
            <w:gridSpan w:val="2"/>
          </w:tcPr>
          <w:p>
            <w:pPr>
              <w:jc w:val="right"/>
              <w:spacing w:after="0"/>
              <w:rPr>
                <w:sz w:val="20"/>
                <w:szCs w:val="20"/>
                <w:color w:val="auto"/>
              </w:rPr>
            </w:pPr>
            <w:r>
              <w:rPr>
                <w:rFonts w:ascii="Arial" w:cs="Arial" w:eastAsia="Arial" w:hAnsi="Arial"/>
                <w:sz w:val="11"/>
                <w:szCs w:val="11"/>
                <w:b w:val="1"/>
                <w:bCs w:val="1"/>
                <w:color w:val="050505"/>
              </w:rPr>
              <w:t>Age</w:t>
            </w:r>
          </w:p>
        </w:tc>
        <w:tc>
          <w:tcPr>
            <w:tcW w:w="180" w:type="dxa"/>
            <w:vAlign w:val="bottom"/>
          </w:tcPr>
          <w:p>
            <w:pPr>
              <w:spacing w:after="0"/>
              <w:rPr>
                <w:sz w:val="12"/>
                <w:szCs w:val="12"/>
                <w:color w:val="auto"/>
              </w:rPr>
            </w:pPr>
          </w:p>
        </w:tc>
        <w:tc>
          <w:tcPr>
            <w:tcW w:w="4660" w:type="dxa"/>
            <w:vAlign w:val="bottom"/>
          </w:tcPr>
          <w:p>
            <w:pPr>
              <w:ind w:left="2040"/>
              <w:spacing w:after="0"/>
              <w:rPr>
                <w:sz w:val="20"/>
                <w:szCs w:val="20"/>
                <w:color w:val="auto"/>
              </w:rPr>
            </w:pPr>
            <w:r>
              <w:rPr>
                <w:rFonts w:ascii="Arial" w:cs="Arial" w:eastAsia="Arial" w:hAnsi="Arial"/>
                <w:sz w:val="11"/>
                <w:szCs w:val="11"/>
                <w:b w:val="1"/>
                <w:bCs w:val="1"/>
                <w:color w:val="050505"/>
              </w:rPr>
              <w:t>Position(s)</w:t>
            </w:r>
          </w:p>
        </w:tc>
      </w:tr>
      <w:tr>
        <w:trPr>
          <w:trHeight w:val="116"/>
        </w:trPr>
        <w:tc>
          <w:tcPr>
            <w:tcW w:w="2180" w:type="dxa"/>
            <w:vAlign w:val="bottom"/>
            <w:tcBorders>
              <w:top w:val="single" w:sz="8" w:color="050505"/>
            </w:tcBorders>
          </w:tcPr>
          <w:p>
            <w:pPr>
              <w:ind w:left="60"/>
              <w:spacing w:after="0" w:line="116" w:lineRule="exact"/>
              <w:rPr>
                <w:sz w:val="20"/>
                <w:szCs w:val="20"/>
                <w:color w:val="auto"/>
              </w:rPr>
            </w:pPr>
            <w:r>
              <w:rPr>
                <w:rFonts w:ascii="Arial" w:cs="Arial" w:eastAsia="Arial" w:hAnsi="Arial"/>
                <w:sz w:val="11"/>
                <w:szCs w:val="11"/>
                <w:b w:val="1"/>
                <w:bCs w:val="1"/>
                <w:i w:val="1"/>
                <w:iCs w:val="1"/>
                <w:color w:val="050505"/>
              </w:rPr>
              <w:t>Executive Officers:</w:t>
            </w:r>
          </w:p>
        </w:tc>
        <w:tc>
          <w:tcPr>
            <w:tcW w:w="140" w:type="dxa"/>
            <w:vAlign w:val="bottom"/>
          </w:tcPr>
          <w:p>
            <w:pPr>
              <w:spacing w:after="0"/>
              <w:rPr>
                <w:sz w:val="10"/>
                <w:szCs w:val="10"/>
                <w:color w:val="auto"/>
              </w:rPr>
            </w:pPr>
          </w:p>
        </w:tc>
        <w:tc>
          <w:tcPr>
            <w:tcW w:w="200" w:type="dxa"/>
            <w:vAlign w:val="bottom"/>
            <w:tcBorders>
              <w:top w:val="single" w:sz="8" w:color="050505"/>
            </w:tcBorders>
          </w:tcPr>
          <w:p>
            <w:pPr>
              <w:spacing w:after="0"/>
              <w:rPr>
                <w:sz w:val="10"/>
                <w:szCs w:val="10"/>
                <w:color w:val="auto"/>
              </w:rPr>
            </w:pPr>
          </w:p>
        </w:tc>
        <w:tc>
          <w:tcPr>
            <w:tcW w:w="180" w:type="dxa"/>
            <w:vAlign w:val="bottom"/>
          </w:tcPr>
          <w:p>
            <w:pPr>
              <w:spacing w:after="0"/>
              <w:rPr>
                <w:sz w:val="10"/>
                <w:szCs w:val="10"/>
                <w:color w:val="auto"/>
              </w:rPr>
            </w:pPr>
          </w:p>
        </w:tc>
        <w:tc>
          <w:tcPr>
            <w:tcW w:w="4660" w:type="dxa"/>
            <w:vAlign w:val="bottom"/>
            <w:tcBorders>
              <w:top w:val="single" w:sz="8" w:color="050505"/>
            </w:tcBorders>
          </w:tcPr>
          <w:p>
            <w:pPr>
              <w:spacing w:after="0"/>
              <w:rPr>
                <w:sz w:val="10"/>
                <w:szCs w:val="10"/>
                <w:color w:val="auto"/>
              </w:rPr>
            </w:pPr>
          </w:p>
        </w:tc>
      </w:tr>
      <w:tr>
        <w:trPr>
          <w:trHeight w:val="126"/>
        </w:trPr>
        <w:tc>
          <w:tcPr>
            <w:tcW w:w="2180" w:type="dxa"/>
            <w:vAlign w:val="bottom"/>
          </w:tcPr>
          <w:p>
            <w:pPr>
              <w:ind w:left="60"/>
              <w:spacing w:after="0"/>
              <w:rPr>
                <w:sz w:val="20"/>
                <w:szCs w:val="20"/>
                <w:color w:val="auto"/>
              </w:rPr>
            </w:pPr>
            <w:r>
              <w:rPr>
                <w:rFonts w:ascii="Arial" w:cs="Arial" w:eastAsia="Arial" w:hAnsi="Arial"/>
                <w:sz w:val="11"/>
                <w:szCs w:val="11"/>
                <w:color w:val="050505"/>
              </w:rPr>
              <w:t>John Foley</w:t>
            </w:r>
          </w:p>
        </w:tc>
        <w:tc>
          <w:tcPr>
            <w:tcW w:w="340" w:type="dxa"/>
            <w:vAlign w:val="bottom"/>
            <w:gridSpan w:val="2"/>
          </w:tcPr>
          <w:p>
            <w:pPr>
              <w:jc w:val="right"/>
              <w:spacing w:after="0"/>
              <w:rPr>
                <w:sz w:val="20"/>
                <w:szCs w:val="20"/>
                <w:color w:val="auto"/>
              </w:rPr>
            </w:pPr>
            <w:r>
              <w:rPr>
                <w:rFonts w:ascii="Arial" w:cs="Arial" w:eastAsia="Arial" w:hAnsi="Arial"/>
                <w:sz w:val="11"/>
                <w:szCs w:val="11"/>
                <w:color w:val="050505"/>
              </w:rPr>
              <w:t>48</w:t>
            </w:r>
          </w:p>
        </w:tc>
        <w:tc>
          <w:tcPr>
            <w:tcW w:w="4840" w:type="dxa"/>
            <w:vAlign w:val="bottom"/>
            <w:gridSpan w:val="2"/>
          </w:tcPr>
          <w:p>
            <w:pPr>
              <w:ind w:left="180"/>
              <w:spacing w:after="0"/>
              <w:rPr>
                <w:sz w:val="20"/>
                <w:szCs w:val="20"/>
                <w:color w:val="auto"/>
              </w:rPr>
            </w:pPr>
            <w:r>
              <w:rPr>
                <w:rFonts w:ascii="Arial" w:cs="Arial" w:eastAsia="Arial" w:hAnsi="Arial"/>
                <w:sz w:val="11"/>
                <w:szCs w:val="11"/>
                <w:color w:val="050505"/>
              </w:rPr>
              <w:t>Chairman of the Board of Directors and Chief Executive Officer</w:t>
            </w:r>
          </w:p>
        </w:tc>
      </w:tr>
      <w:tr>
        <w:trPr>
          <w:trHeight w:val="126"/>
        </w:trPr>
        <w:tc>
          <w:tcPr>
            <w:tcW w:w="2180" w:type="dxa"/>
            <w:vAlign w:val="bottom"/>
          </w:tcPr>
          <w:p>
            <w:pPr>
              <w:ind w:left="60"/>
              <w:spacing w:after="0"/>
              <w:rPr>
                <w:sz w:val="20"/>
                <w:szCs w:val="20"/>
                <w:color w:val="auto"/>
              </w:rPr>
            </w:pPr>
            <w:r>
              <w:rPr>
                <w:rFonts w:ascii="Arial" w:cs="Arial" w:eastAsia="Arial" w:hAnsi="Arial"/>
                <w:sz w:val="11"/>
                <w:szCs w:val="11"/>
                <w:color w:val="050505"/>
              </w:rPr>
              <w:t>William Lynch</w:t>
            </w:r>
          </w:p>
        </w:tc>
        <w:tc>
          <w:tcPr>
            <w:tcW w:w="340" w:type="dxa"/>
            <w:vAlign w:val="bottom"/>
            <w:gridSpan w:val="2"/>
          </w:tcPr>
          <w:p>
            <w:pPr>
              <w:jc w:val="right"/>
              <w:spacing w:after="0"/>
              <w:rPr>
                <w:sz w:val="20"/>
                <w:szCs w:val="20"/>
                <w:color w:val="auto"/>
              </w:rPr>
            </w:pPr>
            <w:r>
              <w:rPr>
                <w:rFonts w:ascii="Arial" w:cs="Arial" w:eastAsia="Arial" w:hAnsi="Arial"/>
                <w:sz w:val="11"/>
                <w:szCs w:val="11"/>
                <w:color w:val="050505"/>
              </w:rPr>
              <w:t>49</w:t>
            </w:r>
          </w:p>
        </w:tc>
        <w:tc>
          <w:tcPr>
            <w:tcW w:w="4840" w:type="dxa"/>
            <w:vAlign w:val="bottom"/>
            <w:gridSpan w:val="2"/>
          </w:tcPr>
          <w:p>
            <w:pPr>
              <w:ind w:left="180"/>
              <w:spacing w:after="0"/>
              <w:rPr>
                <w:sz w:val="20"/>
                <w:szCs w:val="20"/>
                <w:color w:val="auto"/>
              </w:rPr>
            </w:pPr>
            <w:r>
              <w:rPr>
                <w:rFonts w:ascii="Arial" w:cs="Arial" w:eastAsia="Arial" w:hAnsi="Arial"/>
                <w:sz w:val="11"/>
                <w:szCs w:val="11"/>
                <w:color w:val="050505"/>
              </w:rPr>
              <w:t>President and Director</w:t>
            </w:r>
          </w:p>
        </w:tc>
      </w:tr>
      <w:tr>
        <w:trPr>
          <w:trHeight w:val="126"/>
        </w:trPr>
        <w:tc>
          <w:tcPr>
            <w:tcW w:w="2180" w:type="dxa"/>
            <w:vAlign w:val="bottom"/>
          </w:tcPr>
          <w:p>
            <w:pPr>
              <w:ind w:left="60"/>
              <w:spacing w:after="0"/>
              <w:rPr>
                <w:sz w:val="20"/>
                <w:szCs w:val="20"/>
                <w:color w:val="auto"/>
              </w:rPr>
            </w:pPr>
            <w:r>
              <w:rPr>
                <w:rFonts w:ascii="Arial" w:cs="Arial" w:eastAsia="Arial" w:hAnsi="Arial"/>
                <w:sz w:val="11"/>
                <w:szCs w:val="11"/>
                <w:color w:val="050505"/>
              </w:rPr>
              <w:t>Jill Woodworth</w:t>
            </w:r>
          </w:p>
        </w:tc>
        <w:tc>
          <w:tcPr>
            <w:tcW w:w="340" w:type="dxa"/>
            <w:vAlign w:val="bottom"/>
            <w:gridSpan w:val="2"/>
          </w:tcPr>
          <w:p>
            <w:pPr>
              <w:jc w:val="right"/>
              <w:spacing w:after="0"/>
              <w:rPr>
                <w:sz w:val="20"/>
                <w:szCs w:val="20"/>
                <w:color w:val="auto"/>
              </w:rPr>
            </w:pPr>
            <w:r>
              <w:rPr>
                <w:rFonts w:ascii="Arial" w:cs="Arial" w:eastAsia="Arial" w:hAnsi="Arial"/>
                <w:sz w:val="11"/>
                <w:szCs w:val="11"/>
                <w:color w:val="050505"/>
              </w:rPr>
              <w:t>47</w:t>
            </w:r>
          </w:p>
        </w:tc>
        <w:tc>
          <w:tcPr>
            <w:tcW w:w="4840" w:type="dxa"/>
            <w:vAlign w:val="bottom"/>
            <w:gridSpan w:val="2"/>
          </w:tcPr>
          <w:p>
            <w:pPr>
              <w:ind w:left="180"/>
              <w:spacing w:after="0"/>
              <w:rPr>
                <w:sz w:val="20"/>
                <w:szCs w:val="20"/>
                <w:color w:val="auto"/>
              </w:rPr>
            </w:pPr>
            <w:r>
              <w:rPr>
                <w:rFonts w:ascii="Arial" w:cs="Arial" w:eastAsia="Arial" w:hAnsi="Arial"/>
                <w:sz w:val="11"/>
                <w:szCs w:val="11"/>
                <w:color w:val="050505"/>
              </w:rPr>
              <w:t>Chief Financial Officer</w:t>
            </w:r>
          </w:p>
        </w:tc>
      </w:tr>
      <w:tr>
        <w:trPr>
          <w:trHeight w:val="126"/>
        </w:trPr>
        <w:tc>
          <w:tcPr>
            <w:tcW w:w="2180" w:type="dxa"/>
            <w:vAlign w:val="bottom"/>
          </w:tcPr>
          <w:p>
            <w:pPr>
              <w:ind w:left="60"/>
              <w:spacing w:after="0"/>
              <w:rPr>
                <w:sz w:val="20"/>
                <w:szCs w:val="20"/>
                <w:color w:val="auto"/>
              </w:rPr>
            </w:pPr>
            <w:r>
              <w:rPr>
                <w:rFonts w:ascii="Arial" w:cs="Arial" w:eastAsia="Arial" w:hAnsi="Arial"/>
                <w:sz w:val="11"/>
                <w:szCs w:val="11"/>
                <w:color w:val="050505"/>
              </w:rPr>
              <w:t>Thomas Cortese</w:t>
            </w:r>
          </w:p>
        </w:tc>
        <w:tc>
          <w:tcPr>
            <w:tcW w:w="340" w:type="dxa"/>
            <w:vAlign w:val="bottom"/>
            <w:gridSpan w:val="2"/>
          </w:tcPr>
          <w:p>
            <w:pPr>
              <w:jc w:val="right"/>
              <w:spacing w:after="0"/>
              <w:rPr>
                <w:sz w:val="20"/>
                <w:szCs w:val="20"/>
                <w:color w:val="auto"/>
              </w:rPr>
            </w:pPr>
            <w:r>
              <w:rPr>
                <w:rFonts w:ascii="Arial" w:cs="Arial" w:eastAsia="Arial" w:hAnsi="Arial"/>
                <w:sz w:val="11"/>
                <w:szCs w:val="11"/>
                <w:color w:val="050505"/>
              </w:rPr>
              <w:t>39</w:t>
            </w:r>
          </w:p>
        </w:tc>
        <w:tc>
          <w:tcPr>
            <w:tcW w:w="4840" w:type="dxa"/>
            <w:vAlign w:val="bottom"/>
            <w:gridSpan w:val="2"/>
          </w:tcPr>
          <w:p>
            <w:pPr>
              <w:ind w:left="180"/>
              <w:spacing w:after="0"/>
              <w:rPr>
                <w:sz w:val="20"/>
                <w:szCs w:val="20"/>
                <w:color w:val="auto"/>
              </w:rPr>
            </w:pPr>
            <w:r>
              <w:rPr>
                <w:rFonts w:ascii="Arial" w:cs="Arial" w:eastAsia="Arial" w:hAnsi="Arial"/>
                <w:sz w:val="11"/>
                <w:szCs w:val="11"/>
                <w:color w:val="050505"/>
              </w:rPr>
              <w:t>Chief Operating Officer and Head of Product Development</w:t>
            </w:r>
          </w:p>
        </w:tc>
      </w:tr>
      <w:tr>
        <w:trPr>
          <w:trHeight w:val="114"/>
        </w:trPr>
        <w:tc>
          <w:tcPr>
            <w:tcW w:w="2180" w:type="dxa"/>
            <w:vAlign w:val="bottom"/>
          </w:tcPr>
          <w:p>
            <w:pPr>
              <w:ind w:left="60"/>
              <w:spacing w:after="0" w:line="114" w:lineRule="exact"/>
              <w:rPr>
                <w:sz w:val="20"/>
                <w:szCs w:val="20"/>
                <w:color w:val="auto"/>
              </w:rPr>
            </w:pPr>
            <w:r>
              <w:rPr>
                <w:rFonts w:ascii="Arial" w:cs="Arial" w:eastAsia="Arial" w:hAnsi="Arial"/>
                <w:sz w:val="11"/>
                <w:szCs w:val="11"/>
                <w:color w:val="050505"/>
              </w:rPr>
              <w:t>Hisao Kushi</w:t>
            </w:r>
          </w:p>
        </w:tc>
        <w:tc>
          <w:tcPr>
            <w:tcW w:w="340" w:type="dxa"/>
            <w:vAlign w:val="bottom"/>
            <w:gridSpan w:val="2"/>
          </w:tcPr>
          <w:p>
            <w:pPr>
              <w:jc w:val="right"/>
              <w:spacing w:after="0" w:line="114" w:lineRule="exact"/>
              <w:rPr>
                <w:sz w:val="20"/>
                <w:szCs w:val="20"/>
                <w:color w:val="auto"/>
              </w:rPr>
            </w:pPr>
            <w:r>
              <w:rPr>
                <w:rFonts w:ascii="Arial" w:cs="Arial" w:eastAsia="Arial" w:hAnsi="Arial"/>
                <w:sz w:val="11"/>
                <w:szCs w:val="11"/>
                <w:color w:val="050505"/>
              </w:rPr>
              <w:t>54</w:t>
            </w:r>
          </w:p>
        </w:tc>
        <w:tc>
          <w:tcPr>
            <w:tcW w:w="4840" w:type="dxa"/>
            <w:vAlign w:val="bottom"/>
            <w:gridSpan w:val="2"/>
          </w:tcPr>
          <w:p>
            <w:pPr>
              <w:ind w:left="180"/>
              <w:spacing w:after="0" w:line="114" w:lineRule="exact"/>
              <w:rPr>
                <w:sz w:val="20"/>
                <w:szCs w:val="20"/>
                <w:color w:val="auto"/>
              </w:rPr>
            </w:pPr>
            <w:r>
              <w:rPr>
                <w:rFonts w:ascii="Arial" w:cs="Arial" w:eastAsia="Arial" w:hAnsi="Arial"/>
                <w:sz w:val="11"/>
                <w:szCs w:val="11"/>
                <w:color w:val="050505"/>
              </w:rPr>
              <w:t>Chief Legal Officer and Secretary</w:t>
            </w:r>
          </w:p>
        </w:tc>
      </w:tr>
      <w:tr>
        <w:trPr>
          <w:trHeight w:val="135"/>
        </w:trPr>
        <w:tc>
          <w:tcPr>
            <w:tcW w:w="2180" w:type="dxa"/>
            <w:vAlign w:val="bottom"/>
          </w:tcPr>
          <w:p>
            <w:pPr>
              <w:ind w:left="60"/>
              <w:spacing w:after="0"/>
              <w:rPr>
                <w:sz w:val="20"/>
                <w:szCs w:val="20"/>
                <w:color w:val="auto"/>
              </w:rPr>
            </w:pPr>
            <w:r>
              <w:rPr>
                <w:rFonts w:ascii="Arial" w:cs="Arial" w:eastAsia="Arial" w:hAnsi="Arial"/>
                <w:sz w:val="11"/>
                <w:szCs w:val="11"/>
                <w:b w:val="1"/>
                <w:bCs w:val="1"/>
                <w:i w:val="1"/>
                <w:iCs w:val="1"/>
                <w:color w:val="050505"/>
              </w:rPr>
              <w:t>Non-Employee Directors:</w:t>
            </w: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60" w:type="dxa"/>
            <w:vAlign w:val="bottom"/>
          </w:tcPr>
          <w:p>
            <w:pPr>
              <w:spacing w:after="0"/>
              <w:rPr>
                <w:sz w:val="11"/>
                <w:szCs w:val="11"/>
                <w:color w:val="auto"/>
              </w:rPr>
            </w:pPr>
          </w:p>
        </w:tc>
      </w:tr>
      <w:tr>
        <w:trPr>
          <w:trHeight w:val="126"/>
        </w:trPr>
        <w:tc>
          <w:tcPr>
            <w:tcW w:w="2180" w:type="dxa"/>
            <w:vAlign w:val="bottom"/>
          </w:tcPr>
          <w:p>
            <w:pPr>
              <w:ind w:left="60"/>
              <w:spacing w:after="0" w:line="126" w:lineRule="exact"/>
              <w:rPr>
                <w:sz w:val="20"/>
                <w:szCs w:val="20"/>
                <w:color w:val="auto"/>
              </w:rPr>
            </w:pPr>
            <w:r>
              <w:rPr>
                <w:rFonts w:ascii="Arial" w:cs="Arial" w:eastAsia="Arial" w:hAnsi="Arial"/>
                <w:sz w:val="9"/>
                <w:szCs w:val="9"/>
                <w:color w:val="050505"/>
              </w:rPr>
              <w:t>Erik Blachford</w:t>
            </w:r>
            <w:r>
              <w:rPr>
                <w:rFonts w:ascii="Arial" w:cs="Arial" w:eastAsia="Arial" w:hAnsi="Arial"/>
                <w:sz w:val="14"/>
                <w:szCs w:val="14"/>
                <w:color w:val="050505"/>
                <w:vertAlign w:val="superscript"/>
              </w:rPr>
              <w:t>(1)(3)*</w:t>
            </w:r>
          </w:p>
        </w:tc>
        <w:tc>
          <w:tcPr>
            <w:tcW w:w="340" w:type="dxa"/>
            <w:vAlign w:val="bottom"/>
            <w:gridSpan w:val="2"/>
          </w:tcPr>
          <w:p>
            <w:pPr>
              <w:jc w:val="right"/>
              <w:spacing w:after="0"/>
              <w:rPr>
                <w:sz w:val="20"/>
                <w:szCs w:val="20"/>
                <w:color w:val="auto"/>
              </w:rPr>
            </w:pPr>
            <w:r>
              <w:rPr>
                <w:rFonts w:ascii="Arial" w:cs="Arial" w:eastAsia="Arial" w:hAnsi="Arial"/>
                <w:sz w:val="11"/>
                <w:szCs w:val="11"/>
                <w:color w:val="050505"/>
              </w:rPr>
              <w:t>52</w:t>
            </w:r>
          </w:p>
        </w:tc>
        <w:tc>
          <w:tcPr>
            <w:tcW w:w="4840" w:type="dxa"/>
            <w:vAlign w:val="bottom"/>
            <w:gridSpan w:val="2"/>
          </w:tcPr>
          <w:p>
            <w:pPr>
              <w:ind w:left="180"/>
              <w:spacing w:after="0"/>
              <w:rPr>
                <w:sz w:val="20"/>
                <w:szCs w:val="20"/>
                <w:color w:val="auto"/>
              </w:rPr>
            </w:pPr>
            <w:r>
              <w:rPr>
                <w:rFonts w:ascii="Arial" w:cs="Arial" w:eastAsia="Arial" w:hAnsi="Arial"/>
                <w:sz w:val="11"/>
                <w:szCs w:val="11"/>
                <w:color w:val="050505"/>
              </w:rPr>
              <w:t>Director</w:t>
            </w:r>
          </w:p>
        </w:tc>
      </w:tr>
      <w:tr>
        <w:trPr>
          <w:trHeight w:val="126"/>
        </w:trPr>
        <w:tc>
          <w:tcPr>
            <w:tcW w:w="2180" w:type="dxa"/>
            <w:vAlign w:val="bottom"/>
          </w:tcPr>
          <w:p>
            <w:pPr>
              <w:ind w:left="60"/>
              <w:spacing w:after="0" w:line="126" w:lineRule="exact"/>
              <w:rPr>
                <w:sz w:val="20"/>
                <w:szCs w:val="20"/>
                <w:color w:val="auto"/>
              </w:rPr>
            </w:pPr>
            <w:r>
              <w:rPr>
                <w:rFonts w:ascii="Arial" w:cs="Arial" w:eastAsia="Arial" w:hAnsi="Arial"/>
                <w:sz w:val="9"/>
                <w:szCs w:val="9"/>
                <w:color w:val="050505"/>
              </w:rPr>
              <w:t>Karen Boone</w:t>
            </w:r>
            <w:r>
              <w:rPr>
                <w:rFonts w:ascii="Arial" w:cs="Arial" w:eastAsia="Arial" w:hAnsi="Arial"/>
                <w:sz w:val="14"/>
                <w:szCs w:val="14"/>
                <w:color w:val="050505"/>
                <w:vertAlign w:val="superscript"/>
              </w:rPr>
              <w:t>(2)</w:t>
            </w:r>
          </w:p>
        </w:tc>
        <w:tc>
          <w:tcPr>
            <w:tcW w:w="340" w:type="dxa"/>
            <w:vAlign w:val="bottom"/>
            <w:gridSpan w:val="2"/>
          </w:tcPr>
          <w:p>
            <w:pPr>
              <w:jc w:val="right"/>
              <w:spacing w:after="0"/>
              <w:rPr>
                <w:sz w:val="20"/>
                <w:szCs w:val="20"/>
                <w:color w:val="auto"/>
              </w:rPr>
            </w:pPr>
            <w:r>
              <w:rPr>
                <w:rFonts w:ascii="Arial" w:cs="Arial" w:eastAsia="Arial" w:hAnsi="Arial"/>
                <w:sz w:val="11"/>
                <w:szCs w:val="11"/>
                <w:color w:val="050505"/>
              </w:rPr>
              <w:t>45</w:t>
            </w:r>
          </w:p>
        </w:tc>
        <w:tc>
          <w:tcPr>
            <w:tcW w:w="4840" w:type="dxa"/>
            <w:vAlign w:val="bottom"/>
            <w:gridSpan w:val="2"/>
          </w:tcPr>
          <w:p>
            <w:pPr>
              <w:ind w:left="180"/>
              <w:spacing w:after="0"/>
              <w:rPr>
                <w:sz w:val="20"/>
                <w:szCs w:val="20"/>
                <w:color w:val="auto"/>
              </w:rPr>
            </w:pPr>
            <w:r>
              <w:rPr>
                <w:rFonts w:ascii="Arial" w:cs="Arial" w:eastAsia="Arial" w:hAnsi="Arial"/>
                <w:sz w:val="11"/>
                <w:szCs w:val="11"/>
                <w:color w:val="050505"/>
              </w:rPr>
              <w:t>Director</w:t>
            </w:r>
          </w:p>
        </w:tc>
      </w:tr>
      <w:tr>
        <w:trPr>
          <w:trHeight w:val="126"/>
        </w:trPr>
        <w:tc>
          <w:tcPr>
            <w:tcW w:w="2180" w:type="dxa"/>
            <w:vAlign w:val="bottom"/>
          </w:tcPr>
          <w:p>
            <w:pPr>
              <w:ind w:left="60"/>
              <w:spacing w:after="0" w:line="126" w:lineRule="exact"/>
              <w:rPr>
                <w:sz w:val="20"/>
                <w:szCs w:val="20"/>
                <w:color w:val="auto"/>
              </w:rPr>
            </w:pPr>
            <w:r>
              <w:rPr>
                <w:rFonts w:ascii="Arial" w:cs="Arial" w:eastAsia="Arial" w:hAnsi="Arial"/>
                <w:sz w:val="9"/>
                <w:szCs w:val="9"/>
                <w:color w:val="050505"/>
              </w:rPr>
              <w:t>Jon Callaghan</w:t>
            </w:r>
            <w:r>
              <w:rPr>
                <w:rFonts w:ascii="Arial" w:cs="Arial" w:eastAsia="Arial" w:hAnsi="Arial"/>
                <w:sz w:val="14"/>
                <w:szCs w:val="14"/>
                <w:color w:val="050505"/>
                <w:vertAlign w:val="superscript"/>
              </w:rPr>
              <w:t>(1)(2)</w:t>
            </w:r>
          </w:p>
        </w:tc>
        <w:tc>
          <w:tcPr>
            <w:tcW w:w="340" w:type="dxa"/>
            <w:vAlign w:val="bottom"/>
            <w:gridSpan w:val="2"/>
          </w:tcPr>
          <w:p>
            <w:pPr>
              <w:jc w:val="right"/>
              <w:spacing w:after="0"/>
              <w:rPr>
                <w:sz w:val="20"/>
                <w:szCs w:val="20"/>
                <w:color w:val="auto"/>
              </w:rPr>
            </w:pPr>
            <w:r>
              <w:rPr>
                <w:rFonts w:ascii="Arial" w:cs="Arial" w:eastAsia="Arial" w:hAnsi="Arial"/>
                <w:sz w:val="11"/>
                <w:szCs w:val="11"/>
                <w:color w:val="050505"/>
              </w:rPr>
              <w:t>50</w:t>
            </w:r>
          </w:p>
        </w:tc>
        <w:tc>
          <w:tcPr>
            <w:tcW w:w="4840" w:type="dxa"/>
            <w:vAlign w:val="bottom"/>
            <w:gridSpan w:val="2"/>
          </w:tcPr>
          <w:p>
            <w:pPr>
              <w:ind w:left="180"/>
              <w:spacing w:after="0"/>
              <w:rPr>
                <w:sz w:val="20"/>
                <w:szCs w:val="20"/>
                <w:color w:val="auto"/>
              </w:rPr>
            </w:pPr>
            <w:r>
              <w:rPr>
                <w:rFonts w:ascii="Arial" w:cs="Arial" w:eastAsia="Arial" w:hAnsi="Arial"/>
                <w:sz w:val="11"/>
                <w:szCs w:val="11"/>
                <w:color w:val="050505"/>
              </w:rPr>
              <w:t>Director</w:t>
            </w:r>
          </w:p>
        </w:tc>
      </w:tr>
      <w:tr>
        <w:trPr>
          <w:trHeight w:val="126"/>
        </w:trPr>
        <w:tc>
          <w:tcPr>
            <w:tcW w:w="2180" w:type="dxa"/>
            <w:vAlign w:val="bottom"/>
          </w:tcPr>
          <w:p>
            <w:pPr>
              <w:ind w:left="60"/>
              <w:spacing w:after="0" w:line="126" w:lineRule="exact"/>
              <w:rPr>
                <w:sz w:val="20"/>
                <w:szCs w:val="20"/>
                <w:color w:val="auto"/>
              </w:rPr>
            </w:pPr>
            <w:r>
              <w:rPr>
                <w:rFonts w:ascii="Arial" w:cs="Arial" w:eastAsia="Arial" w:hAnsi="Arial"/>
                <w:sz w:val="9"/>
                <w:szCs w:val="9"/>
                <w:color w:val="050505"/>
              </w:rPr>
              <w:t>Howard Draft</w:t>
            </w:r>
            <w:r>
              <w:rPr>
                <w:rFonts w:ascii="Arial" w:cs="Arial" w:eastAsia="Arial" w:hAnsi="Arial"/>
                <w:sz w:val="14"/>
                <w:szCs w:val="14"/>
                <w:color w:val="050505"/>
                <w:vertAlign w:val="superscript"/>
              </w:rPr>
              <w:t>(2)</w:t>
            </w:r>
          </w:p>
        </w:tc>
        <w:tc>
          <w:tcPr>
            <w:tcW w:w="340" w:type="dxa"/>
            <w:vAlign w:val="bottom"/>
            <w:gridSpan w:val="2"/>
          </w:tcPr>
          <w:p>
            <w:pPr>
              <w:jc w:val="right"/>
              <w:spacing w:after="0"/>
              <w:rPr>
                <w:sz w:val="20"/>
                <w:szCs w:val="20"/>
                <w:color w:val="auto"/>
              </w:rPr>
            </w:pPr>
            <w:r>
              <w:rPr>
                <w:rFonts w:ascii="Arial" w:cs="Arial" w:eastAsia="Arial" w:hAnsi="Arial"/>
                <w:sz w:val="11"/>
                <w:szCs w:val="11"/>
                <w:color w:val="050505"/>
              </w:rPr>
              <w:t>65</w:t>
            </w:r>
          </w:p>
        </w:tc>
        <w:tc>
          <w:tcPr>
            <w:tcW w:w="4840" w:type="dxa"/>
            <w:vAlign w:val="bottom"/>
            <w:gridSpan w:val="2"/>
          </w:tcPr>
          <w:p>
            <w:pPr>
              <w:ind w:left="180"/>
              <w:spacing w:after="0"/>
              <w:rPr>
                <w:sz w:val="20"/>
                <w:szCs w:val="20"/>
                <w:color w:val="auto"/>
              </w:rPr>
            </w:pPr>
            <w:r>
              <w:rPr>
                <w:rFonts w:ascii="Arial" w:cs="Arial" w:eastAsia="Arial" w:hAnsi="Arial"/>
                <w:sz w:val="11"/>
                <w:szCs w:val="11"/>
                <w:color w:val="050505"/>
              </w:rPr>
              <w:t>Director</w:t>
            </w:r>
          </w:p>
        </w:tc>
      </w:tr>
      <w:tr>
        <w:trPr>
          <w:trHeight w:val="126"/>
        </w:trPr>
        <w:tc>
          <w:tcPr>
            <w:tcW w:w="2180" w:type="dxa"/>
            <w:vAlign w:val="bottom"/>
          </w:tcPr>
          <w:p>
            <w:pPr>
              <w:ind w:left="60"/>
              <w:spacing w:after="0" w:line="126" w:lineRule="exact"/>
              <w:rPr>
                <w:sz w:val="20"/>
                <w:szCs w:val="20"/>
                <w:color w:val="auto"/>
              </w:rPr>
            </w:pPr>
            <w:r>
              <w:rPr>
                <w:rFonts w:ascii="Arial" w:cs="Arial" w:eastAsia="Arial" w:hAnsi="Arial"/>
                <w:sz w:val="9"/>
                <w:szCs w:val="9"/>
                <w:color w:val="050505"/>
              </w:rPr>
              <w:t>Jay Hoag</w:t>
            </w:r>
            <w:r>
              <w:rPr>
                <w:rFonts w:ascii="Arial" w:cs="Arial" w:eastAsia="Arial" w:hAnsi="Arial"/>
                <w:sz w:val="14"/>
                <w:szCs w:val="14"/>
                <w:color w:val="050505"/>
                <w:vertAlign w:val="superscript"/>
              </w:rPr>
              <w:t>(3)</w:t>
            </w:r>
          </w:p>
        </w:tc>
        <w:tc>
          <w:tcPr>
            <w:tcW w:w="340" w:type="dxa"/>
            <w:vAlign w:val="bottom"/>
            <w:gridSpan w:val="2"/>
          </w:tcPr>
          <w:p>
            <w:pPr>
              <w:jc w:val="right"/>
              <w:spacing w:after="0"/>
              <w:rPr>
                <w:sz w:val="20"/>
                <w:szCs w:val="20"/>
                <w:color w:val="auto"/>
              </w:rPr>
            </w:pPr>
            <w:r>
              <w:rPr>
                <w:rFonts w:ascii="Arial" w:cs="Arial" w:eastAsia="Arial" w:hAnsi="Arial"/>
                <w:sz w:val="11"/>
                <w:szCs w:val="11"/>
                <w:color w:val="050505"/>
              </w:rPr>
              <w:t>61</w:t>
            </w:r>
          </w:p>
        </w:tc>
        <w:tc>
          <w:tcPr>
            <w:tcW w:w="4840" w:type="dxa"/>
            <w:vAlign w:val="bottom"/>
            <w:gridSpan w:val="2"/>
          </w:tcPr>
          <w:p>
            <w:pPr>
              <w:ind w:left="180"/>
              <w:spacing w:after="0"/>
              <w:rPr>
                <w:sz w:val="20"/>
                <w:szCs w:val="20"/>
                <w:color w:val="auto"/>
              </w:rPr>
            </w:pPr>
            <w:r>
              <w:rPr>
                <w:rFonts w:ascii="Arial" w:cs="Arial" w:eastAsia="Arial" w:hAnsi="Arial"/>
                <w:sz w:val="11"/>
                <w:szCs w:val="11"/>
                <w:color w:val="050505"/>
              </w:rPr>
              <w:t>Director</w:t>
            </w:r>
          </w:p>
        </w:tc>
      </w:tr>
      <w:tr>
        <w:trPr>
          <w:trHeight w:val="234"/>
        </w:trPr>
        <w:tc>
          <w:tcPr>
            <w:tcW w:w="2180" w:type="dxa"/>
            <w:vAlign w:val="bottom"/>
          </w:tcPr>
          <w:p>
            <w:pPr>
              <w:ind w:left="60"/>
              <w:spacing w:after="0"/>
              <w:rPr>
                <w:sz w:val="20"/>
                <w:szCs w:val="20"/>
                <w:color w:val="auto"/>
              </w:rPr>
            </w:pPr>
            <w:r>
              <w:rPr>
                <w:rFonts w:ascii="Arial" w:cs="Arial" w:eastAsia="Arial" w:hAnsi="Arial"/>
                <w:sz w:val="11"/>
                <w:szCs w:val="11"/>
                <w:color w:val="050505"/>
              </w:rPr>
              <w:t>Pamela Thomas-Graham</w:t>
            </w:r>
            <w:r>
              <w:rPr>
                <w:rFonts w:ascii="Arial" w:cs="Arial" w:eastAsia="Arial" w:hAnsi="Arial"/>
                <w:sz w:val="18"/>
                <w:szCs w:val="18"/>
                <w:color w:val="050505"/>
                <w:vertAlign w:val="superscript"/>
              </w:rPr>
              <w:t>(1)(3)</w:t>
            </w:r>
          </w:p>
        </w:tc>
        <w:tc>
          <w:tcPr>
            <w:tcW w:w="340" w:type="dxa"/>
            <w:vAlign w:val="bottom"/>
            <w:gridSpan w:val="2"/>
          </w:tcPr>
          <w:p>
            <w:pPr>
              <w:jc w:val="right"/>
              <w:spacing w:after="0"/>
              <w:rPr>
                <w:sz w:val="20"/>
                <w:szCs w:val="20"/>
                <w:color w:val="auto"/>
              </w:rPr>
            </w:pPr>
            <w:r>
              <w:rPr>
                <w:rFonts w:ascii="Arial" w:cs="Arial" w:eastAsia="Arial" w:hAnsi="Arial"/>
                <w:sz w:val="11"/>
                <w:szCs w:val="11"/>
                <w:color w:val="050505"/>
              </w:rPr>
              <w:t>56</w:t>
            </w:r>
          </w:p>
        </w:tc>
        <w:tc>
          <w:tcPr>
            <w:tcW w:w="4840" w:type="dxa"/>
            <w:vAlign w:val="bottom"/>
            <w:gridSpan w:val="2"/>
          </w:tcPr>
          <w:p>
            <w:pPr>
              <w:ind w:left="180"/>
              <w:spacing w:after="0"/>
              <w:rPr>
                <w:sz w:val="20"/>
                <w:szCs w:val="20"/>
                <w:color w:val="auto"/>
              </w:rPr>
            </w:pPr>
            <w:r>
              <w:rPr>
                <w:rFonts w:ascii="Arial" w:cs="Arial" w:eastAsia="Arial" w:hAnsi="Arial"/>
                <w:sz w:val="11"/>
                <w:szCs w:val="11"/>
                <w:color w:val="050505"/>
              </w:rPr>
              <w:t>Director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1310640</wp:posOffset>
            </wp:positionH>
            <wp:positionV relativeFrom="paragraph">
              <wp:posOffset>-1198880</wp:posOffset>
            </wp:positionV>
            <wp:extent cx="5715" cy="9144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5715" cy="91440"/>
                    </a:xfrm>
                    <a:prstGeom prst="rect">
                      <a:avLst/>
                    </a:prstGeom>
                    <a:noFill/>
                  </pic:spPr>
                </pic:pic>
              </a:graphicData>
            </a:graphic>
          </wp:anchor>
        </w:drawing>
        <w:drawing>
          <wp:anchor simplePos="0" relativeHeight="251657728" behindDoc="1" locked="0" layoutInCell="0" allowOverlap="1">
            <wp:simplePos x="0" y="0"/>
            <wp:positionH relativeFrom="column">
              <wp:posOffset>1310640</wp:posOffset>
            </wp:positionH>
            <wp:positionV relativeFrom="paragraph">
              <wp:posOffset>-9525</wp:posOffset>
            </wp:positionV>
            <wp:extent cx="509270" cy="571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509270" cy="5715"/>
                    </a:xfrm>
                    <a:prstGeom prst="rect">
                      <a:avLst/>
                    </a:prstGeom>
                    <a:noFill/>
                  </pic:spPr>
                </pic:pic>
              </a:graphicData>
            </a:graphic>
          </wp:anchor>
        </w:drawing>
      </w:r>
    </w:p>
    <w:p>
      <w:pPr>
        <w:ind w:left="2280" w:hanging="221"/>
        <w:spacing w:after="0"/>
        <w:tabs>
          <w:tab w:leader="none" w:pos="2280" w:val="left"/>
        </w:tabs>
        <w:numPr>
          <w:ilvl w:val="0"/>
          <w:numId w:val="69"/>
        </w:numPr>
        <w:rPr>
          <w:rFonts w:ascii="Arial" w:cs="Arial" w:eastAsia="Arial" w:hAnsi="Arial"/>
          <w:sz w:val="8"/>
          <w:szCs w:val="8"/>
          <w:color w:val="050505"/>
        </w:rPr>
      </w:pPr>
      <w:r>
        <w:rPr>
          <w:rFonts w:ascii="Arial" w:cs="Arial" w:eastAsia="Arial" w:hAnsi="Arial"/>
          <w:sz w:val="8"/>
          <w:szCs w:val="8"/>
          <w:color w:val="050505"/>
        </w:rPr>
        <w:t>Lead independent director.</w:t>
      </w:r>
    </w:p>
    <w:p>
      <w:pPr>
        <w:spacing w:after="0" w:line="79" w:lineRule="exact"/>
        <w:rPr>
          <w:sz w:val="20"/>
          <w:szCs w:val="20"/>
          <w:color w:val="auto"/>
        </w:rPr>
      </w:pPr>
    </w:p>
    <w:p>
      <w:pPr>
        <w:ind w:left="2280" w:hanging="221"/>
        <w:spacing w:after="0"/>
        <w:tabs>
          <w:tab w:leader="none" w:pos="2280" w:val="left"/>
        </w:tabs>
        <w:numPr>
          <w:ilvl w:val="0"/>
          <w:numId w:val="70"/>
        </w:numPr>
        <w:rPr>
          <w:rFonts w:ascii="Arial" w:cs="Arial" w:eastAsia="Arial" w:hAnsi="Arial"/>
          <w:sz w:val="8"/>
          <w:szCs w:val="8"/>
          <w:color w:val="050505"/>
        </w:rPr>
      </w:pPr>
      <w:r>
        <w:rPr>
          <w:rFonts w:ascii="Arial" w:cs="Arial" w:eastAsia="Arial" w:hAnsi="Arial"/>
          <w:sz w:val="8"/>
          <w:szCs w:val="8"/>
          <w:color w:val="050505"/>
        </w:rPr>
        <w:t>Member of the Nominating, Governance, and Corporate Responsibility Committee.</w:t>
      </w:r>
    </w:p>
    <w:p>
      <w:pPr>
        <w:spacing w:after="0" w:line="43" w:lineRule="exact"/>
        <w:rPr>
          <w:rFonts w:ascii="Arial" w:cs="Arial" w:eastAsia="Arial" w:hAnsi="Arial"/>
          <w:sz w:val="8"/>
          <w:szCs w:val="8"/>
          <w:color w:val="050505"/>
        </w:rPr>
      </w:pPr>
    </w:p>
    <w:p>
      <w:pPr>
        <w:ind w:left="2280" w:hanging="221"/>
        <w:spacing w:after="0"/>
        <w:tabs>
          <w:tab w:leader="none" w:pos="2280" w:val="left"/>
        </w:tabs>
        <w:numPr>
          <w:ilvl w:val="0"/>
          <w:numId w:val="70"/>
        </w:numPr>
        <w:rPr>
          <w:rFonts w:ascii="Arial" w:cs="Arial" w:eastAsia="Arial" w:hAnsi="Arial"/>
          <w:sz w:val="8"/>
          <w:szCs w:val="8"/>
          <w:color w:val="050505"/>
        </w:rPr>
      </w:pPr>
      <w:r>
        <w:rPr>
          <w:rFonts w:ascii="Arial" w:cs="Arial" w:eastAsia="Arial" w:hAnsi="Arial"/>
          <w:sz w:val="8"/>
          <w:szCs w:val="8"/>
          <w:color w:val="050505"/>
        </w:rPr>
        <w:t>Member of the Audit Committee.</w:t>
      </w:r>
    </w:p>
    <w:p>
      <w:pPr>
        <w:spacing w:after="0" w:line="43" w:lineRule="exact"/>
        <w:rPr>
          <w:rFonts w:ascii="Arial" w:cs="Arial" w:eastAsia="Arial" w:hAnsi="Arial"/>
          <w:sz w:val="8"/>
          <w:szCs w:val="8"/>
          <w:color w:val="050505"/>
        </w:rPr>
      </w:pPr>
    </w:p>
    <w:p>
      <w:pPr>
        <w:ind w:left="2280" w:hanging="221"/>
        <w:spacing w:after="0"/>
        <w:tabs>
          <w:tab w:leader="none" w:pos="2280" w:val="left"/>
        </w:tabs>
        <w:numPr>
          <w:ilvl w:val="0"/>
          <w:numId w:val="70"/>
        </w:numPr>
        <w:rPr>
          <w:rFonts w:ascii="Arial" w:cs="Arial" w:eastAsia="Arial" w:hAnsi="Arial"/>
          <w:sz w:val="8"/>
          <w:szCs w:val="8"/>
          <w:color w:val="050505"/>
        </w:rPr>
      </w:pPr>
      <w:r>
        <w:rPr>
          <w:rFonts w:ascii="Arial" w:cs="Arial" w:eastAsia="Arial" w:hAnsi="Arial"/>
          <w:sz w:val="8"/>
          <w:szCs w:val="8"/>
          <w:color w:val="050505"/>
        </w:rPr>
        <w:t>Member of the Compensation Committee.</w:t>
      </w:r>
    </w:p>
    <w:p>
      <w:pPr>
        <w:spacing w:after="0" w:line="208" w:lineRule="exact"/>
        <w:rPr>
          <w:sz w:val="20"/>
          <w:szCs w:val="20"/>
          <w:color w:val="auto"/>
        </w:rPr>
      </w:pPr>
    </w:p>
    <w:p>
      <w:pPr>
        <w:ind w:left="2060"/>
        <w:spacing w:after="0"/>
        <w:rPr>
          <w:sz w:val="20"/>
          <w:szCs w:val="20"/>
          <w:color w:val="auto"/>
        </w:rPr>
      </w:pPr>
      <w:r>
        <w:rPr>
          <w:rFonts w:ascii="Arial" w:cs="Arial" w:eastAsia="Arial" w:hAnsi="Arial"/>
          <w:sz w:val="11"/>
          <w:szCs w:val="11"/>
          <w:b w:val="1"/>
          <w:bCs w:val="1"/>
          <w:u w:val="single" w:color="auto"/>
          <w:color w:val="auto"/>
        </w:rPr>
        <w:t>Executive Officers</w:t>
      </w:r>
    </w:p>
    <w:p>
      <w:pPr>
        <w:spacing w:after="0" w:line="12" w:lineRule="exact"/>
        <w:rPr>
          <w:sz w:val="20"/>
          <w:szCs w:val="20"/>
          <w:color w:val="auto"/>
        </w:rPr>
      </w:pPr>
    </w:p>
    <w:p>
      <w:pPr>
        <w:jc w:val="both"/>
        <w:ind w:left="2060" w:right="839"/>
        <w:spacing w:after="0"/>
        <w:rPr>
          <w:sz w:val="20"/>
          <w:szCs w:val="20"/>
          <w:color w:val="auto"/>
        </w:rPr>
      </w:pPr>
      <w:r>
        <w:rPr>
          <w:rFonts w:ascii="Arial" w:cs="Arial" w:eastAsia="Arial" w:hAnsi="Arial"/>
          <w:sz w:val="11"/>
          <w:szCs w:val="11"/>
          <w:b w:val="1"/>
          <w:bCs w:val="1"/>
          <w:i w:val="1"/>
          <w:iCs w:val="1"/>
          <w:color w:val="050505"/>
        </w:rPr>
        <w:t xml:space="preserve">John Foley </w:t>
      </w:r>
      <w:r>
        <w:rPr>
          <w:rFonts w:ascii="Arial" w:cs="Arial" w:eastAsia="Arial" w:hAnsi="Arial"/>
          <w:sz w:val="11"/>
          <w:szCs w:val="11"/>
          <w:color w:val="050505"/>
        </w:rPr>
        <w:t>is one of our co-founders and has served as our Chief Executive Officer since June 2012 and chairman of our board of directors since April</w:t>
      </w:r>
      <w:r>
        <w:rPr>
          <w:rFonts w:ascii="Arial" w:cs="Arial" w:eastAsia="Arial" w:hAnsi="Arial"/>
          <w:sz w:val="11"/>
          <w:szCs w:val="11"/>
          <w:b w:val="1"/>
          <w:bCs w:val="1"/>
          <w:i w:val="1"/>
          <w:iCs w:val="1"/>
          <w:color w:val="050505"/>
        </w:rPr>
        <w:t xml:space="preserve"> </w:t>
      </w:r>
      <w:r>
        <w:rPr>
          <w:rFonts w:ascii="Arial" w:cs="Arial" w:eastAsia="Arial" w:hAnsi="Arial"/>
          <w:sz w:val="11"/>
          <w:szCs w:val="11"/>
          <w:color w:val="050505"/>
        </w:rPr>
        <w:t>2015 when we converted from a limited liability company to a Delaware corporation. Before our founding, Mr. Foley served as the President of eCommerce at Barnes &amp; Noble, Inc., a retailer of content, digital media, and educational products, from August 2010 to June 2012. From March 2005 to August 2010, Mr. Foley served as the co-founder and Chief Executive Officer of Pronto.com, a price comparison service platform and a subsidiary of IAC/InterActiveCorp, a media and internet company. Mr. Foley holds a B.S. in Industrial Engineering from the Georgia Institute of Technology and an M.B.A. from Harvard Business School. We believe Mr. Foley is qualified to serve on our board of directors because of the historical knowledge, operational expertise, leadership, and continuity that he brings to our board of directors as our co-founder and Chief Executive Officer.</w:t>
      </w:r>
    </w:p>
    <w:p>
      <w:pPr>
        <w:spacing w:after="0" w:line="129" w:lineRule="exact"/>
        <w:rPr>
          <w:sz w:val="20"/>
          <w:szCs w:val="20"/>
          <w:color w:val="auto"/>
        </w:rPr>
      </w:pPr>
    </w:p>
    <w:p>
      <w:pPr>
        <w:jc w:val="both"/>
        <w:ind w:left="2060" w:right="839"/>
        <w:spacing w:after="0" w:line="271" w:lineRule="auto"/>
        <w:rPr>
          <w:sz w:val="20"/>
          <w:szCs w:val="20"/>
          <w:color w:val="auto"/>
        </w:rPr>
      </w:pPr>
      <w:r>
        <w:rPr>
          <w:rFonts w:ascii="Arial" w:cs="Arial" w:eastAsia="Arial" w:hAnsi="Arial"/>
          <w:sz w:val="10"/>
          <w:szCs w:val="10"/>
          <w:b w:val="1"/>
          <w:bCs w:val="1"/>
          <w:i w:val="1"/>
          <w:iCs w:val="1"/>
          <w:color w:val="050505"/>
        </w:rPr>
        <w:t xml:space="preserve">William Lynch </w:t>
      </w:r>
      <w:r>
        <w:rPr>
          <w:rFonts w:ascii="Arial" w:cs="Arial" w:eastAsia="Arial" w:hAnsi="Arial"/>
          <w:sz w:val="10"/>
          <w:szCs w:val="10"/>
          <w:color w:val="050505"/>
        </w:rPr>
        <w:t>has served as our President since January 2017 and as a member of our board of directors since August 2019. Prior to joining us,</w:t>
      </w:r>
      <w:r>
        <w:rPr>
          <w:rFonts w:ascii="Arial" w:cs="Arial" w:eastAsia="Arial" w:hAnsi="Arial"/>
          <w:sz w:val="10"/>
          <w:szCs w:val="10"/>
          <w:b w:val="1"/>
          <w:bCs w:val="1"/>
          <w:i w:val="1"/>
          <w:iCs w:val="1"/>
          <w:color w:val="050505"/>
        </w:rPr>
        <w:t xml:space="preserve"> </w:t>
      </w:r>
      <w:r>
        <w:rPr>
          <w:rFonts w:ascii="Arial" w:cs="Arial" w:eastAsia="Arial" w:hAnsi="Arial"/>
          <w:sz w:val="10"/>
          <w:szCs w:val="10"/>
          <w:color w:val="050505"/>
        </w:rPr>
        <w:t>Mr. Lynch served as the Chief Executive Officer of Savant Systems, LLC, a luxury smart home technology company, from May 2014 to November 2016. From March 2010 to June 2013, Mr. Lynch served as the Chief Executive Officer of Barnes &amp; Noble, and from February 2009 to March 2010, Mr. Lynch served as the President of Barnes &amp; Noble.com, a business division of Barnes &amp; Noble, where he oversaw the creation of the Nook product line and software. Mr. Lynch has also held senior management roles at HSN.com, IAC/InterActiveCorp, and Palm Computing. Mr. Lynch previously served on the board of directors of Barnes &amp; Noble from October 2011 to July 2013. Mr. Lynch holds a B.S. in Economics from the University of Texas at Austin and an M.B.A. from Columbia Business School. We believe Mr. Lynch is qualified to serve on our board of directors because of the strategic and operational experience and leadership that he brings as our President and the former chief executive officer and executive leader of public and private companies.</w:t>
      </w:r>
    </w:p>
    <w:p>
      <w:pPr>
        <w:spacing w:after="0" w:line="114" w:lineRule="exact"/>
        <w:rPr>
          <w:sz w:val="20"/>
          <w:szCs w:val="20"/>
          <w:color w:val="auto"/>
        </w:rPr>
      </w:pPr>
    </w:p>
    <w:p>
      <w:pPr>
        <w:jc w:val="both"/>
        <w:ind w:left="2060" w:right="839"/>
        <w:spacing w:after="0" w:line="248" w:lineRule="auto"/>
        <w:rPr>
          <w:sz w:val="20"/>
          <w:szCs w:val="20"/>
          <w:color w:val="auto"/>
        </w:rPr>
      </w:pPr>
      <w:r>
        <w:rPr>
          <w:rFonts w:ascii="Arial" w:cs="Arial" w:eastAsia="Arial" w:hAnsi="Arial"/>
          <w:sz w:val="11"/>
          <w:szCs w:val="11"/>
          <w:b w:val="1"/>
          <w:bCs w:val="1"/>
          <w:i w:val="1"/>
          <w:iCs w:val="1"/>
          <w:color w:val="050505"/>
        </w:rPr>
        <w:t xml:space="preserve">Jill Woodworth </w:t>
      </w:r>
      <w:r>
        <w:rPr>
          <w:rFonts w:ascii="Arial" w:cs="Arial" w:eastAsia="Arial" w:hAnsi="Arial"/>
          <w:sz w:val="11"/>
          <w:szCs w:val="11"/>
          <w:color w:val="050505"/>
        </w:rPr>
        <w:t>has served as our Chief Financial Officer since April 2018. From April 2006 to April 2018, Ms. Woodworth served as a Managing Director</w:t>
      </w:r>
      <w:r>
        <w:rPr>
          <w:rFonts w:ascii="Arial" w:cs="Arial" w:eastAsia="Arial" w:hAnsi="Arial"/>
          <w:sz w:val="11"/>
          <w:szCs w:val="11"/>
          <w:b w:val="1"/>
          <w:bCs w:val="1"/>
          <w:i w:val="1"/>
          <w:iCs w:val="1"/>
          <w:color w:val="050505"/>
        </w:rPr>
        <w:t xml:space="preserve"> </w:t>
      </w:r>
      <w:r>
        <w:rPr>
          <w:rFonts w:ascii="Arial" w:cs="Arial" w:eastAsia="Arial" w:hAnsi="Arial"/>
          <w:sz w:val="11"/>
          <w:szCs w:val="11"/>
          <w:color w:val="050505"/>
        </w:rPr>
        <w:t>for J.P. Morgan, a multinational investment bank and financial services company. From July 1994 to April 2006, Ms. Woodworth worked in investment banking at Morgan Stanley &amp; Co. LLC, a multinational investment bank and financial services company, where she held various positions within equity capital markets and client coverage. Ms. Woodworth holds a B.S. in Economics from the Massachusetts Institute of Technology.</w:t>
      </w:r>
    </w:p>
    <w:p>
      <w:pPr>
        <w:spacing w:after="0" w:line="93" w:lineRule="exact"/>
        <w:rPr>
          <w:sz w:val="20"/>
          <w:szCs w:val="20"/>
          <w:color w:val="auto"/>
        </w:rPr>
      </w:pPr>
    </w:p>
    <w:p>
      <w:pPr>
        <w:ind w:left="5640"/>
        <w:spacing w:after="0"/>
        <w:rPr>
          <w:sz w:val="20"/>
          <w:szCs w:val="20"/>
          <w:color w:val="auto"/>
        </w:rPr>
      </w:pPr>
      <w:r>
        <w:rPr>
          <w:rFonts w:ascii="Arial" w:cs="Arial" w:eastAsia="Arial" w:hAnsi="Arial"/>
          <w:sz w:val="11"/>
          <w:szCs w:val="11"/>
          <w:color w:val="050505"/>
        </w:rPr>
        <w:t>113</w:t>
      </w:r>
    </w:p>
    <w:p>
      <w:pPr>
        <w:sectPr>
          <w:pgSz w:w="11900" w:h="16838" w:orient="portrait"/>
          <w:cols w:equalWidth="0" w:num="1">
            <w:col w:w="10239"/>
          </w:cols>
          <w:pgMar w:left="220" w:top="354" w:right="1440" w:bottom="1440" w:gutter="0" w:footer="0" w:header="0"/>
        </w:sectPr>
      </w:pPr>
    </w:p>
    <w:bookmarkStart w:id="123" w:name="page124"/>
    <w:bookmarkEnd w:id="123"/>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hyperlink w:anchor="page5">
        <w:r>
          <w:rPr>
            <w:rFonts w:ascii="Arial" w:cs="Arial" w:eastAsia="Arial" w:hAnsi="Arial"/>
            <w:sz w:val="12"/>
            <w:szCs w:val="12"/>
            <w:b w:val="1"/>
            <w:bCs w:val="1"/>
            <w:u w:val="single" w:color="auto"/>
            <w:color w:val="0000EE"/>
          </w:rPr>
          <w:t>Table of Contents</w:t>
        </w:r>
      </w:hyperlink>
    </w:p>
    <w:p>
      <w:pPr>
        <w:spacing w:after="0" w:line="204" w:lineRule="exact"/>
        <w:rPr>
          <w:sz w:val="20"/>
          <w:szCs w:val="20"/>
          <w:color w:val="auto"/>
        </w:rPr>
      </w:pPr>
    </w:p>
    <w:p>
      <w:pPr>
        <w:jc w:val="both"/>
        <w:ind w:left="2060" w:right="839"/>
        <w:spacing w:after="0" w:line="246" w:lineRule="auto"/>
        <w:rPr>
          <w:sz w:val="20"/>
          <w:szCs w:val="20"/>
          <w:color w:val="auto"/>
        </w:rPr>
      </w:pPr>
      <w:r>
        <w:rPr>
          <w:rFonts w:ascii="Arial" w:cs="Arial" w:eastAsia="Arial" w:hAnsi="Arial"/>
          <w:sz w:val="11"/>
          <w:szCs w:val="11"/>
          <w:b w:val="1"/>
          <w:bCs w:val="1"/>
          <w:i w:val="1"/>
          <w:iCs w:val="1"/>
          <w:color w:val="050505"/>
        </w:rPr>
        <w:t xml:space="preserve">Thomas Cortese </w:t>
      </w:r>
      <w:r>
        <w:rPr>
          <w:rFonts w:ascii="Arial" w:cs="Arial" w:eastAsia="Arial" w:hAnsi="Arial"/>
          <w:sz w:val="11"/>
          <w:szCs w:val="11"/>
          <w:color w:val="050505"/>
        </w:rPr>
        <w:t>is one of our co-founders and has served as our Chief Operating Officer since February 2012 and Head of Product Development since</w:t>
      </w:r>
      <w:r>
        <w:rPr>
          <w:rFonts w:ascii="Arial" w:cs="Arial" w:eastAsia="Arial" w:hAnsi="Arial"/>
          <w:sz w:val="11"/>
          <w:szCs w:val="11"/>
          <w:b w:val="1"/>
          <w:bCs w:val="1"/>
          <w:i w:val="1"/>
          <w:iCs w:val="1"/>
          <w:color w:val="050505"/>
        </w:rPr>
        <w:t xml:space="preserve"> </w:t>
      </w:r>
      <w:r>
        <w:rPr>
          <w:rFonts w:ascii="Arial" w:cs="Arial" w:eastAsia="Arial" w:hAnsi="Arial"/>
          <w:sz w:val="11"/>
          <w:szCs w:val="11"/>
          <w:color w:val="050505"/>
        </w:rPr>
        <w:t>April 2019. Prior to our founding, Mr. Cortese served as the Chief Executive Officer of Proust.com, an online social media and memory sharing company, and a subsidiary of IAC/InterActiveCorp, from February 2010 to January 2012. From February 2008 to February 2010, Mr. Cortese served as the Vice President of Product Management at Pronto.com, a price comparison service platform and a subsidiary of IAC/InterActiveCorp, a media and internet company. Mr. Cortese holds a B.A. in Philosophy from The George Washington University.</w:t>
      </w:r>
    </w:p>
    <w:p>
      <w:pPr>
        <w:spacing w:after="0" w:line="126" w:lineRule="exact"/>
        <w:rPr>
          <w:sz w:val="20"/>
          <w:szCs w:val="20"/>
          <w:color w:val="auto"/>
        </w:rPr>
      </w:pPr>
    </w:p>
    <w:p>
      <w:pPr>
        <w:jc w:val="both"/>
        <w:ind w:left="2060" w:right="839"/>
        <w:spacing w:after="0" w:line="244" w:lineRule="auto"/>
        <w:rPr>
          <w:sz w:val="20"/>
          <w:szCs w:val="20"/>
          <w:color w:val="auto"/>
        </w:rPr>
      </w:pPr>
      <w:r>
        <w:rPr>
          <w:rFonts w:ascii="Arial" w:cs="Arial" w:eastAsia="Arial" w:hAnsi="Arial"/>
          <w:sz w:val="11"/>
          <w:szCs w:val="11"/>
          <w:b w:val="1"/>
          <w:bCs w:val="1"/>
          <w:i w:val="1"/>
          <w:iCs w:val="1"/>
          <w:color w:val="050505"/>
        </w:rPr>
        <w:t xml:space="preserve">Hisao Kushi </w:t>
      </w:r>
      <w:r>
        <w:rPr>
          <w:rFonts w:ascii="Arial" w:cs="Arial" w:eastAsia="Arial" w:hAnsi="Arial"/>
          <w:sz w:val="11"/>
          <w:szCs w:val="11"/>
          <w:color w:val="050505"/>
        </w:rPr>
        <w:t>is one of our co-founders and has served as our Secretary since March 2015 and our Chief Legal Officer since June 2015. Prior to that,</w:t>
      </w:r>
      <w:r>
        <w:rPr>
          <w:rFonts w:ascii="Arial" w:cs="Arial" w:eastAsia="Arial" w:hAnsi="Arial"/>
          <w:sz w:val="11"/>
          <w:szCs w:val="11"/>
          <w:b w:val="1"/>
          <w:bCs w:val="1"/>
          <w:i w:val="1"/>
          <w:iCs w:val="1"/>
          <w:color w:val="050505"/>
        </w:rPr>
        <w:t xml:space="preserve"> </w:t>
      </w:r>
      <w:r>
        <w:rPr>
          <w:rFonts w:ascii="Arial" w:cs="Arial" w:eastAsia="Arial" w:hAnsi="Arial"/>
          <w:sz w:val="11"/>
          <w:szCs w:val="11"/>
          <w:color w:val="050505"/>
        </w:rPr>
        <w:t>Mr. Kushi served as an advisor to us from January 2012 to May 2015. From November 2013 to January 2015, Mr. Kushi served as the Chief Operating Officer of Evite, Inc., a social-planning website for creating and sending digital invitations, and a subsidiary of Liberty Media Corporation. From December 2010 to April 2014, Mr. Kushi served as General Counsel to a variety of companies owned by Liberty Media including BuySeasons, Inc., Evite, and Gifts.com. Prior to Liberty Media, between 2003 and 2010, Mr. Kushi served as general counsel to a number of companies owned by IAC/InterActiveCorp, including Citysearch, Pronto, and Proust, among others. Mr. Kushi holds a B.A. in English from the University of Massachusetts Amherst and a J.D. from Boston College.</w:t>
      </w:r>
    </w:p>
    <w:p>
      <w:pPr>
        <w:spacing w:after="0" w:line="199" w:lineRule="exact"/>
        <w:rPr>
          <w:sz w:val="20"/>
          <w:szCs w:val="20"/>
          <w:color w:val="auto"/>
        </w:rPr>
      </w:pPr>
    </w:p>
    <w:p>
      <w:pPr>
        <w:ind w:left="2060"/>
        <w:spacing w:after="0"/>
        <w:rPr>
          <w:sz w:val="20"/>
          <w:szCs w:val="20"/>
          <w:color w:val="auto"/>
        </w:rPr>
      </w:pPr>
      <w:r>
        <w:rPr>
          <w:rFonts w:ascii="Arial" w:cs="Arial" w:eastAsia="Arial" w:hAnsi="Arial"/>
          <w:sz w:val="11"/>
          <w:szCs w:val="11"/>
          <w:b w:val="1"/>
          <w:bCs w:val="1"/>
          <w:u w:val="single" w:color="auto"/>
          <w:color w:val="auto"/>
        </w:rPr>
        <w:t>Non-Employee Directors</w:t>
      </w:r>
    </w:p>
    <w:p>
      <w:pPr>
        <w:spacing w:after="0" w:line="12" w:lineRule="exact"/>
        <w:rPr>
          <w:sz w:val="20"/>
          <w:szCs w:val="20"/>
          <w:color w:val="auto"/>
        </w:rPr>
      </w:pPr>
    </w:p>
    <w:p>
      <w:pPr>
        <w:jc w:val="both"/>
        <w:ind w:left="2060" w:right="839"/>
        <w:spacing w:after="0" w:line="239" w:lineRule="auto"/>
        <w:rPr>
          <w:sz w:val="20"/>
          <w:szCs w:val="20"/>
          <w:color w:val="auto"/>
        </w:rPr>
      </w:pPr>
      <w:r>
        <w:rPr>
          <w:rFonts w:ascii="Arial" w:cs="Arial" w:eastAsia="Arial" w:hAnsi="Arial"/>
          <w:sz w:val="11"/>
          <w:szCs w:val="11"/>
          <w:b w:val="1"/>
          <w:bCs w:val="1"/>
          <w:i w:val="1"/>
          <w:iCs w:val="1"/>
          <w:color w:val="050505"/>
        </w:rPr>
        <w:t xml:space="preserve">Erik Blachford </w:t>
      </w:r>
      <w:r>
        <w:rPr>
          <w:rFonts w:ascii="Arial" w:cs="Arial" w:eastAsia="Arial" w:hAnsi="Arial"/>
          <w:sz w:val="11"/>
          <w:szCs w:val="11"/>
          <w:color w:val="050505"/>
        </w:rPr>
        <w:t>has served as a member of our board of directors since April 2015. As an independent venture capital investor and advisor since January</w:t>
      </w:r>
      <w:r>
        <w:rPr>
          <w:rFonts w:ascii="Arial" w:cs="Arial" w:eastAsia="Arial" w:hAnsi="Arial"/>
          <w:sz w:val="11"/>
          <w:szCs w:val="11"/>
          <w:b w:val="1"/>
          <w:bCs w:val="1"/>
          <w:i w:val="1"/>
          <w:iCs w:val="1"/>
          <w:color w:val="050505"/>
        </w:rPr>
        <w:t xml:space="preserve"> </w:t>
      </w:r>
      <w:r>
        <w:rPr>
          <w:rFonts w:ascii="Arial" w:cs="Arial" w:eastAsia="Arial" w:hAnsi="Arial"/>
          <w:sz w:val="11"/>
          <w:szCs w:val="11"/>
          <w:color w:val="050505"/>
        </w:rPr>
        <w:t>2011, he focuses on consumer tech and travel companies and has invested in companies such as Zillow, Glassdoor, Grove Collaborative, and Hotel Tonight. He was a member of the founding team at Expedia, and served as the company’s second Chief Executive Officer, then as the Chief Executive Officer of IAC/InterActiveCorp’s travel division, IAC Travel, until 2005. He was the Chief Executive Officer at Terrapass, Inc. from April 2007 to September 2009, and the Chief Executive Officer at Butterfield &amp; Robinson, Inc. from September 2009 to January 2011. Mr. Blachford has also consulted as a Venture Partner at Technology Crossover Ventures, a private equity and venture capital firm, since March 2011. Mr. Blachford currently serves on the board of directors of Zillow Group, Inc. and several private companies. He holds a B.A. in English and theater from Princeton University, an M.B.A. from Columbia Business School, and an M.F.A. in Creative Writing from San Francisco State University. We believe Mr. Blachford is qualified to serve on our board of directors based on his strategic and operational experience as a former executive officer and his extensive experience working with the management teams of, and investing in, a number of privately and publicly held companies.</w:t>
      </w:r>
    </w:p>
    <w:p>
      <w:pPr>
        <w:spacing w:after="0" w:line="134" w:lineRule="exact"/>
        <w:rPr>
          <w:sz w:val="20"/>
          <w:szCs w:val="20"/>
          <w:color w:val="auto"/>
        </w:rPr>
      </w:pPr>
    </w:p>
    <w:p>
      <w:pPr>
        <w:jc w:val="both"/>
        <w:ind w:left="2060" w:right="839"/>
        <w:spacing w:after="0" w:line="245" w:lineRule="auto"/>
        <w:rPr>
          <w:sz w:val="20"/>
          <w:szCs w:val="20"/>
          <w:color w:val="auto"/>
        </w:rPr>
      </w:pPr>
      <w:r>
        <w:rPr>
          <w:rFonts w:ascii="Arial" w:cs="Arial" w:eastAsia="Arial" w:hAnsi="Arial"/>
          <w:sz w:val="11"/>
          <w:szCs w:val="11"/>
          <w:b w:val="1"/>
          <w:bCs w:val="1"/>
          <w:i w:val="1"/>
          <w:iCs w:val="1"/>
          <w:color w:val="050505"/>
        </w:rPr>
        <w:t xml:space="preserve">Karen Boone </w:t>
      </w:r>
      <w:r>
        <w:rPr>
          <w:rFonts w:ascii="Arial" w:cs="Arial" w:eastAsia="Arial" w:hAnsi="Arial"/>
          <w:sz w:val="11"/>
          <w:szCs w:val="11"/>
          <w:color w:val="050505"/>
        </w:rPr>
        <w:t>has served as a member of our board of directors since January 2019. Ms. Boone most recently served as the President, Chief Financial</w:t>
      </w:r>
      <w:r>
        <w:rPr>
          <w:rFonts w:ascii="Arial" w:cs="Arial" w:eastAsia="Arial" w:hAnsi="Arial"/>
          <w:sz w:val="11"/>
          <w:szCs w:val="11"/>
          <w:b w:val="1"/>
          <w:bCs w:val="1"/>
          <w:i w:val="1"/>
          <w:iCs w:val="1"/>
          <w:color w:val="050505"/>
        </w:rPr>
        <w:t xml:space="preserve"> </w:t>
      </w:r>
      <w:r>
        <w:rPr>
          <w:rFonts w:ascii="Arial" w:cs="Arial" w:eastAsia="Arial" w:hAnsi="Arial"/>
          <w:sz w:val="11"/>
          <w:szCs w:val="11"/>
          <w:color w:val="050505"/>
        </w:rPr>
        <w:t>and Administrative Officer of Restoration Hardware, Inc., a home furnishings company, from May 2014 to August 2018 and as Chief Financial Officer from June 2012 to May 2014. Prior to that, from 1996 to 2012, Ms. Boone held various roles at Deloitte &amp; Touche LLP, a public accounting firm, most recently as an Audit Partner. Ms. Boone currently serves on the board of directors of Sonos, Inc. Ms. Boone holds a B.S. in Business Economics from the University of California, Davis. We believe Ms. Boone is qualified to serve on our board of directors because of her extensive experience leading a consumer brand and her expertise and background with regard to accounting and financial matters.</w:t>
      </w:r>
    </w:p>
    <w:p>
      <w:pPr>
        <w:spacing w:after="0" w:line="126" w:lineRule="exact"/>
        <w:rPr>
          <w:sz w:val="20"/>
          <w:szCs w:val="20"/>
          <w:color w:val="auto"/>
        </w:rPr>
      </w:pPr>
    </w:p>
    <w:p>
      <w:pPr>
        <w:jc w:val="both"/>
        <w:ind w:left="2060" w:right="839"/>
        <w:spacing w:after="0" w:line="244" w:lineRule="auto"/>
        <w:rPr>
          <w:sz w:val="20"/>
          <w:szCs w:val="20"/>
          <w:color w:val="auto"/>
        </w:rPr>
      </w:pPr>
      <w:r>
        <w:rPr>
          <w:rFonts w:ascii="Arial" w:cs="Arial" w:eastAsia="Arial" w:hAnsi="Arial"/>
          <w:sz w:val="11"/>
          <w:szCs w:val="11"/>
          <w:b w:val="1"/>
          <w:bCs w:val="1"/>
          <w:i w:val="1"/>
          <w:iCs w:val="1"/>
          <w:color w:val="050505"/>
        </w:rPr>
        <w:t xml:space="preserve">Jon Callaghan </w:t>
      </w:r>
      <w:r>
        <w:rPr>
          <w:rFonts w:ascii="Arial" w:cs="Arial" w:eastAsia="Arial" w:hAnsi="Arial"/>
          <w:sz w:val="11"/>
          <w:szCs w:val="11"/>
          <w:color w:val="050505"/>
        </w:rPr>
        <w:t>has served as a member of our board of directors since April 2015. Mr. Callaghan is a founder and Managing Member of True Ventures, a</w:t>
      </w:r>
      <w:r>
        <w:rPr>
          <w:rFonts w:ascii="Arial" w:cs="Arial" w:eastAsia="Arial" w:hAnsi="Arial"/>
          <w:sz w:val="11"/>
          <w:szCs w:val="11"/>
          <w:b w:val="1"/>
          <w:bCs w:val="1"/>
          <w:i w:val="1"/>
          <w:iCs w:val="1"/>
          <w:color w:val="050505"/>
        </w:rPr>
        <w:t xml:space="preserve"> </w:t>
      </w:r>
      <w:r>
        <w:rPr>
          <w:rFonts w:ascii="Arial" w:cs="Arial" w:eastAsia="Arial" w:hAnsi="Arial"/>
          <w:sz w:val="11"/>
          <w:szCs w:val="11"/>
          <w:color w:val="050505"/>
        </w:rPr>
        <w:t>venture capital firm, where he has served since January 2006. Prior to True Ventures, Mr. Callaghan served as a Managing Director at Globespan Capital, a venture capital firm, and as a Managing Partner at CMGI@Ventures, CMGI Inc.’s affiliated venture capital group. Mr. Callaghan served on the board of directors of Fitbit, Inc. from September 2008 to May 2018 and currently serves as a member of the board of directors of several private companies. Mr. Callaghan holds a B.A. in Government from Dartmouth College and an M.B.A. from Harvard Business School. We believe Mr. Callaghan is qualified to serve on our board of directors because of his extensive experience working with the management teams of, and investing in, a number of privately and publicly held companies.</w:t>
      </w:r>
    </w:p>
    <w:p>
      <w:pPr>
        <w:spacing w:after="0" w:line="127" w:lineRule="exact"/>
        <w:rPr>
          <w:sz w:val="20"/>
          <w:szCs w:val="20"/>
          <w:color w:val="auto"/>
        </w:rPr>
      </w:pPr>
    </w:p>
    <w:p>
      <w:pPr>
        <w:jc w:val="both"/>
        <w:ind w:left="2060" w:right="839"/>
        <w:spacing w:after="0" w:line="246" w:lineRule="auto"/>
        <w:rPr>
          <w:sz w:val="20"/>
          <w:szCs w:val="20"/>
          <w:color w:val="auto"/>
        </w:rPr>
      </w:pPr>
      <w:r>
        <w:rPr>
          <w:rFonts w:ascii="Arial" w:cs="Arial" w:eastAsia="Arial" w:hAnsi="Arial"/>
          <w:sz w:val="11"/>
          <w:szCs w:val="11"/>
          <w:b w:val="1"/>
          <w:bCs w:val="1"/>
          <w:i w:val="1"/>
          <w:iCs w:val="1"/>
          <w:color w:val="050505"/>
        </w:rPr>
        <w:t xml:space="preserve">Howard Draft </w:t>
      </w:r>
      <w:r>
        <w:rPr>
          <w:rFonts w:ascii="Arial" w:cs="Arial" w:eastAsia="Arial" w:hAnsi="Arial"/>
          <w:sz w:val="11"/>
          <w:szCs w:val="11"/>
          <w:color w:val="050505"/>
        </w:rPr>
        <w:t>has served as a member of our board of directors since April 2015. Mr. Draft retired as the Executive Chairman at DraftFCB, a global</w:t>
      </w:r>
      <w:r>
        <w:rPr>
          <w:rFonts w:ascii="Arial" w:cs="Arial" w:eastAsia="Arial" w:hAnsi="Arial"/>
          <w:sz w:val="11"/>
          <w:szCs w:val="11"/>
          <w:b w:val="1"/>
          <w:bCs w:val="1"/>
          <w:i w:val="1"/>
          <w:iCs w:val="1"/>
          <w:color w:val="050505"/>
        </w:rPr>
        <w:t xml:space="preserve"> </w:t>
      </w:r>
      <w:r>
        <w:rPr>
          <w:rFonts w:ascii="Arial" w:cs="Arial" w:eastAsia="Arial" w:hAnsi="Arial"/>
          <w:sz w:val="11"/>
          <w:szCs w:val="11"/>
          <w:color w:val="050505"/>
        </w:rPr>
        <w:t>integrated marketing communications firm in 2015. He was Chairman and CEO of DraftWorldWide from 1988 until 2006, at which time FCB and Draft were merged. Mr. Draft served as their Chairman and CEO until 2009. Mr. Draft previously sat on the board of directors of optionsXpress Holdings, Inc. from April 2007 until its acquisition by Charles Schwab Corporation in September 2011. Mr. Draft holds a B.A. in Philosophy and Art History from Ripon College. We believe Mr. Draft is qualified to serve on our board of directors because he brings entrepreneurial and</w:t>
      </w:r>
    </w:p>
    <w:p>
      <w:pPr>
        <w:spacing w:after="0" w:line="93" w:lineRule="exact"/>
        <w:rPr>
          <w:sz w:val="20"/>
          <w:szCs w:val="20"/>
          <w:color w:val="auto"/>
        </w:rPr>
      </w:pPr>
    </w:p>
    <w:p>
      <w:pPr>
        <w:ind w:left="5640"/>
        <w:spacing w:after="0"/>
        <w:rPr>
          <w:sz w:val="20"/>
          <w:szCs w:val="20"/>
          <w:color w:val="auto"/>
        </w:rPr>
      </w:pPr>
      <w:r>
        <w:rPr>
          <w:rFonts w:ascii="Arial" w:cs="Arial" w:eastAsia="Arial" w:hAnsi="Arial"/>
          <w:sz w:val="11"/>
          <w:szCs w:val="11"/>
          <w:color w:val="050505"/>
        </w:rPr>
        <w:t>114</w:t>
      </w:r>
    </w:p>
    <w:p>
      <w:pPr>
        <w:sectPr>
          <w:pgSz w:w="11900" w:h="16838" w:orient="portrait"/>
          <w:cols w:equalWidth="0" w:num="1">
            <w:col w:w="10239"/>
          </w:cols>
          <w:pgMar w:left="220" w:top="354" w:right="1440" w:bottom="1440" w:gutter="0" w:footer="0" w:header="0"/>
        </w:sectPr>
      </w:pPr>
    </w:p>
    <w:bookmarkStart w:id="124" w:name="page125"/>
    <w:bookmarkEnd w:id="124"/>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hyperlink w:anchor="page5">
        <w:r>
          <w:rPr>
            <w:rFonts w:ascii="Arial" w:cs="Arial" w:eastAsia="Arial" w:hAnsi="Arial"/>
            <w:sz w:val="12"/>
            <w:szCs w:val="12"/>
            <w:b w:val="1"/>
            <w:bCs w:val="1"/>
            <w:u w:val="single" w:color="auto"/>
            <w:color w:val="0000EE"/>
          </w:rPr>
          <w:t>Table of Contents</w:t>
        </w:r>
      </w:hyperlink>
    </w:p>
    <w:p>
      <w:pPr>
        <w:spacing w:after="0" w:line="216" w:lineRule="exact"/>
        <w:rPr>
          <w:sz w:val="20"/>
          <w:szCs w:val="20"/>
          <w:color w:val="auto"/>
        </w:rPr>
      </w:pPr>
    </w:p>
    <w:p>
      <w:pPr>
        <w:ind w:left="2060"/>
        <w:spacing w:after="0"/>
        <w:rPr>
          <w:sz w:val="20"/>
          <w:szCs w:val="20"/>
          <w:color w:val="auto"/>
        </w:rPr>
      </w:pPr>
      <w:r>
        <w:rPr>
          <w:rFonts w:ascii="Arial" w:cs="Arial" w:eastAsia="Arial" w:hAnsi="Arial"/>
          <w:sz w:val="11"/>
          <w:szCs w:val="11"/>
          <w:color w:val="050505"/>
        </w:rPr>
        <w:t>executive management experience, particularly in the areas of direct marketing and integrated marketing offerings on a global basis.</w:t>
      </w:r>
    </w:p>
    <w:p>
      <w:pPr>
        <w:spacing w:after="0" w:line="132" w:lineRule="exact"/>
        <w:rPr>
          <w:sz w:val="20"/>
          <w:szCs w:val="20"/>
          <w:color w:val="auto"/>
        </w:rPr>
      </w:pPr>
    </w:p>
    <w:p>
      <w:pPr>
        <w:jc w:val="both"/>
        <w:ind w:left="2060" w:right="839"/>
        <w:spacing w:after="0" w:line="245" w:lineRule="auto"/>
        <w:rPr>
          <w:sz w:val="20"/>
          <w:szCs w:val="20"/>
          <w:color w:val="auto"/>
        </w:rPr>
      </w:pPr>
      <w:r>
        <w:rPr>
          <w:rFonts w:ascii="Arial" w:cs="Arial" w:eastAsia="Arial" w:hAnsi="Arial"/>
          <w:sz w:val="11"/>
          <w:szCs w:val="11"/>
          <w:b w:val="1"/>
          <w:bCs w:val="1"/>
          <w:i w:val="1"/>
          <w:iCs w:val="1"/>
          <w:color w:val="050505"/>
        </w:rPr>
        <w:t xml:space="preserve">Jay Hoag </w:t>
      </w:r>
      <w:r>
        <w:rPr>
          <w:rFonts w:ascii="Arial" w:cs="Arial" w:eastAsia="Arial" w:hAnsi="Arial"/>
          <w:sz w:val="11"/>
          <w:szCs w:val="11"/>
          <w:color w:val="050505"/>
        </w:rPr>
        <w:t>has served as a member of our board of directors since August 2018. Mr. Hoag is a co-founder and General Partner of Technology Crossover</w:t>
      </w:r>
      <w:r>
        <w:rPr>
          <w:rFonts w:ascii="Arial" w:cs="Arial" w:eastAsia="Arial" w:hAnsi="Arial"/>
          <w:sz w:val="11"/>
          <w:szCs w:val="11"/>
          <w:b w:val="1"/>
          <w:bCs w:val="1"/>
          <w:i w:val="1"/>
          <w:iCs w:val="1"/>
          <w:color w:val="050505"/>
        </w:rPr>
        <w:t xml:space="preserve"> </w:t>
      </w:r>
      <w:r>
        <w:rPr>
          <w:rFonts w:ascii="Arial" w:cs="Arial" w:eastAsia="Arial" w:hAnsi="Arial"/>
          <w:sz w:val="11"/>
          <w:szCs w:val="11"/>
          <w:color w:val="050505"/>
        </w:rPr>
        <w:t>Ventures where he has served since June 1995. Mr. Hoag currently serves on the board of directors of Electronic Arts Inc., Tripadvisor, Inc., Zillow Group, Inc., and Netflix Inc. and several private companies. Mr. Hoag also previously served on the board of directors of various public companies, including, TechTarget, Inc. from May 2004 to July 2016. Mr. Hoag holds a B.A. from Northwestern University and an M.B.A. from the University of Michigan. We believe Mr. Hoag is qualified to serve on our board of directors because of his extensive experience working with the management teams of, and investing in, a number of privately and publicly held companies.</w:t>
      </w:r>
    </w:p>
    <w:p>
      <w:pPr>
        <w:spacing w:after="0" w:line="126" w:lineRule="exact"/>
        <w:rPr>
          <w:sz w:val="20"/>
          <w:szCs w:val="20"/>
          <w:color w:val="auto"/>
        </w:rPr>
      </w:pPr>
    </w:p>
    <w:p>
      <w:pPr>
        <w:jc w:val="both"/>
        <w:ind w:left="2060" w:right="839"/>
        <w:spacing w:after="0" w:line="241" w:lineRule="auto"/>
        <w:rPr>
          <w:sz w:val="20"/>
          <w:szCs w:val="20"/>
          <w:color w:val="auto"/>
        </w:rPr>
      </w:pPr>
      <w:r>
        <w:rPr>
          <w:rFonts w:ascii="Arial" w:cs="Arial" w:eastAsia="Arial" w:hAnsi="Arial"/>
          <w:sz w:val="11"/>
          <w:szCs w:val="11"/>
          <w:b w:val="1"/>
          <w:bCs w:val="1"/>
          <w:i w:val="1"/>
          <w:iCs w:val="1"/>
          <w:color w:val="050505"/>
        </w:rPr>
        <w:t xml:space="preserve">Pamela Thomas-Graham </w:t>
      </w:r>
      <w:r>
        <w:rPr>
          <w:rFonts w:ascii="Arial" w:cs="Arial" w:eastAsia="Arial" w:hAnsi="Arial"/>
          <w:sz w:val="11"/>
          <w:szCs w:val="11"/>
          <w:color w:val="050505"/>
        </w:rPr>
        <w:t>has served as a member of our board of directors since March 2018. Ms. Thomas-Graham is the founder and has served as</w:t>
      </w:r>
      <w:r>
        <w:rPr>
          <w:rFonts w:ascii="Arial" w:cs="Arial" w:eastAsia="Arial" w:hAnsi="Arial"/>
          <w:sz w:val="11"/>
          <w:szCs w:val="11"/>
          <w:b w:val="1"/>
          <w:bCs w:val="1"/>
          <w:i w:val="1"/>
          <w:iCs w:val="1"/>
          <w:color w:val="050505"/>
        </w:rPr>
        <w:t xml:space="preserve"> </w:t>
      </w:r>
      <w:r>
        <w:rPr>
          <w:rFonts w:ascii="Arial" w:cs="Arial" w:eastAsia="Arial" w:hAnsi="Arial"/>
          <w:sz w:val="11"/>
          <w:szCs w:val="11"/>
          <w:color w:val="050505"/>
        </w:rPr>
        <w:t>the Chief Executive Officer at Dandelion Chandelier LLC, a private digital media enterprise focused on the world of luxury, since August 2016. From October 2015 to August 2016, Ms. Thomas-Graham served as Chair, New Markets, of Credit Suisse Group AG, a multinational investment bank and financial services company, and from January 2010 to October 2015, she served as Chief Marketing and Talent Officer, Head of Private Banking &amp; Wealth Management New Markets, and member of the Executive Board of Credit Suisse. From January 2008 to January 2010, she served as a Managing Director at Angelo, Gordon &amp; Co., a privately-held investment firm. From September 2005 to December 2007, Ms. Thomas-Graham was Group President of Liz Claiborne Inc.’s Women’s Better and Moderate Apparel business unit. She also served as President, Chief Executive Officer, and Chairman of NBC Universal’s CNBC television business unit, Director of CNBC International, and President and Chief Executive Officer of CNBC.com. Ms. Thomas-Graham currently serves on the board of directors of Bank of N.T. Butterfield &amp; Son, Norwegian Line Holdings Ltd., and The Clorox Company. Ms. Thomas-Graham holds a B.A. in Economics from Harvard University and a joint M.B.A. from Harvard Business School and J.D. from Harvard Law School. We believe Ms. Thomas-Graham is qualified to serve on our board of directors because she brings invaluable strategic, operational, and corporate governance experience as a chief executive officer and executive leader of public and private companies.</w:t>
      </w:r>
    </w:p>
    <w:p>
      <w:pPr>
        <w:spacing w:after="0" w:line="205" w:lineRule="exact"/>
        <w:rPr>
          <w:sz w:val="20"/>
          <w:szCs w:val="20"/>
          <w:color w:val="auto"/>
        </w:rPr>
      </w:pPr>
    </w:p>
    <w:p>
      <w:pPr>
        <w:ind w:left="2060"/>
        <w:spacing w:after="0"/>
        <w:rPr>
          <w:sz w:val="20"/>
          <w:szCs w:val="20"/>
          <w:color w:val="auto"/>
        </w:rPr>
      </w:pPr>
      <w:r>
        <w:rPr>
          <w:rFonts w:ascii="Arial" w:cs="Arial" w:eastAsia="Arial" w:hAnsi="Arial"/>
          <w:sz w:val="11"/>
          <w:szCs w:val="11"/>
          <w:b w:val="1"/>
          <w:bCs w:val="1"/>
          <w:u w:val="single" w:color="auto"/>
          <w:color w:val="auto"/>
        </w:rPr>
        <w:t>Appointment of Officers</w:t>
      </w:r>
    </w:p>
    <w:p>
      <w:pPr>
        <w:spacing w:after="0" w:line="12" w:lineRule="exact"/>
        <w:rPr>
          <w:sz w:val="20"/>
          <w:szCs w:val="20"/>
          <w:color w:val="auto"/>
        </w:rPr>
      </w:pPr>
    </w:p>
    <w:p>
      <w:pPr>
        <w:jc w:val="both"/>
        <w:ind w:left="2060" w:right="839"/>
        <w:spacing w:after="0" w:line="245" w:lineRule="auto"/>
        <w:rPr>
          <w:sz w:val="20"/>
          <w:szCs w:val="20"/>
          <w:color w:val="auto"/>
        </w:rPr>
      </w:pPr>
      <w:r>
        <w:rPr>
          <w:rFonts w:ascii="Arial" w:cs="Arial" w:eastAsia="Arial" w:hAnsi="Arial"/>
          <w:sz w:val="11"/>
          <w:szCs w:val="11"/>
          <w:color w:val="050505"/>
        </w:rPr>
        <w:t>Our executive officers are appointed by, and serve at the discretion of, our board of directors. There are no family relationships among any of our directors or executive officers.</w:t>
      </w:r>
    </w:p>
    <w:p>
      <w:pPr>
        <w:spacing w:after="0" w:line="198" w:lineRule="exact"/>
        <w:rPr>
          <w:sz w:val="20"/>
          <w:szCs w:val="20"/>
          <w:color w:val="auto"/>
        </w:rPr>
      </w:pPr>
    </w:p>
    <w:p>
      <w:pPr>
        <w:ind w:left="2060"/>
        <w:spacing w:after="0"/>
        <w:rPr>
          <w:sz w:val="20"/>
          <w:szCs w:val="20"/>
          <w:color w:val="auto"/>
        </w:rPr>
      </w:pPr>
      <w:r>
        <w:rPr>
          <w:rFonts w:ascii="Arial" w:cs="Arial" w:eastAsia="Arial" w:hAnsi="Arial"/>
          <w:sz w:val="11"/>
          <w:szCs w:val="11"/>
          <w:b w:val="1"/>
          <w:bCs w:val="1"/>
          <w:u w:val="single" w:color="auto"/>
          <w:color w:val="auto"/>
        </w:rPr>
        <w:t>Board of Directors Composition</w:t>
      </w:r>
    </w:p>
    <w:p>
      <w:pPr>
        <w:spacing w:after="0" w:line="144" w:lineRule="exact"/>
        <w:rPr>
          <w:sz w:val="20"/>
          <w:szCs w:val="20"/>
          <w:color w:val="auto"/>
        </w:rPr>
      </w:pPr>
    </w:p>
    <w:p>
      <w:pPr>
        <w:ind w:left="2060"/>
        <w:spacing w:after="0"/>
        <w:rPr>
          <w:sz w:val="20"/>
          <w:szCs w:val="20"/>
          <w:color w:val="auto"/>
        </w:rPr>
      </w:pPr>
      <w:r>
        <w:rPr>
          <w:rFonts w:ascii="Arial" w:cs="Arial" w:eastAsia="Arial" w:hAnsi="Arial"/>
          <w:sz w:val="11"/>
          <w:szCs w:val="11"/>
          <w:b w:val="1"/>
          <w:bCs w:val="1"/>
          <w:i w:val="1"/>
          <w:iCs w:val="1"/>
          <w:color w:val="auto"/>
        </w:rPr>
        <w:t>Current Board of Directors</w:t>
      </w:r>
    </w:p>
    <w:p>
      <w:pPr>
        <w:spacing w:after="0" w:line="12" w:lineRule="exact"/>
        <w:rPr>
          <w:sz w:val="20"/>
          <w:szCs w:val="20"/>
          <w:color w:val="auto"/>
        </w:rPr>
      </w:pPr>
    </w:p>
    <w:p>
      <w:pPr>
        <w:jc w:val="both"/>
        <w:ind w:left="2060" w:right="839"/>
        <w:spacing w:after="0" w:line="239" w:lineRule="auto"/>
        <w:rPr>
          <w:sz w:val="20"/>
          <w:szCs w:val="20"/>
          <w:color w:val="auto"/>
        </w:rPr>
      </w:pPr>
      <w:r>
        <w:rPr>
          <w:rFonts w:ascii="Arial" w:cs="Arial" w:eastAsia="Arial" w:hAnsi="Arial"/>
          <w:sz w:val="11"/>
          <w:szCs w:val="11"/>
          <w:color w:val="050505"/>
        </w:rPr>
        <w:t>Our board of directors currently consists of eight members with no vacancies. Pursuant to our amended and restated certificate of incorporation as in effect prior to the completion of this offering and amended and restated voting agreement, Mses. Boone and Thomas-Graham and Messrs. Blachford, Callaghan, Draft, Foley, Hoag, and Lynch have been designated to serve as members of our board of directors. Pursuant to our amended and restated voting agreement (1) the seat occupied by Mr. Foley is elected by the holders of a majority of our common stock, voting separately as a single class, as the designee of Mr. Foley; (2) the seat occupied by Mr. Lynch is elected by the holders of a majority of our Series B redeemable convertible preferred stock, voting separately as a single class, as the designee of the holders of a majority of our Series B redeemable convertible preferred stock held by Tiger Global Private Investment Partners VII, L.P.; (3) the seat occupied by Mr. Callaghan is elected by the holders of a majority of our Series C redeemable convertible preferred stock, voting separately as a single class, as the designee of the holders of a majority of our Series C redeemable convertible preferred stock held by True Ventures IV, L.P; (4) the seat occupied by Mr. Hoag is elected by the holders of a majority of our Series F redeemable convertible preferred stock, voting separately as a single class, as the designee of the holders of a majority of our Series F redeemable convertible preferred stock held collectively by all entities affiliated with TCV; and (5) the seats occupied by Mses. Boone and Thomas-Graham and Messrs. Blachford and Draft are elected by the holders of a majority of our capital stock, voting together as a single class on an as-converted basis. The provisions of our amended and restated certificate of incorporation and the amended and restated voting agreement by which the directors are currently elected will terminate in connection with this offering and there will be no contractual obligations regarding the election of our directors following this offering.</w:t>
      </w:r>
    </w:p>
    <w:p>
      <w:pPr>
        <w:spacing w:after="0" w:line="146" w:lineRule="exact"/>
        <w:rPr>
          <w:sz w:val="20"/>
          <w:szCs w:val="20"/>
          <w:color w:val="auto"/>
        </w:rPr>
      </w:pPr>
    </w:p>
    <w:p>
      <w:pPr>
        <w:jc w:val="both"/>
        <w:ind w:left="2060" w:right="839"/>
        <w:spacing w:after="0" w:line="245" w:lineRule="auto"/>
        <w:rPr>
          <w:sz w:val="20"/>
          <w:szCs w:val="20"/>
          <w:color w:val="auto"/>
        </w:rPr>
      </w:pPr>
      <w:r>
        <w:rPr>
          <w:rFonts w:ascii="Arial" w:cs="Arial" w:eastAsia="Arial" w:hAnsi="Arial"/>
          <w:sz w:val="11"/>
          <w:szCs w:val="11"/>
          <w:color w:val="050505"/>
        </w:rPr>
        <w:t>After this offering, the number of directors will be fixed by our board of directors, subject to the terms of our restated certificate and restated bylaws that will become effective upon the completion of this offering. Each of our current directors</w:t>
      </w:r>
    </w:p>
    <w:p>
      <w:pPr>
        <w:spacing w:after="0" w:line="93" w:lineRule="exact"/>
        <w:rPr>
          <w:sz w:val="20"/>
          <w:szCs w:val="20"/>
          <w:color w:val="auto"/>
        </w:rPr>
      </w:pPr>
    </w:p>
    <w:p>
      <w:pPr>
        <w:ind w:left="5640"/>
        <w:spacing w:after="0"/>
        <w:rPr>
          <w:sz w:val="20"/>
          <w:szCs w:val="20"/>
          <w:color w:val="auto"/>
        </w:rPr>
      </w:pPr>
      <w:r>
        <w:rPr>
          <w:rFonts w:ascii="Arial" w:cs="Arial" w:eastAsia="Arial" w:hAnsi="Arial"/>
          <w:sz w:val="11"/>
          <w:szCs w:val="11"/>
          <w:color w:val="050505"/>
        </w:rPr>
        <w:t>115</w:t>
      </w:r>
    </w:p>
    <w:p>
      <w:pPr>
        <w:sectPr>
          <w:pgSz w:w="11900" w:h="16838" w:orient="portrait"/>
          <w:cols w:equalWidth="0" w:num="1">
            <w:col w:w="10239"/>
          </w:cols>
          <w:pgMar w:left="220" w:top="354" w:right="1440" w:bottom="1440" w:gutter="0" w:footer="0" w:header="0"/>
        </w:sectPr>
      </w:pPr>
    </w:p>
    <w:bookmarkStart w:id="125" w:name="page126"/>
    <w:bookmarkEnd w:id="125"/>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hyperlink w:anchor="page5">
        <w:r>
          <w:rPr>
            <w:rFonts w:ascii="Arial" w:cs="Arial" w:eastAsia="Arial" w:hAnsi="Arial"/>
            <w:sz w:val="12"/>
            <w:szCs w:val="12"/>
            <w:b w:val="1"/>
            <w:bCs w:val="1"/>
            <w:u w:val="single" w:color="auto"/>
            <w:color w:val="0000EE"/>
          </w:rPr>
          <w:t>Table of Contents</w:t>
        </w:r>
      </w:hyperlink>
    </w:p>
    <w:p>
      <w:pPr>
        <w:spacing w:after="0" w:line="216" w:lineRule="exact"/>
        <w:rPr>
          <w:sz w:val="20"/>
          <w:szCs w:val="20"/>
          <w:color w:val="auto"/>
        </w:rPr>
      </w:pPr>
    </w:p>
    <w:p>
      <w:pPr>
        <w:ind w:left="2060"/>
        <w:spacing w:after="0"/>
        <w:rPr>
          <w:sz w:val="20"/>
          <w:szCs w:val="20"/>
          <w:color w:val="auto"/>
        </w:rPr>
      </w:pPr>
      <w:r>
        <w:rPr>
          <w:rFonts w:ascii="Arial" w:cs="Arial" w:eastAsia="Arial" w:hAnsi="Arial"/>
          <w:sz w:val="11"/>
          <w:szCs w:val="11"/>
          <w:color w:val="050505"/>
        </w:rPr>
        <w:t>will continue to serve until the election and qualification of his or her successor, or his or her earlier death, resignation, or removal.</w:t>
      </w:r>
    </w:p>
    <w:p>
      <w:pPr>
        <w:spacing w:after="0" w:line="132" w:lineRule="exact"/>
        <w:rPr>
          <w:sz w:val="20"/>
          <w:szCs w:val="20"/>
          <w:color w:val="auto"/>
        </w:rPr>
      </w:pPr>
    </w:p>
    <w:p>
      <w:pPr>
        <w:ind w:left="2060"/>
        <w:spacing w:after="0"/>
        <w:rPr>
          <w:sz w:val="20"/>
          <w:szCs w:val="20"/>
          <w:color w:val="auto"/>
        </w:rPr>
      </w:pPr>
      <w:r>
        <w:rPr>
          <w:rFonts w:ascii="Arial" w:cs="Arial" w:eastAsia="Arial" w:hAnsi="Arial"/>
          <w:sz w:val="11"/>
          <w:szCs w:val="11"/>
          <w:b w:val="1"/>
          <w:bCs w:val="1"/>
          <w:i w:val="1"/>
          <w:iCs w:val="1"/>
          <w:color w:val="auto"/>
        </w:rPr>
        <w:t>Classified Board of Directors</w:t>
      </w:r>
    </w:p>
    <w:p>
      <w:pPr>
        <w:spacing w:after="0" w:line="12" w:lineRule="exact"/>
        <w:rPr>
          <w:sz w:val="20"/>
          <w:szCs w:val="20"/>
          <w:color w:val="auto"/>
        </w:rPr>
      </w:pPr>
    </w:p>
    <w:p>
      <w:pPr>
        <w:jc w:val="both"/>
        <w:ind w:left="2060" w:right="839"/>
        <w:spacing w:after="0"/>
        <w:rPr>
          <w:sz w:val="20"/>
          <w:szCs w:val="20"/>
          <w:color w:val="auto"/>
        </w:rPr>
      </w:pPr>
      <w:r>
        <w:rPr>
          <w:rFonts w:ascii="Arial" w:cs="Arial" w:eastAsia="Arial" w:hAnsi="Arial"/>
          <w:sz w:val="11"/>
          <w:szCs w:val="11"/>
          <w:color w:val="050505"/>
        </w:rPr>
        <w:t>Our restated certificate of incorporation that will be in effect upon the completion of this offering provides that, upon the completion of this offering, our board of directors will be divided into three classes with staggered three-year terms. Upon expiration of the term of a class of directors, directors for that class will be elected for three-year terms at the annual meeting of stockholders in the year in which that term expires. As a result, only one class of directors will be elected at each annual meeting of our stockholders, with the other classes continuing for the remainder of their respective three-year terms. Each director’s term will continue until the election and qualification of his or her successor, or his or her earlier death, resignation, or removal. Our directors will be divided among the three classes as follows:</w:t>
      </w:r>
    </w:p>
    <w:p>
      <w:pPr>
        <w:spacing w:after="0" w:line="160" w:lineRule="exact"/>
        <w:rPr>
          <w:sz w:val="20"/>
          <w:szCs w:val="20"/>
          <w:color w:val="auto"/>
        </w:rPr>
      </w:pPr>
    </w:p>
    <w:p>
      <w:pPr>
        <w:ind w:left="2420" w:right="839" w:hanging="217"/>
        <w:spacing w:after="0" w:line="245" w:lineRule="auto"/>
        <w:tabs>
          <w:tab w:leader="none" w:pos="2420" w:val="left"/>
        </w:tabs>
        <w:numPr>
          <w:ilvl w:val="0"/>
          <w:numId w:val="71"/>
        </w:numPr>
        <w:rPr>
          <w:rFonts w:ascii="Arial" w:cs="Arial" w:eastAsia="Arial" w:hAnsi="Arial"/>
          <w:sz w:val="11"/>
          <w:szCs w:val="11"/>
          <w:color w:val="F7323F"/>
        </w:rPr>
      </w:pPr>
      <w:r>
        <w:rPr>
          <w:rFonts w:ascii="Arial" w:cs="Arial" w:eastAsia="Arial" w:hAnsi="Arial"/>
          <w:sz w:val="11"/>
          <w:szCs w:val="11"/>
          <w:color w:val="050505"/>
        </w:rPr>
        <w:t>Class I directors, whose initial term will expire at the annual meeting of stockholders to be held in fiscal 2021, will consist of Howard Draft, Erik Blachford, and Pamela Thomas-Graham;</w:t>
      </w:r>
    </w:p>
    <w:p>
      <w:pPr>
        <w:spacing w:after="0" w:line="38" w:lineRule="exact"/>
        <w:rPr>
          <w:rFonts w:ascii="Arial" w:cs="Arial" w:eastAsia="Arial" w:hAnsi="Arial"/>
          <w:sz w:val="11"/>
          <w:szCs w:val="11"/>
          <w:color w:val="F7323F"/>
        </w:rPr>
      </w:pPr>
    </w:p>
    <w:p>
      <w:pPr>
        <w:ind w:left="2420" w:right="839" w:hanging="217"/>
        <w:spacing w:after="0" w:line="245" w:lineRule="auto"/>
        <w:tabs>
          <w:tab w:leader="none" w:pos="2420" w:val="left"/>
        </w:tabs>
        <w:numPr>
          <w:ilvl w:val="0"/>
          <w:numId w:val="71"/>
        </w:numPr>
        <w:rPr>
          <w:rFonts w:ascii="Arial" w:cs="Arial" w:eastAsia="Arial" w:hAnsi="Arial"/>
          <w:sz w:val="11"/>
          <w:szCs w:val="11"/>
          <w:color w:val="F7323F"/>
        </w:rPr>
      </w:pPr>
      <w:r>
        <w:rPr>
          <w:rFonts w:ascii="Arial" w:cs="Arial" w:eastAsia="Arial" w:hAnsi="Arial"/>
          <w:sz w:val="11"/>
          <w:szCs w:val="11"/>
          <w:color w:val="050505"/>
        </w:rPr>
        <w:t>Class II directors, whose initial term will expire at the annual meeting of stockholders to be held in fiscal 2022, will consist of John Callaghan and Jay Hoag; and</w:t>
      </w:r>
    </w:p>
    <w:p>
      <w:pPr>
        <w:spacing w:after="0" w:line="38" w:lineRule="exact"/>
        <w:rPr>
          <w:rFonts w:ascii="Arial" w:cs="Arial" w:eastAsia="Arial" w:hAnsi="Arial"/>
          <w:sz w:val="11"/>
          <w:szCs w:val="11"/>
          <w:color w:val="F7323F"/>
        </w:rPr>
      </w:pPr>
    </w:p>
    <w:p>
      <w:pPr>
        <w:ind w:left="2420" w:right="839" w:hanging="217"/>
        <w:spacing w:after="0" w:line="245" w:lineRule="auto"/>
        <w:tabs>
          <w:tab w:leader="none" w:pos="2420" w:val="left"/>
        </w:tabs>
        <w:numPr>
          <w:ilvl w:val="0"/>
          <w:numId w:val="71"/>
        </w:numPr>
        <w:rPr>
          <w:rFonts w:ascii="Arial" w:cs="Arial" w:eastAsia="Arial" w:hAnsi="Arial"/>
          <w:sz w:val="11"/>
          <w:szCs w:val="11"/>
          <w:color w:val="F7323F"/>
        </w:rPr>
      </w:pPr>
      <w:r>
        <w:rPr>
          <w:rFonts w:ascii="Arial" w:cs="Arial" w:eastAsia="Arial" w:hAnsi="Arial"/>
          <w:sz w:val="11"/>
          <w:szCs w:val="11"/>
          <w:color w:val="050505"/>
        </w:rPr>
        <w:t>Class III directors, whose initial term will expire at the annual meeting of stockholders to be held in fiscal 2023, will consist of John Foley, William Lynch, and Karen Boone.</w:t>
      </w:r>
    </w:p>
    <w:p>
      <w:pPr>
        <w:spacing w:after="0" w:line="138" w:lineRule="exact"/>
        <w:rPr>
          <w:sz w:val="20"/>
          <w:szCs w:val="20"/>
          <w:color w:val="auto"/>
        </w:rPr>
      </w:pPr>
    </w:p>
    <w:p>
      <w:pPr>
        <w:jc w:val="both"/>
        <w:ind w:left="2060" w:right="839"/>
        <w:spacing w:after="0" w:line="242" w:lineRule="auto"/>
        <w:rPr>
          <w:sz w:val="20"/>
          <w:szCs w:val="20"/>
          <w:color w:val="auto"/>
        </w:rPr>
      </w:pPr>
      <w:r>
        <w:rPr>
          <w:rFonts w:ascii="Arial" w:cs="Arial" w:eastAsia="Arial" w:hAnsi="Arial"/>
          <w:sz w:val="11"/>
          <w:szCs w:val="11"/>
          <w:color w:val="050505"/>
        </w:rPr>
        <w:t>Our restated certificate of incorporation and restated bylaws that will be in effect upon the completion of this offering provide that only our board of directors may fill vacancies on our board. Any additional directorships resulting from an increase in the number of directors will be distributed among the three classes so that, as nearly as possible, each class will consist of one-third of the total number of directors.</w:t>
      </w:r>
    </w:p>
    <w:p>
      <w:pPr>
        <w:spacing w:after="0" w:line="140" w:lineRule="exact"/>
        <w:rPr>
          <w:sz w:val="20"/>
          <w:szCs w:val="20"/>
          <w:color w:val="auto"/>
        </w:rPr>
      </w:pPr>
    </w:p>
    <w:p>
      <w:pPr>
        <w:jc w:val="both"/>
        <w:ind w:left="2060" w:right="839"/>
        <w:spacing w:after="0" w:line="242" w:lineRule="auto"/>
        <w:rPr>
          <w:sz w:val="20"/>
          <w:szCs w:val="20"/>
          <w:color w:val="auto"/>
        </w:rPr>
      </w:pPr>
      <w:r>
        <w:rPr>
          <w:rFonts w:ascii="Arial" w:cs="Arial" w:eastAsia="Arial" w:hAnsi="Arial"/>
          <w:sz w:val="11"/>
          <w:szCs w:val="11"/>
          <w:color w:val="050505"/>
        </w:rPr>
        <w:t>The classification of our board of directors may have the effect of delaying or preventing changes in our control or management. See the section titled “Description of Capital Stock—Anti-Takeover Provisions—Restated Certificate of Incorporation and Restated Bylaws Provisions” for additional information.</w:t>
      </w:r>
    </w:p>
    <w:p>
      <w:pPr>
        <w:spacing w:after="0" w:line="128" w:lineRule="exact"/>
        <w:rPr>
          <w:sz w:val="20"/>
          <w:szCs w:val="20"/>
          <w:color w:val="auto"/>
        </w:rPr>
      </w:pPr>
    </w:p>
    <w:p>
      <w:pPr>
        <w:ind w:left="2060"/>
        <w:spacing w:after="0"/>
        <w:rPr>
          <w:sz w:val="20"/>
          <w:szCs w:val="20"/>
          <w:color w:val="auto"/>
        </w:rPr>
      </w:pPr>
      <w:r>
        <w:rPr>
          <w:rFonts w:ascii="Arial" w:cs="Arial" w:eastAsia="Arial" w:hAnsi="Arial"/>
          <w:sz w:val="11"/>
          <w:szCs w:val="11"/>
          <w:b w:val="1"/>
          <w:bCs w:val="1"/>
          <w:i w:val="1"/>
          <w:iCs w:val="1"/>
          <w:color w:val="auto"/>
        </w:rPr>
        <w:t>Director Independence</w:t>
      </w:r>
    </w:p>
    <w:p>
      <w:pPr>
        <w:spacing w:after="0" w:line="12" w:lineRule="exact"/>
        <w:rPr>
          <w:sz w:val="20"/>
          <w:szCs w:val="20"/>
          <w:color w:val="auto"/>
        </w:rPr>
      </w:pPr>
    </w:p>
    <w:p>
      <w:pPr>
        <w:jc w:val="both"/>
        <w:ind w:left="2060" w:right="839"/>
        <w:spacing w:after="0"/>
        <w:rPr>
          <w:sz w:val="20"/>
          <w:szCs w:val="20"/>
          <w:color w:val="auto"/>
        </w:rPr>
      </w:pPr>
      <w:r>
        <w:rPr>
          <w:rFonts w:ascii="Arial" w:cs="Arial" w:eastAsia="Arial" w:hAnsi="Arial"/>
          <w:sz w:val="11"/>
          <w:szCs w:val="11"/>
          <w:color w:val="050505"/>
        </w:rPr>
        <w:t>Our Class A common stock will be listed on the Nasdaq Global Select Market. Under the rules of Nasdaq, independent directors must comprise a majority of a listed company’s board of directors within a specified period of the completion of this offering. In addition, rules require that, subject to specified exceptions, each member of a listed company’s audit, compensation, and nominating, governance, and corporate responsibility committees be independent. Under rules, a director will only qualify as an “independent director” if, in the opinion of that company’s board of directors, that person does not have a relationship that would interfere with the exercise of independent judgment in carrying out the responsibilities of a director.</w:t>
      </w:r>
    </w:p>
    <w:p>
      <w:pPr>
        <w:spacing w:after="0" w:line="142" w:lineRule="exact"/>
        <w:rPr>
          <w:sz w:val="20"/>
          <w:szCs w:val="20"/>
          <w:color w:val="auto"/>
        </w:rPr>
      </w:pPr>
    </w:p>
    <w:p>
      <w:pPr>
        <w:jc w:val="both"/>
        <w:ind w:left="2060" w:right="839"/>
        <w:spacing w:after="0"/>
        <w:rPr>
          <w:sz w:val="20"/>
          <w:szCs w:val="20"/>
          <w:color w:val="auto"/>
        </w:rPr>
      </w:pPr>
      <w:r>
        <w:rPr>
          <w:rFonts w:ascii="Arial" w:cs="Arial" w:eastAsia="Arial" w:hAnsi="Arial"/>
          <w:sz w:val="11"/>
          <w:szCs w:val="11"/>
          <w:color w:val="050505"/>
        </w:rPr>
        <w:t>Audit committee members must also satisfy the independence criteria set forth in Rule 10A-3 under the Exchange Act. In order to be considered independent for purposes of Rule 10A-3, a member of an audit committee of a listed company may not, other than in his or her capacity as a member of the audit committee, the board of directors, or any other board committee: (1) accept, directly or indirectly, any consulting, advisory, or other compensatory fee from the listed company or any of its subsidiaries; or (2) be an affiliated person of the listed company or any of its subsidiaries. We intend to satisfy the audit committee independence requirements of Rule 10A-3 as of the closing of this offering.</w:t>
      </w:r>
    </w:p>
    <w:p>
      <w:pPr>
        <w:spacing w:after="0" w:line="142" w:lineRule="exact"/>
        <w:rPr>
          <w:sz w:val="20"/>
          <w:szCs w:val="20"/>
          <w:color w:val="auto"/>
        </w:rPr>
      </w:pPr>
    </w:p>
    <w:p>
      <w:pPr>
        <w:jc w:val="both"/>
        <w:ind w:left="2060" w:right="839"/>
        <w:spacing w:after="0" w:line="268" w:lineRule="auto"/>
        <w:rPr>
          <w:sz w:val="20"/>
          <w:szCs w:val="20"/>
          <w:color w:val="auto"/>
        </w:rPr>
      </w:pPr>
      <w:r>
        <w:rPr>
          <w:rFonts w:ascii="Arial" w:cs="Arial" w:eastAsia="Arial" w:hAnsi="Arial"/>
          <w:sz w:val="10"/>
          <w:szCs w:val="10"/>
          <w:color w:val="050505"/>
        </w:rPr>
        <w:t>Our board of directors has undertaken a review of the independence of each director and considered whether each director has a material relationship with us that could compromise his or her ability to exercise independent judgment in carrying out his or her responsibilities. As a result of this review, our board of directors determined that Mses. Boone and Thomas-Graham and Messrs. Blachford, Callaghan, Draft, and Hoag are “independent directors” as defined under the applicable rules and regulations of the SEC and the listing requirements and rules of Nasdaq. In making these determinations, our board of directors reviewed and discussed information provided by the directors and us with regard to each director’s business and personal activities and current and prior relationships as they may relate to us and our management, including the beneficial ownership of our capital stock by each non-employee director and the transactions involving them described in the section titled “Certain Relationships and Related Party Transactions.”</w:t>
      </w:r>
    </w:p>
    <w:p>
      <w:pPr>
        <w:spacing w:after="0" w:line="83" w:lineRule="exact"/>
        <w:rPr>
          <w:sz w:val="20"/>
          <w:szCs w:val="20"/>
          <w:color w:val="auto"/>
        </w:rPr>
      </w:pPr>
    </w:p>
    <w:p>
      <w:pPr>
        <w:ind w:left="5640"/>
        <w:spacing w:after="0"/>
        <w:rPr>
          <w:sz w:val="20"/>
          <w:szCs w:val="20"/>
          <w:color w:val="auto"/>
        </w:rPr>
      </w:pPr>
      <w:r>
        <w:rPr>
          <w:rFonts w:ascii="Arial" w:cs="Arial" w:eastAsia="Arial" w:hAnsi="Arial"/>
          <w:sz w:val="11"/>
          <w:szCs w:val="11"/>
          <w:color w:val="050505"/>
        </w:rPr>
        <w:t>116</w:t>
      </w:r>
    </w:p>
    <w:p>
      <w:pPr>
        <w:sectPr>
          <w:pgSz w:w="11900" w:h="16838" w:orient="portrait"/>
          <w:cols w:equalWidth="0" w:num="1">
            <w:col w:w="10239"/>
          </w:cols>
          <w:pgMar w:left="220" w:top="354" w:right="1440" w:bottom="1440" w:gutter="0" w:footer="0" w:header="0"/>
        </w:sectPr>
      </w:pPr>
    </w:p>
    <w:bookmarkStart w:id="126" w:name="page127"/>
    <w:bookmarkEnd w:id="126"/>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hyperlink w:anchor="page5">
        <w:r>
          <w:rPr>
            <w:rFonts w:ascii="Arial" w:cs="Arial" w:eastAsia="Arial" w:hAnsi="Arial"/>
            <w:sz w:val="12"/>
            <w:szCs w:val="12"/>
            <w:b w:val="1"/>
            <w:bCs w:val="1"/>
            <w:u w:val="single" w:color="auto"/>
            <w:color w:val="0000EE"/>
          </w:rPr>
          <w:t>Table of Contents</w:t>
        </w:r>
      </w:hyperlink>
    </w:p>
    <w:p>
      <w:pPr>
        <w:spacing w:after="0" w:line="204" w:lineRule="exact"/>
        <w:rPr>
          <w:sz w:val="20"/>
          <w:szCs w:val="20"/>
          <w:color w:val="auto"/>
        </w:rPr>
      </w:pPr>
    </w:p>
    <w:p>
      <w:pPr>
        <w:ind w:left="2060"/>
        <w:spacing w:after="0"/>
        <w:rPr>
          <w:sz w:val="20"/>
          <w:szCs w:val="20"/>
          <w:color w:val="auto"/>
        </w:rPr>
      </w:pPr>
      <w:r>
        <w:rPr>
          <w:rFonts w:ascii="Arial" w:cs="Arial" w:eastAsia="Arial" w:hAnsi="Arial"/>
          <w:sz w:val="11"/>
          <w:szCs w:val="11"/>
          <w:b w:val="1"/>
          <w:bCs w:val="1"/>
          <w:u w:val="single" w:color="auto"/>
          <w:color w:val="auto"/>
        </w:rPr>
        <w:t>Lead Independent Director</w:t>
      </w:r>
    </w:p>
    <w:p>
      <w:pPr>
        <w:spacing w:after="0" w:line="12" w:lineRule="exact"/>
        <w:rPr>
          <w:sz w:val="20"/>
          <w:szCs w:val="20"/>
          <w:color w:val="auto"/>
        </w:rPr>
      </w:pPr>
    </w:p>
    <w:p>
      <w:pPr>
        <w:jc w:val="both"/>
        <w:ind w:left="2060" w:right="839"/>
        <w:spacing w:after="0" w:line="241" w:lineRule="auto"/>
        <w:rPr>
          <w:sz w:val="20"/>
          <w:szCs w:val="20"/>
          <w:color w:val="auto"/>
        </w:rPr>
      </w:pPr>
      <w:r>
        <w:rPr>
          <w:rFonts w:ascii="Arial" w:cs="Arial" w:eastAsia="Arial" w:hAnsi="Arial"/>
          <w:sz w:val="11"/>
          <w:szCs w:val="11"/>
          <w:color w:val="050505"/>
        </w:rPr>
        <w:t>Our board of directors will adopt corporate governance guidelines that provide that one of our independent directors will serve as our lead independent director. Our board of directors has appointed Mr. Blachford to serve as our lead independent director. As lead independent director, Mr. Blachford will provide leadership to our board of directors if circumstances arise in which the role of chief executive officer and Chairperson of our board of directors may be, or may be perceived to be, in conflict, and perform such additional duties as our board of directors may otherwise determine and delegate.</w:t>
      </w:r>
    </w:p>
    <w:p>
      <w:pPr>
        <w:spacing w:after="0" w:line="201" w:lineRule="exact"/>
        <w:rPr>
          <w:sz w:val="20"/>
          <w:szCs w:val="20"/>
          <w:color w:val="auto"/>
        </w:rPr>
      </w:pPr>
    </w:p>
    <w:p>
      <w:pPr>
        <w:ind w:left="2060"/>
        <w:spacing w:after="0"/>
        <w:rPr>
          <w:sz w:val="20"/>
          <w:szCs w:val="20"/>
          <w:color w:val="auto"/>
        </w:rPr>
      </w:pPr>
      <w:r>
        <w:rPr>
          <w:rFonts w:ascii="Arial" w:cs="Arial" w:eastAsia="Arial" w:hAnsi="Arial"/>
          <w:sz w:val="11"/>
          <w:szCs w:val="11"/>
          <w:b w:val="1"/>
          <w:bCs w:val="1"/>
          <w:u w:val="single" w:color="auto"/>
          <w:color w:val="auto"/>
        </w:rPr>
        <w:t>Committees of Our Board of Directors</w:t>
      </w:r>
    </w:p>
    <w:p>
      <w:pPr>
        <w:spacing w:after="0" w:line="12" w:lineRule="exact"/>
        <w:rPr>
          <w:sz w:val="20"/>
          <w:szCs w:val="20"/>
          <w:color w:val="auto"/>
        </w:rPr>
      </w:pPr>
    </w:p>
    <w:p>
      <w:pPr>
        <w:jc w:val="both"/>
        <w:ind w:left="2060" w:right="839"/>
        <w:spacing w:after="0"/>
        <w:rPr>
          <w:sz w:val="20"/>
          <w:szCs w:val="20"/>
          <w:color w:val="auto"/>
        </w:rPr>
      </w:pPr>
      <w:r>
        <w:rPr>
          <w:rFonts w:ascii="Arial" w:cs="Arial" w:eastAsia="Arial" w:hAnsi="Arial"/>
          <w:sz w:val="11"/>
          <w:szCs w:val="11"/>
          <w:color w:val="050505"/>
        </w:rPr>
        <w:t>Our board of directors has established an audit committee, a compensation committee, and a nominating, governance, and corporate responsibility committee, each of which will have the composition and responsibilities described below as of the closing of this offering. Members serve on these committees until their resignation or until otherwise determined by our board of directors. Each committee will operate under a written charter approved by our board of directors that satisfies the applicable rules of the SEC and the listing standards of Nasdaq. Following this offering, copies of each committee’s charter will be posted on the Investor Relations section of our website.</w:t>
      </w:r>
    </w:p>
    <w:p>
      <w:pPr>
        <w:spacing w:after="0" w:line="130" w:lineRule="exact"/>
        <w:rPr>
          <w:sz w:val="20"/>
          <w:szCs w:val="20"/>
          <w:color w:val="auto"/>
        </w:rPr>
      </w:pPr>
    </w:p>
    <w:p>
      <w:pPr>
        <w:ind w:left="2060"/>
        <w:spacing w:after="0"/>
        <w:rPr>
          <w:sz w:val="20"/>
          <w:szCs w:val="20"/>
          <w:color w:val="auto"/>
        </w:rPr>
      </w:pPr>
      <w:r>
        <w:rPr>
          <w:rFonts w:ascii="Arial" w:cs="Arial" w:eastAsia="Arial" w:hAnsi="Arial"/>
          <w:sz w:val="11"/>
          <w:szCs w:val="11"/>
          <w:b w:val="1"/>
          <w:bCs w:val="1"/>
          <w:i w:val="1"/>
          <w:iCs w:val="1"/>
          <w:color w:val="auto"/>
        </w:rPr>
        <w:t>Audit Committee</w:t>
      </w:r>
    </w:p>
    <w:p>
      <w:pPr>
        <w:spacing w:after="0" w:line="12" w:lineRule="exact"/>
        <w:rPr>
          <w:sz w:val="20"/>
          <w:szCs w:val="20"/>
          <w:color w:val="auto"/>
        </w:rPr>
      </w:pPr>
    </w:p>
    <w:p>
      <w:pPr>
        <w:jc w:val="both"/>
        <w:ind w:left="2060" w:right="839"/>
        <w:spacing w:after="0"/>
        <w:rPr>
          <w:sz w:val="20"/>
          <w:szCs w:val="20"/>
          <w:color w:val="auto"/>
        </w:rPr>
      </w:pPr>
      <w:r>
        <w:rPr>
          <w:rFonts w:ascii="Arial" w:cs="Arial" w:eastAsia="Arial" w:hAnsi="Arial"/>
          <w:sz w:val="11"/>
          <w:szCs w:val="11"/>
          <w:color w:val="050505"/>
        </w:rPr>
        <w:t>Our audit committee is comprised of Ms. Boone and Messrs. Callaghan and Draft. Ms. Boone is the chairperson of our audit committee. Ms. Boone and Messrs. Callaghan and Draft each meet the requirements for independence under the current Nasdaq listing standards and SEC rules and regulations. In addition, our board of directors has determined that Ms. Boone is an “audit committee financial expert” as defined in Item 407(d) of Regulation S-K promulgated under the Securities Act. This designation does not impose on Ms. Boone any duties, obligations, or liabilities that are greater than are generally imposed on members of our audit committee and our board of directors. Each member of our audit committee is financially literate. Our audit committee is directly responsible for, among other things:</w:t>
      </w:r>
    </w:p>
    <w:p>
      <w:pPr>
        <w:spacing w:after="0" w:line="160" w:lineRule="exact"/>
        <w:rPr>
          <w:sz w:val="20"/>
          <w:szCs w:val="20"/>
          <w:color w:val="auto"/>
        </w:rPr>
      </w:pPr>
    </w:p>
    <w:p>
      <w:pPr>
        <w:ind w:left="2420" w:hanging="217"/>
        <w:spacing w:after="0"/>
        <w:tabs>
          <w:tab w:leader="none" w:pos="2420" w:val="left"/>
        </w:tabs>
        <w:numPr>
          <w:ilvl w:val="0"/>
          <w:numId w:val="72"/>
        </w:numPr>
        <w:rPr>
          <w:rFonts w:ascii="Arial" w:cs="Arial" w:eastAsia="Arial" w:hAnsi="Arial"/>
          <w:sz w:val="11"/>
          <w:szCs w:val="11"/>
          <w:color w:val="F7323F"/>
        </w:rPr>
      </w:pPr>
      <w:r>
        <w:rPr>
          <w:rFonts w:ascii="Arial" w:cs="Arial" w:eastAsia="Arial" w:hAnsi="Arial"/>
          <w:sz w:val="11"/>
          <w:szCs w:val="11"/>
          <w:color w:val="050505"/>
        </w:rPr>
        <w:t>selecting a firm to serve as the independent registered public accounting firm to audit our consolidated financial statements;</w:t>
      </w:r>
    </w:p>
    <w:p>
      <w:pPr>
        <w:spacing w:after="0" w:line="44" w:lineRule="exact"/>
        <w:rPr>
          <w:rFonts w:ascii="Arial" w:cs="Arial" w:eastAsia="Arial" w:hAnsi="Arial"/>
          <w:sz w:val="11"/>
          <w:szCs w:val="11"/>
          <w:color w:val="F7323F"/>
        </w:rPr>
      </w:pPr>
    </w:p>
    <w:p>
      <w:pPr>
        <w:ind w:left="2420" w:hanging="217"/>
        <w:spacing w:after="0"/>
        <w:tabs>
          <w:tab w:leader="none" w:pos="2420" w:val="left"/>
        </w:tabs>
        <w:numPr>
          <w:ilvl w:val="0"/>
          <w:numId w:val="72"/>
        </w:numPr>
        <w:rPr>
          <w:rFonts w:ascii="Arial" w:cs="Arial" w:eastAsia="Arial" w:hAnsi="Arial"/>
          <w:sz w:val="11"/>
          <w:szCs w:val="11"/>
          <w:color w:val="F7323F"/>
        </w:rPr>
      </w:pPr>
      <w:r>
        <w:rPr>
          <w:rFonts w:ascii="Arial" w:cs="Arial" w:eastAsia="Arial" w:hAnsi="Arial"/>
          <w:sz w:val="11"/>
          <w:szCs w:val="11"/>
          <w:color w:val="050505"/>
        </w:rPr>
        <w:t>ensuring the independence of the independent registered public accounting firm;</w:t>
      </w:r>
    </w:p>
    <w:p>
      <w:pPr>
        <w:spacing w:after="0" w:line="44" w:lineRule="exact"/>
        <w:rPr>
          <w:rFonts w:ascii="Arial" w:cs="Arial" w:eastAsia="Arial" w:hAnsi="Arial"/>
          <w:sz w:val="11"/>
          <w:szCs w:val="11"/>
          <w:color w:val="F7323F"/>
        </w:rPr>
      </w:pPr>
    </w:p>
    <w:p>
      <w:pPr>
        <w:ind w:left="2420" w:right="839" w:hanging="217"/>
        <w:spacing w:after="0" w:line="245" w:lineRule="auto"/>
        <w:tabs>
          <w:tab w:leader="none" w:pos="2420" w:val="left"/>
        </w:tabs>
        <w:numPr>
          <w:ilvl w:val="0"/>
          <w:numId w:val="72"/>
        </w:numPr>
        <w:rPr>
          <w:rFonts w:ascii="Arial" w:cs="Arial" w:eastAsia="Arial" w:hAnsi="Arial"/>
          <w:sz w:val="11"/>
          <w:szCs w:val="11"/>
          <w:color w:val="F7323F"/>
        </w:rPr>
      </w:pPr>
      <w:r>
        <w:rPr>
          <w:rFonts w:ascii="Arial" w:cs="Arial" w:eastAsia="Arial" w:hAnsi="Arial"/>
          <w:sz w:val="11"/>
          <w:szCs w:val="11"/>
          <w:color w:val="050505"/>
        </w:rPr>
        <w:t>discussing the scope and results of the audit with the independent registered public accounting firm and reviewing, with management and that firm, our interim and year-end operating results;</w:t>
      </w:r>
    </w:p>
    <w:p>
      <w:pPr>
        <w:spacing w:after="0" w:line="38" w:lineRule="exact"/>
        <w:rPr>
          <w:rFonts w:ascii="Arial" w:cs="Arial" w:eastAsia="Arial" w:hAnsi="Arial"/>
          <w:sz w:val="11"/>
          <w:szCs w:val="11"/>
          <w:color w:val="F7323F"/>
        </w:rPr>
      </w:pPr>
    </w:p>
    <w:p>
      <w:pPr>
        <w:ind w:left="2420" w:hanging="217"/>
        <w:spacing w:after="0"/>
        <w:tabs>
          <w:tab w:leader="none" w:pos="2420" w:val="left"/>
        </w:tabs>
        <w:numPr>
          <w:ilvl w:val="0"/>
          <w:numId w:val="72"/>
        </w:numPr>
        <w:rPr>
          <w:rFonts w:ascii="Arial" w:cs="Arial" w:eastAsia="Arial" w:hAnsi="Arial"/>
          <w:sz w:val="11"/>
          <w:szCs w:val="11"/>
          <w:color w:val="F7323F"/>
        </w:rPr>
      </w:pPr>
      <w:r>
        <w:rPr>
          <w:rFonts w:ascii="Arial" w:cs="Arial" w:eastAsia="Arial" w:hAnsi="Arial"/>
          <w:sz w:val="11"/>
          <w:szCs w:val="11"/>
          <w:color w:val="050505"/>
        </w:rPr>
        <w:t>establishing procedures for employees to anonymously submit concerns about questionable accounting or audit matters;</w:t>
      </w:r>
    </w:p>
    <w:p>
      <w:pPr>
        <w:spacing w:after="0" w:line="44" w:lineRule="exact"/>
        <w:rPr>
          <w:rFonts w:ascii="Arial" w:cs="Arial" w:eastAsia="Arial" w:hAnsi="Arial"/>
          <w:sz w:val="11"/>
          <w:szCs w:val="11"/>
          <w:color w:val="F7323F"/>
        </w:rPr>
      </w:pPr>
    </w:p>
    <w:p>
      <w:pPr>
        <w:ind w:left="2420" w:hanging="217"/>
        <w:spacing w:after="0"/>
        <w:tabs>
          <w:tab w:leader="none" w:pos="2420" w:val="left"/>
        </w:tabs>
        <w:numPr>
          <w:ilvl w:val="0"/>
          <w:numId w:val="72"/>
        </w:numPr>
        <w:rPr>
          <w:rFonts w:ascii="Arial" w:cs="Arial" w:eastAsia="Arial" w:hAnsi="Arial"/>
          <w:sz w:val="11"/>
          <w:szCs w:val="11"/>
          <w:color w:val="F7323F"/>
        </w:rPr>
      </w:pPr>
      <w:r>
        <w:rPr>
          <w:rFonts w:ascii="Arial" w:cs="Arial" w:eastAsia="Arial" w:hAnsi="Arial"/>
          <w:sz w:val="11"/>
          <w:szCs w:val="11"/>
          <w:color w:val="050505"/>
        </w:rPr>
        <w:t>considering the adequacy of our internal controls;</w:t>
      </w:r>
    </w:p>
    <w:p>
      <w:pPr>
        <w:spacing w:after="0" w:line="44" w:lineRule="exact"/>
        <w:rPr>
          <w:rFonts w:ascii="Arial" w:cs="Arial" w:eastAsia="Arial" w:hAnsi="Arial"/>
          <w:sz w:val="11"/>
          <w:szCs w:val="11"/>
          <w:color w:val="F7323F"/>
        </w:rPr>
      </w:pPr>
    </w:p>
    <w:p>
      <w:pPr>
        <w:ind w:left="2420" w:right="839" w:hanging="217"/>
        <w:spacing w:after="0" w:line="245" w:lineRule="auto"/>
        <w:tabs>
          <w:tab w:leader="none" w:pos="2420" w:val="left"/>
        </w:tabs>
        <w:numPr>
          <w:ilvl w:val="0"/>
          <w:numId w:val="72"/>
        </w:numPr>
        <w:rPr>
          <w:rFonts w:ascii="Arial" w:cs="Arial" w:eastAsia="Arial" w:hAnsi="Arial"/>
          <w:sz w:val="11"/>
          <w:szCs w:val="11"/>
          <w:color w:val="F7323F"/>
        </w:rPr>
      </w:pPr>
      <w:r>
        <w:rPr>
          <w:rFonts w:ascii="Arial" w:cs="Arial" w:eastAsia="Arial" w:hAnsi="Arial"/>
          <w:sz w:val="11"/>
          <w:szCs w:val="11"/>
          <w:color w:val="050505"/>
        </w:rPr>
        <w:t>reviewing proposed waivers of the code of conduct for directors, executive officers, and employees (with waivers for directors or executive officers to be approved by the board of directors);</w:t>
      </w:r>
    </w:p>
    <w:p>
      <w:pPr>
        <w:spacing w:after="0" w:line="38" w:lineRule="exact"/>
        <w:rPr>
          <w:rFonts w:ascii="Arial" w:cs="Arial" w:eastAsia="Arial" w:hAnsi="Arial"/>
          <w:sz w:val="11"/>
          <w:szCs w:val="11"/>
          <w:color w:val="F7323F"/>
        </w:rPr>
      </w:pPr>
    </w:p>
    <w:p>
      <w:pPr>
        <w:ind w:left="2420" w:right="839" w:hanging="217"/>
        <w:spacing w:after="0" w:line="245" w:lineRule="auto"/>
        <w:tabs>
          <w:tab w:leader="none" w:pos="2420" w:val="left"/>
        </w:tabs>
        <w:numPr>
          <w:ilvl w:val="0"/>
          <w:numId w:val="72"/>
        </w:numPr>
        <w:rPr>
          <w:rFonts w:ascii="Arial" w:cs="Arial" w:eastAsia="Arial" w:hAnsi="Arial"/>
          <w:sz w:val="11"/>
          <w:szCs w:val="11"/>
          <w:color w:val="F7323F"/>
        </w:rPr>
      </w:pPr>
      <w:r>
        <w:rPr>
          <w:rFonts w:ascii="Arial" w:cs="Arial" w:eastAsia="Arial" w:hAnsi="Arial"/>
          <w:sz w:val="11"/>
          <w:szCs w:val="11"/>
          <w:color w:val="050505"/>
        </w:rPr>
        <w:t>inquiring about significant risks, reviewing our policies for risk assessment and risk management, including cybersecurity risks, and assessing the steps management has taken to control these risks;</w:t>
      </w:r>
    </w:p>
    <w:p>
      <w:pPr>
        <w:spacing w:after="0" w:line="38" w:lineRule="exact"/>
        <w:rPr>
          <w:rFonts w:ascii="Arial" w:cs="Arial" w:eastAsia="Arial" w:hAnsi="Arial"/>
          <w:sz w:val="11"/>
          <w:szCs w:val="11"/>
          <w:color w:val="F7323F"/>
        </w:rPr>
      </w:pPr>
    </w:p>
    <w:p>
      <w:pPr>
        <w:ind w:left="2420" w:hanging="217"/>
        <w:spacing w:after="0"/>
        <w:tabs>
          <w:tab w:leader="none" w:pos="2420" w:val="left"/>
        </w:tabs>
        <w:numPr>
          <w:ilvl w:val="0"/>
          <w:numId w:val="72"/>
        </w:numPr>
        <w:rPr>
          <w:rFonts w:ascii="Arial" w:cs="Arial" w:eastAsia="Arial" w:hAnsi="Arial"/>
          <w:sz w:val="11"/>
          <w:szCs w:val="11"/>
          <w:color w:val="F7323F"/>
        </w:rPr>
      </w:pPr>
      <w:r>
        <w:rPr>
          <w:rFonts w:ascii="Arial" w:cs="Arial" w:eastAsia="Arial" w:hAnsi="Arial"/>
          <w:sz w:val="11"/>
          <w:szCs w:val="11"/>
          <w:color w:val="050505"/>
        </w:rPr>
        <w:t>reviewing related party transactions that are material or otherwise implicate disclosure requirements; and</w:t>
      </w:r>
    </w:p>
    <w:p>
      <w:pPr>
        <w:spacing w:after="0" w:line="44" w:lineRule="exact"/>
        <w:rPr>
          <w:rFonts w:ascii="Arial" w:cs="Arial" w:eastAsia="Arial" w:hAnsi="Arial"/>
          <w:sz w:val="11"/>
          <w:szCs w:val="11"/>
          <w:color w:val="F7323F"/>
        </w:rPr>
      </w:pPr>
    </w:p>
    <w:p>
      <w:pPr>
        <w:ind w:left="2420" w:hanging="217"/>
        <w:spacing w:after="0"/>
        <w:tabs>
          <w:tab w:leader="none" w:pos="2420" w:val="left"/>
        </w:tabs>
        <w:numPr>
          <w:ilvl w:val="0"/>
          <w:numId w:val="72"/>
        </w:numPr>
        <w:rPr>
          <w:rFonts w:ascii="Arial" w:cs="Arial" w:eastAsia="Arial" w:hAnsi="Arial"/>
          <w:sz w:val="10"/>
          <w:szCs w:val="10"/>
          <w:color w:val="F7323F"/>
        </w:rPr>
      </w:pPr>
      <w:r>
        <w:rPr>
          <w:rFonts w:ascii="Arial" w:cs="Arial" w:eastAsia="Arial" w:hAnsi="Arial"/>
          <w:sz w:val="10"/>
          <w:szCs w:val="10"/>
          <w:color w:val="050505"/>
        </w:rPr>
        <w:t>approving or, as permitted, pre-approving all audit and non-audit services to be performed by the independent registered public accounting firm.</w:t>
      </w:r>
    </w:p>
    <w:p>
      <w:pPr>
        <w:spacing w:after="0" w:line="143" w:lineRule="exact"/>
        <w:rPr>
          <w:sz w:val="20"/>
          <w:szCs w:val="20"/>
          <w:color w:val="auto"/>
        </w:rPr>
      </w:pPr>
    </w:p>
    <w:p>
      <w:pPr>
        <w:ind w:left="2060"/>
        <w:spacing w:after="0"/>
        <w:rPr>
          <w:sz w:val="20"/>
          <w:szCs w:val="20"/>
          <w:color w:val="auto"/>
        </w:rPr>
      </w:pPr>
      <w:r>
        <w:rPr>
          <w:rFonts w:ascii="Arial" w:cs="Arial" w:eastAsia="Arial" w:hAnsi="Arial"/>
          <w:sz w:val="11"/>
          <w:szCs w:val="11"/>
          <w:b w:val="1"/>
          <w:bCs w:val="1"/>
          <w:i w:val="1"/>
          <w:iCs w:val="1"/>
          <w:color w:val="auto"/>
        </w:rPr>
        <w:t>Compensation Committee</w:t>
      </w:r>
    </w:p>
    <w:p>
      <w:pPr>
        <w:spacing w:after="0" w:line="12" w:lineRule="exact"/>
        <w:rPr>
          <w:sz w:val="20"/>
          <w:szCs w:val="20"/>
          <w:color w:val="auto"/>
        </w:rPr>
      </w:pPr>
    </w:p>
    <w:p>
      <w:pPr>
        <w:jc w:val="both"/>
        <w:ind w:left="2060" w:right="839"/>
        <w:spacing w:after="0" w:line="241" w:lineRule="auto"/>
        <w:rPr>
          <w:sz w:val="20"/>
          <w:szCs w:val="20"/>
          <w:color w:val="auto"/>
        </w:rPr>
      </w:pPr>
      <w:r>
        <w:rPr>
          <w:rFonts w:ascii="Arial" w:cs="Arial" w:eastAsia="Arial" w:hAnsi="Arial"/>
          <w:sz w:val="11"/>
          <w:szCs w:val="11"/>
          <w:color w:val="050505"/>
        </w:rPr>
        <w:t>Our compensation committee is comprised of Ms. Thomas-Graham and Messrs. Blachford and Hoag. Mr. Blachford is the chairperson of our compensation committee. The composition of our compensation committee meets the requirements for independence under the current listing standards and SEC rules and regulations. Each member of this committee is a non-employee director, as defined in Rule 16b-3 promulgated under the Exchange Act. Our compensation committee is responsible for, among other things:</w:t>
      </w:r>
    </w:p>
    <w:p>
      <w:pPr>
        <w:spacing w:after="0" w:line="158" w:lineRule="exact"/>
        <w:rPr>
          <w:sz w:val="20"/>
          <w:szCs w:val="20"/>
          <w:color w:val="auto"/>
        </w:rPr>
      </w:pPr>
    </w:p>
    <w:p>
      <w:pPr>
        <w:ind w:left="2420" w:hanging="217"/>
        <w:spacing w:after="0"/>
        <w:tabs>
          <w:tab w:leader="none" w:pos="2420" w:val="left"/>
        </w:tabs>
        <w:numPr>
          <w:ilvl w:val="0"/>
          <w:numId w:val="73"/>
        </w:numPr>
        <w:rPr>
          <w:rFonts w:ascii="Arial" w:cs="Arial" w:eastAsia="Arial" w:hAnsi="Arial"/>
          <w:sz w:val="11"/>
          <w:szCs w:val="11"/>
          <w:color w:val="F7323F"/>
        </w:rPr>
      </w:pPr>
      <w:r>
        <w:rPr>
          <w:rFonts w:ascii="Arial" w:cs="Arial" w:eastAsia="Arial" w:hAnsi="Arial"/>
          <w:sz w:val="11"/>
          <w:szCs w:val="11"/>
          <w:color w:val="050505"/>
        </w:rPr>
        <w:t>reviewing and approving the compensation and the terms of any compensatory agreements of our executive officers;</w:t>
      </w:r>
    </w:p>
    <w:p>
      <w:pPr>
        <w:spacing w:after="0" w:line="44" w:lineRule="exact"/>
        <w:rPr>
          <w:rFonts w:ascii="Arial" w:cs="Arial" w:eastAsia="Arial" w:hAnsi="Arial"/>
          <w:sz w:val="11"/>
          <w:szCs w:val="11"/>
          <w:color w:val="F7323F"/>
        </w:rPr>
      </w:pPr>
    </w:p>
    <w:p>
      <w:pPr>
        <w:ind w:left="2420" w:hanging="217"/>
        <w:spacing w:after="0"/>
        <w:tabs>
          <w:tab w:leader="none" w:pos="2420" w:val="left"/>
        </w:tabs>
        <w:numPr>
          <w:ilvl w:val="0"/>
          <w:numId w:val="73"/>
        </w:numPr>
        <w:rPr>
          <w:rFonts w:ascii="Arial" w:cs="Arial" w:eastAsia="Arial" w:hAnsi="Arial"/>
          <w:sz w:val="11"/>
          <w:szCs w:val="11"/>
          <w:color w:val="F7323F"/>
        </w:rPr>
      </w:pPr>
      <w:r>
        <w:rPr>
          <w:rFonts w:ascii="Arial" w:cs="Arial" w:eastAsia="Arial" w:hAnsi="Arial"/>
          <w:sz w:val="11"/>
          <w:szCs w:val="11"/>
          <w:color w:val="050505"/>
        </w:rPr>
        <w:t>reviewing and recommending to our board of directors the compensation of our directors;</w:t>
      </w:r>
    </w:p>
    <w:p>
      <w:pPr>
        <w:spacing w:after="0" w:line="44" w:lineRule="exact"/>
        <w:rPr>
          <w:rFonts w:ascii="Arial" w:cs="Arial" w:eastAsia="Arial" w:hAnsi="Arial"/>
          <w:sz w:val="11"/>
          <w:szCs w:val="11"/>
          <w:color w:val="F7323F"/>
        </w:rPr>
      </w:pPr>
    </w:p>
    <w:p>
      <w:pPr>
        <w:ind w:left="2420" w:hanging="217"/>
        <w:spacing w:after="0"/>
        <w:tabs>
          <w:tab w:leader="none" w:pos="2420" w:val="left"/>
        </w:tabs>
        <w:numPr>
          <w:ilvl w:val="0"/>
          <w:numId w:val="73"/>
        </w:numPr>
        <w:rPr>
          <w:rFonts w:ascii="Arial" w:cs="Arial" w:eastAsia="Arial" w:hAnsi="Arial"/>
          <w:sz w:val="11"/>
          <w:szCs w:val="11"/>
          <w:color w:val="F7323F"/>
        </w:rPr>
      </w:pPr>
      <w:r>
        <w:rPr>
          <w:rFonts w:ascii="Arial" w:cs="Arial" w:eastAsia="Arial" w:hAnsi="Arial"/>
          <w:sz w:val="11"/>
          <w:szCs w:val="11"/>
          <w:color w:val="050505"/>
        </w:rPr>
        <w:t>administering our stock and equity incentive plans;</w:t>
      </w:r>
    </w:p>
    <w:p>
      <w:pPr>
        <w:spacing w:after="0" w:line="99" w:lineRule="exact"/>
        <w:rPr>
          <w:sz w:val="20"/>
          <w:szCs w:val="20"/>
          <w:color w:val="auto"/>
        </w:rPr>
      </w:pPr>
    </w:p>
    <w:p>
      <w:pPr>
        <w:ind w:left="5640"/>
        <w:spacing w:after="0"/>
        <w:rPr>
          <w:sz w:val="20"/>
          <w:szCs w:val="20"/>
          <w:color w:val="auto"/>
        </w:rPr>
      </w:pPr>
      <w:r>
        <w:rPr>
          <w:rFonts w:ascii="Arial" w:cs="Arial" w:eastAsia="Arial" w:hAnsi="Arial"/>
          <w:sz w:val="11"/>
          <w:szCs w:val="11"/>
          <w:color w:val="050505"/>
        </w:rPr>
        <w:t>117</w:t>
      </w:r>
    </w:p>
    <w:p>
      <w:pPr>
        <w:sectPr>
          <w:pgSz w:w="11900" w:h="16838" w:orient="portrait"/>
          <w:cols w:equalWidth="0" w:num="1">
            <w:col w:w="10239"/>
          </w:cols>
          <w:pgMar w:left="220" w:top="354" w:right="1440" w:bottom="1440" w:gutter="0" w:footer="0" w:header="0"/>
        </w:sectPr>
      </w:pPr>
    </w:p>
    <w:bookmarkStart w:id="127" w:name="page128"/>
    <w:bookmarkEnd w:id="127"/>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hyperlink w:anchor="page5">
        <w:r>
          <w:rPr>
            <w:rFonts w:ascii="Arial" w:cs="Arial" w:eastAsia="Arial" w:hAnsi="Arial"/>
            <w:sz w:val="12"/>
            <w:szCs w:val="12"/>
            <w:b w:val="1"/>
            <w:bCs w:val="1"/>
            <w:u w:val="single" w:color="auto"/>
            <w:color w:val="0000EE"/>
          </w:rPr>
          <w:t>Table of Contents</w:t>
        </w:r>
      </w:hyperlink>
    </w:p>
    <w:p>
      <w:pPr>
        <w:spacing w:after="0" w:line="216" w:lineRule="exact"/>
        <w:rPr>
          <w:sz w:val="20"/>
          <w:szCs w:val="20"/>
          <w:color w:val="auto"/>
        </w:rPr>
      </w:pPr>
    </w:p>
    <w:p>
      <w:pPr>
        <w:ind w:left="2420" w:hanging="217"/>
        <w:spacing w:after="0"/>
        <w:tabs>
          <w:tab w:leader="none" w:pos="2420" w:val="left"/>
        </w:tabs>
        <w:numPr>
          <w:ilvl w:val="0"/>
          <w:numId w:val="74"/>
        </w:numPr>
        <w:rPr>
          <w:rFonts w:ascii="Arial" w:cs="Arial" w:eastAsia="Arial" w:hAnsi="Arial"/>
          <w:sz w:val="11"/>
          <w:szCs w:val="11"/>
          <w:color w:val="F7323F"/>
        </w:rPr>
      </w:pPr>
      <w:r>
        <w:rPr>
          <w:rFonts w:ascii="Arial" w:cs="Arial" w:eastAsia="Arial" w:hAnsi="Arial"/>
          <w:sz w:val="11"/>
          <w:szCs w:val="11"/>
          <w:color w:val="050505"/>
        </w:rPr>
        <w:t>reviewing and approving, or making recommendations to our board of directors with respect to, incentive compensation and equity plans; and</w:t>
      </w:r>
    </w:p>
    <w:p>
      <w:pPr>
        <w:spacing w:after="0" w:line="44" w:lineRule="exact"/>
        <w:rPr>
          <w:rFonts w:ascii="Arial" w:cs="Arial" w:eastAsia="Arial" w:hAnsi="Arial"/>
          <w:sz w:val="11"/>
          <w:szCs w:val="11"/>
          <w:color w:val="F7323F"/>
        </w:rPr>
      </w:pPr>
    </w:p>
    <w:p>
      <w:pPr>
        <w:ind w:left="2420" w:hanging="217"/>
        <w:spacing w:after="0"/>
        <w:tabs>
          <w:tab w:leader="none" w:pos="2420" w:val="left"/>
        </w:tabs>
        <w:numPr>
          <w:ilvl w:val="0"/>
          <w:numId w:val="74"/>
        </w:numPr>
        <w:rPr>
          <w:rFonts w:ascii="Arial" w:cs="Arial" w:eastAsia="Arial" w:hAnsi="Arial"/>
          <w:sz w:val="11"/>
          <w:szCs w:val="11"/>
          <w:color w:val="F7323F"/>
        </w:rPr>
      </w:pPr>
      <w:r>
        <w:rPr>
          <w:rFonts w:ascii="Arial" w:cs="Arial" w:eastAsia="Arial" w:hAnsi="Arial"/>
          <w:sz w:val="11"/>
          <w:szCs w:val="11"/>
          <w:color w:val="050505"/>
        </w:rPr>
        <w:t>establishing our overall compensation philosophy.</w:t>
      </w:r>
    </w:p>
    <w:p>
      <w:pPr>
        <w:spacing w:after="0" w:line="132" w:lineRule="exact"/>
        <w:rPr>
          <w:sz w:val="20"/>
          <w:szCs w:val="20"/>
          <w:color w:val="auto"/>
        </w:rPr>
      </w:pPr>
    </w:p>
    <w:p>
      <w:pPr>
        <w:ind w:left="2060"/>
        <w:spacing w:after="0"/>
        <w:rPr>
          <w:sz w:val="20"/>
          <w:szCs w:val="20"/>
          <w:color w:val="auto"/>
        </w:rPr>
      </w:pPr>
      <w:r>
        <w:rPr>
          <w:rFonts w:ascii="Arial" w:cs="Arial" w:eastAsia="Arial" w:hAnsi="Arial"/>
          <w:sz w:val="11"/>
          <w:szCs w:val="11"/>
          <w:b w:val="1"/>
          <w:bCs w:val="1"/>
          <w:i w:val="1"/>
          <w:iCs w:val="1"/>
          <w:color w:val="auto"/>
        </w:rPr>
        <w:t>Nominating, Governance, and Corporate Responsibility Committee</w:t>
      </w:r>
    </w:p>
    <w:p>
      <w:pPr>
        <w:spacing w:after="0" w:line="12" w:lineRule="exact"/>
        <w:rPr>
          <w:sz w:val="20"/>
          <w:szCs w:val="20"/>
          <w:color w:val="auto"/>
        </w:rPr>
      </w:pPr>
    </w:p>
    <w:p>
      <w:pPr>
        <w:jc w:val="both"/>
        <w:ind w:left="2060" w:right="839"/>
        <w:spacing w:after="0" w:line="241" w:lineRule="auto"/>
        <w:rPr>
          <w:sz w:val="20"/>
          <w:szCs w:val="20"/>
          <w:color w:val="auto"/>
        </w:rPr>
      </w:pPr>
      <w:r>
        <w:rPr>
          <w:rFonts w:ascii="Arial" w:cs="Arial" w:eastAsia="Arial" w:hAnsi="Arial"/>
          <w:sz w:val="11"/>
          <w:szCs w:val="11"/>
          <w:color w:val="050505"/>
        </w:rPr>
        <w:t>Our nominating, governance, and corporate responsibility committee is comprised of Ms. Thomas-Graham and Messrs. Blachford and Callaghan. Ms. Thomas-Graham is the chairperson of our nominating, governance, and corporate responsibility committee. The composition of our nominating, governance, and corporate responsibility committee meets the requirements for independence under the current Nasdaq listing standards and SEC rules and regulations. Our nominating, governance, and corporate responsibility committee is responsible for, among other things:</w:t>
      </w:r>
    </w:p>
    <w:p>
      <w:pPr>
        <w:spacing w:after="0" w:line="158" w:lineRule="exact"/>
        <w:rPr>
          <w:sz w:val="20"/>
          <w:szCs w:val="20"/>
          <w:color w:val="auto"/>
        </w:rPr>
      </w:pPr>
    </w:p>
    <w:p>
      <w:pPr>
        <w:ind w:left="2420" w:hanging="217"/>
        <w:spacing w:after="0"/>
        <w:tabs>
          <w:tab w:leader="none" w:pos="2420" w:val="left"/>
        </w:tabs>
        <w:numPr>
          <w:ilvl w:val="0"/>
          <w:numId w:val="75"/>
        </w:numPr>
        <w:rPr>
          <w:rFonts w:ascii="Arial" w:cs="Arial" w:eastAsia="Arial" w:hAnsi="Arial"/>
          <w:sz w:val="11"/>
          <w:szCs w:val="11"/>
          <w:color w:val="F7323F"/>
        </w:rPr>
      </w:pPr>
      <w:r>
        <w:rPr>
          <w:rFonts w:ascii="Arial" w:cs="Arial" w:eastAsia="Arial" w:hAnsi="Arial"/>
          <w:sz w:val="11"/>
          <w:szCs w:val="11"/>
          <w:color w:val="050505"/>
        </w:rPr>
        <w:t>identifying and recommending candidates for membership on our board of directors;</w:t>
      </w:r>
    </w:p>
    <w:p>
      <w:pPr>
        <w:spacing w:after="0" w:line="44" w:lineRule="exact"/>
        <w:rPr>
          <w:rFonts w:ascii="Arial" w:cs="Arial" w:eastAsia="Arial" w:hAnsi="Arial"/>
          <w:sz w:val="11"/>
          <w:szCs w:val="11"/>
          <w:color w:val="F7323F"/>
        </w:rPr>
      </w:pPr>
    </w:p>
    <w:p>
      <w:pPr>
        <w:ind w:left="2420" w:hanging="217"/>
        <w:spacing w:after="0"/>
        <w:tabs>
          <w:tab w:leader="none" w:pos="2420" w:val="left"/>
        </w:tabs>
        <w:numPr>
          <w:ilvl w:val="0"/>
          <w:numId w:val="75"/>
        </w:numPr>
        <w:rPr>
          <w:rFonts w:ascii="Arial" w:cs="Arial" w:eastAsia="Arial" w:hAnsi="Arial"/>
          <w:sz w:val="11"/>
          <w:szCs w:val="11"/>
          <w:color w:val="F7323F"/>
        </w:rPr>
      </w:pPr>
      <w:r>
        <w:rPr>
          <w:rFonts w:ascii="Arial" w:cs="Arial" w:eastAsia="Arial" w:hAnsi="Arial"/>
          <w:sz w:val="11"/>
          <w:szCs w:val="11"/>
          <w:color w:val="050505"/>
        </w:rPr>
        <w:t>recommending directors to serve on board committees;</w:t>
      </w:r>
    </w:p>
    <w:p>
      <w:pPr>
        <w:spacing w:after="0" w:line="44" w:lineRule="exact"/>
        <w:rPr>
          <w:rFonts w:ascii="Arial" w:cs="Arial" w:eastAsia="Arial" w:hAnsi="Arial"/>
          <w:sz w:val="11"/>
          <w:szCs w:val="11"/>
          <w:color w:val="F7323F"/>
        </w:rPr>
      </w:pPr>
    </w:p>
    <w:p>
      <w:pPr>
        <w:ind w:left="2420" w:hanging="217"/>
        <w:spacing w:after="0"/>
        <w:tabs>
          <w:tab w:leader="none" w:pos="2420" w:val="left"/>
        </w:tabs>
        <w:numPr>
          <w:ilvl w:val="0"/>
          <w:numId w:val="75"/>
        </w:numPr>
        <w:rPr>
          <w:rFonts w:ascii="Arial" w:cs="Arial" w:eastAsia="Arial" w:hAnsi="Arial"/>
          <w:sz w:val="11"/>
          <w:szCs w:val="11"/>
          <w:color w:val="F7323F"/>
        </w:rPr>
      </w:pPr>
      <w:r>
        <w:rPr>
          <w:rFonts w:ascii="Arial" w:cs="Arial" w:eastAsia="Arial" w:hAnsi="Arial"/>
          <w:sz w:val="11"/>
          <w:szCs w:val="11"/>
          <w:color w:val="050505"/>
        </w:rPr>
        <w:t>reviewing and recommending our corporate governance guidelines and policies;</w:t>
      </w:r>
    </w:p>
    <w:p>
      <w:pPr>
        <w:spacing w:after="0" w:line="44" w:lineRule="exact"/>
        <w:rPr>
          <w:rFonts w:ascii="Arial" w:cs="Arial" w:eastAsia="Arial" w:hAnsi="Arial"/>
          <w:sz w:val="11"/>
          <w:szCs w:val="11"/>
          <w:color w:val="F7323F"/>
        </w:rPr>
      </w:pPr>
    </w:p>
    <w:p>
      <w:pPr>
        <w:ind w:left="2420" w:hanging="217"/>
        <w:spacing w:after="0"/>
        <w:tabs>
          <w:tab w:leader="none" w:pos="2420" w:val="left"/>
        </w:tabs>
        <w:numPr>
          <w:ilvl w:val="0"/>
          <w:numId w:val="75"/>
        </w:numPr>
        <w:rPr>
          <w:rFonts w:ascii="Arial" w:cs="Arial" w:eastAsia="Arial" w:hAnsi="Arial"/>
          <w:sz w:val="11"/>
          <w:szCs w:val="11"/>
          <w:color w:val="F7323F"/>
        </w:rPr>
      </w:pPr>
      <w:r>
        <w:rPr>
          <w:rFonts w:ascii="Arial" w:cs="Arial" w:eastAsia="Arial" w:hAnsi="Arial"/>
          <w:sz w:val="11"/>
          <w:szCs w:val="11"/>
          <w:color w:val="050505"/>
        </w:rPr>
        <w:t>reviewing succession plans for senior management positions, including the chief executive officer;</w:t>
      </w:r>
    </w:p>
    <w:p>
      <w:pPr>
        <w:spacing w:after="0" w:line="44" w:lineRule="exact"/>
        <w:rPr>
          <w:rFonts w:ascii="Arial" w:cs="Arial" w:eastAsia="Arial" w:hAnsi="Arial"/>
          <w:sz w:val="11"/>
          <w:szCs w:val="11"/>
          <w:color w:val="F7323F"/>
        </w:rPr>
      </w:pPr>
    </w:p>
    <w:p>
      <w:pPr>
        <w:ind w:left="2420" w:hanging="217"/>
        <w:spacing w:after="0"/>
        <w:tabs>
          <w:tab w:leader="none" w:pos="2420" w:val="left"/>
        </w:tabs>
        <w:numPr>
          <w:ilvl w:val="0"/>
          <w:numId w:val="75"/>
        </w:numPr>
        <w:rPr>
          <w:rFonts w:ascii="Arial" w:cs="Arial" w:eastAsia="Arial" w:hAnsi="Arial"/>
          <w:sz w:val="11"/>
          <w:szCs w:val="11"/>
          <w:color w:val="F7323F"/>
        </w:rPr>
      </w:pPr>
      <w:r>
        <w:rPr>
          <w:rFonts w:ascii="Arial" w:cs="Arial" w:eastAsia="Arial" w:hAnsi="Arial"/>
          <w:sz w:val="11"/>
          <w:szCs w:val="11"/>
          <w:color w:val="050505"/>
        </w:rPr>
        <w:t>oversee any program relating to corporate responsibility and sustainability, including environmental, social and corporate governance matters;</w:t>
      </w:r>
    </w:p>
    <w:p>
      <w:pPr>
        <w:spacing w:after="0" w:line="44" w:lineRule="exact"/>
        <w:rPr>
          <w:rFonts w:ascii="Arial" w:cs="Arial" w:eastAsia="Arial" w:hAnsi="Arial"/>
          <w:sz w:val="11"/>
          <w:szCs w:val="11"/>
          <w:color w:val="F7323F"/>
        </w:rPr>
      </w:pPr>
    </w:p>
    <w:p>
      <w:pPr>
        <w:ind w:left="2420" w:hanging="217"/>
        <w:spacing w:after="0"/>
        <w:tabs>
          <w:tab w:leader="none" w:pos="2420" w:val="left"/>
        </w:tabs>
        <w:numPr>
          <w:ilvl w:val="0"/>
          <w:numId w:val="75"/>
        </w:numPr>
        <w:rPr>
          <w:rFonts w:ascii="Arial" w:cs="Arial" w:eastAsia="Arial" w:hAnsi="Arial"/>
          <w:sz w:val="11"/>
          <w:szCs w:val="11"/>
          <w:color w:val="F7323F"/>
        </w:rPr>
      </w:pPr>
      <w:r>
        <w:rPr>
          <w:rFonts w:ascii="Arial" w:cs="Arial" w:eastAsia="Arial" w:hAnsi="Arial"/>
          <w:sz w:val="11"/>
          <w:szCs w:val="11"/>
          <w:color w:val="050505"/>
        </w:rPr>
        <w:t>evaluating, and overseeing the process of evaluating, the performance of our board of directors and individual directors; and</w:t>
      </w:r>
    </w:p>
    <w:p>
      <w:pPr>
        <w:spacing w:after="0" w:line="44" w:lineRule="exact"/>
        <w:rPr>
          <w:rFonts w:ascii="Arial" w:cs="Arial" w:eastAsia="Arial" w:hAnsi="Arial"/>
          <w:sz w:val="11"/>
          <w:szCs w:val="11"/>
          <w:color w:val="F7323F"/>
        </w:rPr>
      </w:pPr>
    </w:p>
    <w:p>
      <w:pPr>
        <w:ind w:left="2420" w:hanging="217"/>
        <w:spacing w:after="0"/>
        <w:tabs>
          <w:tab w:leader="none" w:pos="2420" w:val="left"/>
        </w:tabs>
        <w:numPr>
          <w:ilvl w:val="0"/>
          <w:numId w:val="75"/>
        </w:numPr>
        <w:rPr>
          <w:rFonts w:ascii="Arial" w:cs="Arial" w:eastAsia="Arial" w:hAnsi="Arial"/>
          <w:sz w:val="11"/>
          <w:szCs w:val="11"/>
          <w:color w:val="F7323F"/>
        </w:rPr>
      </w:pPr>
      <w:r>
        <w:rPr>
          <w:rFonts w:ascii="Arial" w:cs="Arial" w:eastAsia="Arial" w:hAnsi="Arial"/>
          <w:sz w:val="11"/>
          <w:szCs w:val="11"/>
          <w:color w:val="050505"/>
        </w:rPr>
        <w:t>advising our board of directors on corporate governance matters.</w:t>
      </w:r>
    </w:p>
    <w:p>
      <w:pPr>
        <w:spacing w:after="0" w:line="132" w:lineRule="exact"/>
        <w:rPr>
          <w:sz w:val="20"/>
          <w:szCs w:val="20"/>
          <w:color w:val="auto"/>
        </w:rPr>
      </w:pPr>
    </w:p>
    <w:p>
      <w:pPr>
        <w:ind w:left="2060"/>
        <w:spacing w:after="0"/>
        <w:rPr>
          <w:sz w:val="20"/>
          <w:szCs w:val="20"/>
          <w:color w:val="auto"/>
        </w:rPr>
      </w:pPr>
      <w:r>
        <w:rPr>
          <w:rFonts w:ascii="Arial" w:cs="Arial" w:eastAsia="Arial" w:hAnsi="Arial"/>
          <w:sz w:val="11"/>
          <w:szCs w:val="11"/>
          <w:b w:val="1"/>
          <w:bCs w:val="1"/>
          <w:u w:val="single" w:color="auto"/>
          <w:color w:val="auto"/>
        </w:rPr>
        <w:t>Board Diversity</w:t>
      </w:r>
    </w:p>
    <w:p>
      <w:pPr>
        <w:spacing w:after="0" w:line="12" w:lineRule="exact"/>
        <w:rPr>
          <w:sz w:val="20"/>
          <w:szCs w:val="20"/>
          <w:color w:val="auto"/>
        </w:rPr>
      </w:pPr>
    </w:p>
    <w:p>
      <w:pPr>
        <w:jc w:val="both"/>
        <w:ind w:left="2060" w:right="839"/>
        <w:spacing w:after="0"/>
        <w:rPr>
          <w:sz w:val="20"/>
          <w:szCs w:val="20"/>
          <w:color w:val="auto"/>
        </w:rPr>
      </w:pPr>
      <w:r>
        <w:rPr>
          <w:rFonts w:ascii="Arial" w:cs="Arial" w:eastAsia="Arial" w:hAnsi="Arial"/>
          <w:sz w:val="11"/>
          <w:szCs w:val="11"/>
          <w:color w:val="050505"/>
        </w:rPr>
        <w:t>Each year, our nominating, governance, and corporate responsibility committee will review, with the board of directors, the appropriate characteristics, skills and experience required for the board of directors as a whole and its individual members. In evaluating the suitability of individual candidates, our nominating, governance, and corporate responsibility committee will consider factors including, without limitation, an individual’s character, integrity, judgment, potential conflicts of interest, other commitments, and diversity. While we have no formal policy regarding board diversity for our board of directors as a whole nor for each individual member, the nominating, governance, and corporate responsibility committee does consider such factors as gender, race, ethnicity and experience, area of expertise, as well as other individual attributes that contribute to the total diversity of viewpoints and experience represented on the board of directors.</w:t>
      </w:r>
    </w:p>
    <w:p>
      <w:pPr>
        <w:spacing w:after="0" w:line="129" w:lineRule="exact"/>
        <w:rPr>
          <w:sz w:val="20"/>
          <w:szCs w:val="20"/>
          <w:color w:val="auto"/>
        </w:rPr>
      </w:pPr>
    </w:p>
    <w:p>
      <w:pPr>
        <w:ind w:left="2060"/>
        <w:spacing w:after="0"/>
        <w:rPr>
          <w:sz w:val="20"/>
          <w:szCs w:val="20"/>
          <w:color w:val="auto"/>
        </w:rPr>
      </w:pPr>
      <w:r>
        <w:rPr>
          <w:rFonts w:ascii="Arial" w:cs="Arial" w:eastAsia="Arial" w:hAnsi="Arial"/>
          <w:sz w:val="11"/>
          <w:szCs w:val="11"/>
          <w:b w:val="1"/>
          <w:bCs w:val="1"/>
          <w:u w:val="single" w:color="auto"/>
          <w:color w:val="auto"/>
        </w:rPr>
        <w:t>Compensation Committee Interlocks and Insider Participation</w:t>
      </w:r>
    </w:p>
    <w:p>
      <w:pPr>
        <w:spacing w:after="0" w:line="12" w:lineRule="exact"/>
        <w:rPr>
          <w:sz w:val="20"/>
          <w:szCs w:val="20"/>
          <w:color w:val="auto"/>
        </w:rPr>
      </w:pPr>
    </w:p>
    <w:p>
      <w:pPr>
        <w:jc w:val="both"/>
        <w:ind w:left="2060" w:right="839"/>
        <w:spacing w:after="0" w:line="242" w:lineRule="auto"/>
        <w:rPr>
          <w:sz w:val="20"/>
          <w:szCs w:val="20"/>
          <w:color w:val="auto"/>
        </w:rPr>
      </w:pPr>
      <w:r>
        <w:rPr>
          <w:rFonts w:ascii="Arial" w:cs="Arial" w:eastAsia="Arial" w:hAnsi="Arial"/>
          <w:sz w:val="11"/>
          <w:szCs w:val="11"/>
          <w:color w:val="050505"/>
        </w:rPr>
        <w:t>None of the members of our compensation committee is or has been an officer or employee of our company. None of our executive officers has served as a member of the board of directors, or as a member of the compensation or similar committee, of any entity that has one or more executive officers who served on our board of directors or compensation committee during fiscal 2019.</w:t>
      </w:r>
    </w:p>
    <w:p>
      <w:pPr>
        <w:spacing w:after="0" w:line="140" w:lineRule="exact"/>
        <w:rPr>
          <w:sz w:val="20"/>
          <w:szCs w:val="20"/>
          <w:color w:val="auto"/>
        </w:rPr>
      </w:pPr>
    </w:p>
    <w:p>
      <w:pPr>
        <w:jc w:val="both"/>
        <w:ind w:left="2060" w:right="839"/>
        <w:spacing w:after="0"/>
        <w:rPr>
          <w:sz w:val="20"/>
          <w:szCs w:val="20"/>
          <w:color w:val="auto"/>
        </w:rPr>
      </w:pPr>
      <w:r>
        <w:rPr>
          <w:rFonts w:ascii="Arial" w:cs="Arial" w:eastAsia="Arial" w:hAnsi="Arial"/>
          <w:sz w:val="11"/>
          <w:szCs w:val="11"/>
          <w:color w:val="050505"/>
        </w:rPr>
        <w:t>In August 2018, we sold shares of our Series F redeemable convertible preferred stock to entities affiliated with TCV. In a private placement, entities affiliated with TCV have agreed to purchase a number of shares of Class A common stock with an aggregate purchase price of approximately $100.0 million, at a price per share equal to the initial public offering price. Based upon the initial public offering price of $29.00 per share this will be 3,448,275 shares of Class A common stock. Mr. Hoag, a member of our compensation committee, is a General Partner of TCV. Mr. Blachford, the chair of our compensation committee, is a Venture Partner at TCV. See the section titled “Certain Relationships and Related-Party Transactions—Series F Redeemable Convertible Preferred Stock Financing and—Private Placement” for additional information.</w:t>
      </w:r>
    </w:p>
    <w:p>
      <w:pPr>
        <w:spacing w:after="0" w:line="202" w:lineRule="exact"/>
        <w:rPr>
          <w:sz w:val="20"/>
          <w:szCs w:val="20"/>
          <w:color w:val="auto"/>
        </w:rPr>
      </w:pPr>
    </w:p>
    <w:p>
      <w:pPr>
        <w:ind w:left="2060"/>
        <w:spacing w:after="0"/>
        <w:rPr>
          <w:sz w:val="20"/>
          <w:szCs w:val="20"/>
          <w:color w:val="auto"/>
        </w:rPr>
      </w:pPr>
      <w:r>
        <w:rPr>
          <w:rFonts w:ascii="Arial" w:cs="Arial" w:eastAsia="Arial" w:hAnsi="Arial"/>
          <w:sz w:val="11"/>
          <w:szCs w:val="11"/>
          <w:b w:val="1"/>
          <w:bCs w:val="1"/>
          <w:u w:val="single" w:color="auto"/>
          <w:color w:val="auto"/>
        </w:rPr>
        <w:t>Code of Conduct</w:t>
      </w:r>
    </w:p>
    <w:p>
      <w:pPr>
        <w:spacing w:after="0" w:line="12" w:lineRule="exact"/>
        <w:rPr>
          <w:sz w:val="20"/>
          <w:szCs w:val="20"/>
          <w:color w:val="auto"/>
        </w:rPr>
      </w:pPr>
    </w:p>
    <w:p>
      <w:pPr>
        <w:jc w:val="both"/>
        <w:ind w:left="2060" w:right="839"/>
        <w:spacing w:after="0"/>
        <w:rPr>
          <w:sz w:val="20"/>
          <w:szCs w:val="20"/>
          <w:color w:val="auto"/>
        </w:rPr>
      </w:pPr>
      <w:r>
        <w:rPr>
          <w:rFonts w:ascii="Arial" w:cs="Arial" w:eastAsia="Arial" w:hAnsi="Arial"/>
          <w:sz w:val="11"/>
          <w:szCs w:val="11"/>
          <w:color w:val="050505"/>
        </w:rPr>
        <w:t>Our board of directors has adopted a code of conduct that applies to all of our employees, officers, and directors, which will become effective upon the effectiveness of this registration statement of which this prospectus is a part. The full text of our code of conduct will be posted on the Investor Relations section of our website. The reference to our website address in this prospectus does not include or incorporate by reference the information on our website into this prospectus. We intend to disclose future amendments to certain provisions of our global code of conduct, or waivers of these provisions, on our website or in public filings.</w:t>
      </w:r>
    </w:p>
    <w:p>
      <w:pPr>
        <w:spacing w:after="0" w:line="97" w:lineRule="exact"/>
        <w:rPr>
          <w:sz w:val="20"/>
          <w:szCs w:val="20"/>
          <w:color w:val="auto"/>
        </w:rPr>
      </w:pPr>
    </w:p>
    <w:p>
      <w:pPr>
        <w:ind w:left="5640"/>
        <w:spacing w:after="0"/>
        <w:rPr>
          <w:sz w:val="20"/>
          <w:szCs w:val="20"/>
          <w:color w:val="auto"/>
        </w:rPr>
      </w:pPr>
      <w:r>
        <w:rPr>
          <w:rFonts w:ascii="Arial" w:cs="Arial" w:eastAsia="Arial" w:hAnsi="Arial"/>
          <w:sz w:val="11"/>
          <w:szCs w:val="11"/>
          <w:color w:val="050505"/>
        </w:rPr>
        <w:t>118</w:t>
      </w:r>
    </w:p>
    <w:p>
      <w:pPr>
        <w:sectPr>
          <w:pgSz w:w="11900" w:h="16838" w:orient="portrait"/>
          <w:cols w:equalWidth="0" w:num="1">
            <w:col w:w="10239"/>
          </w:cols>
          <w:pgMar w:left="220" w:top="354" w:right="1440" w:bottom="1440" w:gutter="0" w:footer="0" w:header="0"/>
        </w:sectPr>
      </w:pPr>
    </w:p>
    <w:bookmarkStart w:id="128" w:name="page129"/>
    <w:bookmarkEnd w:id="128"/>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hyperlink w:anchor="page5">
        <w:r>
          <w:rPr>
            <w:rFonts w:ascii="Arial" w:cs="Arial" w:eastAsia="Arial" w:hAnsi="Arial"/>
            <w:sz w:val="12"/>
            <w:szCs w:val="12"/>
            <w:b w:val="1"/>
            <w:bCs w:val="1"/>
            <w:u w:val="single" w:color="auto"/>
            <w:color w:val="0000EE"/>
          </w:rPr>
          <w:t>Table of Contents</w:t>
        </w:r>
      </w:hyperlink>
    </w:p>
    <w:p>
      <w:pPr>
        <w:spacing w:after="0" w:line="204" w:lineRule="exact"/>
        <w:rPr>
          <w:sz w:val="20"/>
          <w:szCs w:val="20"/>
          <w:color w:val="auto"/>
        </w:rPr>
      </w:pPr>
    </w:p>
    <w:p>
      <w:pPr>
        <w:ind w:left="2060"/>
        <w:spacing w:after="0"/>
        <w:rPr>
          <w:sz w:val="20"/>
          <w:szCs w:val="20"/>
          <w:color w:val="auto"/>
        </w:rPr>
      </w:pPr>
      <w:r>
        <w:rPr>
          <w:rFonts w:ascii="Arial" w:cs="Arial" w:eastAsia="Arial" w:hAnsi="Arial"/>
          <w:sz w:val="11"/>
          <w:szCs w:val="11"/>
          <w:b w:val="1"/>
          <w:bCs w:val="1"/>
          <w:u w:val="single" w:color="auto"/>
          <w:color w:val="auto"/>
        </w:rPr>
        <w:t>Non-Employee Director Compensation</w:t>
      </w:r>
    </w:p>
    <w:p>
      <w:pPr>
        <w:spacing w:after="0" w:line="12" w:lineRule="exact"/>
        <w:rPr>
          <w:sz w:val="20"/>
          <w:szCs w:val="20"/>
          <w:color w:val="auto"/>
        </w:rPr>
      </w:pPr>
    </w:p>
    <w:p>
      <w:pPr>
        <w:jc w:val="both"/>
        <w:ind w:left="2060" w:right="839"/>
        <w:spacing w:after="0" w:line="241" w:lineRule="auto"/>
        <w:rPr>
          <w:sz w:val="20"/>
          <w:szCs w:val="20"/>
          <w:color w:val="auto"/>
        </w:rPr>
      </w:pPr>
      <w:r>
        <w:rPr>
          <w:rFonts w:ascii="Arial" w:cs="Arial" w:eastAsia="Arial" w:hAnsi="Arial"/>
          <w:sz w:val="11"/>
          <w:szCs w:val="11"/>
          <w:color w:val="050505"/>
        </w:rPr>
        <w:t>The table below provides information regarding the total compensation of the non-employee members of our board of directors who served on our board of directors during fiscal 2019. Mr. Foley, our only employee director, received no compensation for his service as a director in fiscal 2019. Other than as set forth in the table and described more fully below, during fiscal 2019, we did not pay any fees to, make any equity awards or non-equity awards to, or pay any other compensation to the non-employee members of our board of directors.</w:t>
      </w:r>
    </w:p>
    <w:p>
      <w:pPr>
        <w:spacing w:after="0" w:line="146" w:lineRule="exact"/>
        <w:rPr>
          <w:sz w:val="20"/>
          <w:szCs w:val="20"/>
          <w:color w:val="auto"/>
        </w:rPr>
      </w:pPr>
    </w:p>
    <w:tbl>
      <w:tblPr>
        <w:tblLayout w:type="fixed"/>
        <w:tblInd w:w="2060" w:type="dxa"/>
        <w:tblCellMar>
          <w:top w:w="0" w:type="dxa"/>
          <w:left w:w="0" w:type="dxa"/>
          <w:bottom w:w="0" w:type="dxa"/>
          <w:right w:w="0" w:type="dxa"/>
        </w:tblCellMar>
      </w:tblPr>
      <w:tr>
        <w:trPr>
          <w:trHeight w:val="126"/>
        </w:trPr>
        <w:tc>
          <w:tcPr>
            <w:tcW w:w="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3240" w:type="dxa"/>
            <w:vAlign w:val="bottom"/>
          </w:tcPr>
          <w:p>
            <w:pPr>
              <w:spacing w:after="0"/>
              <w:rPr>
                <w:sz w:val="10"/>
                <w:szCs w:val="10"/>
                <w:color w:val="auto"/>
              </w:rPr>
            </w:pPr>
          </w:p>
        </w:tc>
        <w:tc>
          <w:tcPr>
            <w:tcW w:w="2340" w:type="dxa"/>
            <w:vAlign w:val="bottom"/>
          </w:tcPr>
          <w:p>
            <w:pPr>
              <w:spacing w:after="0"/>
              <w:rPr>
                <w:sz w:val="10"/>
                <w:szCs w:val="10"/>
                <w:color w:val="auto"/>
              </w:rPr>
            </w:pPr>
          </w:p>
        </w:tc>
        <w:tc>
          <w:tcPr>
            <w:tcW w:w="580" w:type="dxa"/>
            <w:vAlign w:val="bottom"/>
          </w:tcPr>
          <w:p>
            <w:pPr>
              <w:ind w:left="100"/>
              <w:spacing w:after="0"/>
              <w:rPr>
                <w:sz w:val="20"/>
                <w:szCs w:val="20"/>
                <w:color w:val="auto"/>
              </w:rPr>
            </w:pPr>
            <w:r>
              <w:rPr>
                <w:rFonts w:ascii="Arial" w:cs="Arial" w:eastAsia="Arial" w:hAnsi="Arial"/>
                <w:sz w:val="11"/>
                <w:szCs w:val="11"/>
                <w:b w:val="1"/>
                <w:bCs w:val="1"/>
                <w:color w:val="050505"/>
              </w:rPr>
              <w:t>Option</w:t>
            </w:r>
          </w:p>
        </w:tc>
        <w:tc>
          <w:tcPr>
            <w:tcW w:w="2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0" w:type="dxa"/>
            <w:vAlign w:val="bottom"/>
          </w:tcPr>
          <w:p>
            <w:pPr>
              <w:spacing w:after="0"/>
              <w:rPr>
                <w:sz w:val="10"/>
                <w:szCs w:val="10"/>
                <w:color w:val="auto"/>
              </w:rPr>
            </w:pPr>
          </w:p>
        </w:tc>
      </w:tr>
      <w:tr>
        <w:trPr>
          <w:trHeight w:val="125"/>
        </w:trPr>
        <w:tc>
          <w:tcPr>
            <w:tcW w:w="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3240" w:type="dxa"/>
            <w:vAlign w:val="bottom"/>
          </w:tcPr>
          <w:p>
            <w:pPr>
              <w:spacing w:after="0"/>
              <w:rPr>
                <w:sz w:val="10"/>
                <w:szCs w:val="10"/>
                <w:color w:val="auto"/>
              </w:rPr>
            </w:pPr>
          </w:p>
        </w:tc>
        <w:tc>
          <w:tcPr>
            <w:tcW w:w="2340" w:type="dxa"/>
            <w:vAlign w:val="bottom"/>
          </w:tcPr>
          <w:p>
            <w:pPr>
              <w:spacing w:after="0"/>
              <w:rPr>
                <w:sz w:val="10"/>
                <w:szCs w:val="10"/>
                <w:color w:val="auto"/>
              </w:rPr>
            </w:pPr>
          </w:p>
        </w:tc>
        <w:tc>
          <w:tcPr>
            <w:tcW w:w="580" w:type="dxa"/>
            <w:vAlign w:val="bottom"/>
          </w:tcPr>
          <w:p>
            <w:pPr>
              <w:ind w:left="100"/>
              <w:spacing w:after="0" w:line="125" w:lineRule="exact"/>
              <w:rPr>
                <w:sz w:val="20"/>
                <w:szCs w:val="20"/>
                <w:color w:val="auto"/>
              </w:rPr>
            </w:pPr>
            <w:r>
              <w:rPr>
                <w:rFonts w:ascii="Arial" w:cs="Arial" w:eastAsia="Arial" w:hAnsi="Arial"/>
                <w:sz w:val="11"/>
                <w:szCs w:val="11"/>
                <w:b w:val="1"/>
                <w:bCs w:val="1"/>
                <w:color w:val="050505"/>
              </w:rPr>
              <w:t>Awards</w:t>
            </w:r>
          </w:p>
        </w:tc>
        <w:tc>
          <w:tcPr>
            <w:tcW w:w="2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0" w:type="dxa"/>
            <w:vAlign w:val="bottom"/>
          </w:tcPr>
          <w:p>
            <w:pPr>
              <w:spacing w:after="0"/>
              <w:rPr>
                <w:sz w:val="10"/>
                <w:szCs w:val="10"/>
                <w:color w:val="auto"/>
              </w:rPr>
            </w:pPr>
          </w:p>
        </w:tc>
      </w:tr>
      <w:tr>
        <w:trPr>
          <w:trHeight w:val="140"/>
        </w:trPr>
        <w:tc>
          <w:tcPr>
            <w:tcW w:w="60" w:type="dxa"/>
            <w:vAlign w:val="bottom"/>
          </w:tcPr>
          <w:p>
            <w:pPr>
              <w:spacing w:after="0"/>
              <w:rPr>
                <w:sz w:val="12"/>
                <w:szCs w:val="12"/>
                <w:color w:val="auto"/>
              </w:rPr>
            </w:pPr>
          </w:p>
        </w:tc>
        <w:tc>
          <w:tcPr>
            <w:tcW w:w="300" w:type="dxa"/>
            <w:vAlign w:val="bottom"/>
            <w:tcBorders>
              <w:bottom w:val="single" w:sz="8" w:color="050505"/>
            </w:tcBorders>
          </w:tcPr>
          <w:p>
            <w:pPr>
              <w:spacing w:after="0" w:line="121" w:lineRule="exact"/>
              <w:rPr>
                <w:sz w:val="20"/>
                <w:szCs w:val="20"/>
                <w:color w:val="auto"/>
              </w:rPr>
            </w:pPr>
            <w:r>
              <w:rPr>
                <w:rFonts w:ascii="Arial" w:cs="Arial" w:eastAsia="Arial" w:hAnsi="Arial"/>
                <w:sz w:val="11"/>
                <w:szCs w:val="11"/>
                <w:b w:val="1"/>
                <w:bCs w:val="1"/>
                <w:color w:val="050505"/>
                <w:w w:val="93"/>
              </w:rPr>
              <w:t>Name</w:t>
            </w:r>
          </w:p>
        </w:tc>
        <w:tc>
          <w:tcPr>
            <w:tcW w:w="3240" w:type="dxa"/>
            <w:vAlign w:val="bottom"/>
          </w:tcPr>
          <w:p>
            <w:pPr>
              <w:spacing w:after="0"/>
              <w:rPr>
                <w:sz w:val="12"/>
                <w:szCs w:val="12"/>
                <w:color w:val="auto"/>
              </w:rPr>
            </w:pPr>
          </w:p>
        </w:tc>
        <w:tc>
          <w:tcPr>
            <w:tcW w:w="2920" w:type="dxa"/>
            <w:vAlign w:val="bottom"/>
            <w:gridSpan w:val="2"/>
          </w:tcPr>
          <w:p>
            <w:pPr>
              <w:ind w:left="2440"/>
              <w:spacing w:after="0" w:line="121" w:lineRule="exact"/>
              <w:rPr>
                <w:sz w:val="20"/>
                <w:szCs w:val="20"/>
                <w:color w:val="auto"/>
              </w:rPr>
            </w:pPr>
            <w:r>
              <w:rPr>
                <w:rFonts w:ascii="Arial" w:cs="Arial" w:eastAsia="Arial" w:hAnsi="Arial"/>
                <w:sz w:val="11"/>
                <w:szCs w:val="11"/>
                <w:b w:val="1"/>
                <w:bCs w:val="1"/>
                <w:color w:val="050505"/>
              </w:rPr>
              <w:t>($)</w:t>
            </w:r>
            <w:r>
              <w:rPr>
                <w:rFonts w:ascii="Arial" w:cs="Arial" w:eastAsia="Arial" w:hAnsi="Arial"/>
                <w:sz w:val="9"/>
                <w:szCs w:val="9"/>
                <w:b w:val="1"/>
                <w:bCs w:val="1"/>
                <w:color w:val="050505"/>
              </w:rPr>
              <w:t>(1)(2)</w:t>
            </w:r>
          </w:p>
        </w:tc>
        <w:tc>
          <w:tcPr>
            <w:tcW w:w="240" w:type="dxa"/>
            <w:vAlign w:val="bottom"/>
          </w:tcPr>
          <w:p>
            <w:pPr>
              <w:spacing w:after="0"/>
              <w:rPr>
                <w:sz w:val="12"/>
                <w:szCs w:val="12"/>
                <w:color w:val="auto"/>
              </w:rPr>
            </w:pPr>
          </w:p>
        </w:tc>
        <w:tc>
          <w:tcPr>
            <w:tcW w:w="600" w:type="dxa"/>
            <w:vAlign w:val="bottom"/>
            <w:gridSpan w:val="2"/>
          </w:tcPr>
          <w:p>
            <w:pPr>
              <w:ind w:left="80"/>
              <w:spacing w:after="0" w:line="121" w:lineRule="exact"/>
              <w:rPr>
                <w:sz w:val="20"/>
                <w:szCs w:val="20"/>
                <w:color w:val="auto"/>
              </w:rPr>
            </w:pPr>
            <w:r>
              <w:rPr>
                <w:rFonts w:ascii="Arial" w:cs="Arial" w:eastAsia="Arial" w:hAnsi="Arial"/>
                <w:sz w:val="11"/>
                <w:szCs w:val="11"/>
                <w:b w:val="1"/>
                <w:bCs w:val="1"/>
                <w:color w:val="050505"/>
              </w:rPr>
              <w:t>Total ($)</w:t>
            </w:r>
          </w:p>
        </w:tc>
      </w:tr>
      <w:tr>
        <w:trPr>
          <w:trHeight w:val="113"/>
        </w:trPr>
        <w:tc>
          <w:tcPr>
            <w:tcW w:w="3600" w:type="dxa"/>
            <w:vAlign w:val="bottom"/>
            <w:tcBorders>
              <w:top w:val="single" w:sz="8" w:color="CCEEFF"/>
            </w:tcBorders>
            <w:gridSpan w:val="3"/>
            <w:shd w:val="clear" w:color="auto" w:fill="CCEEFF"/>
          </w:tcPr>
          <w:p>
            <w:pPr>
              <w:ind w:left="40"/>
              <w:spacing w:after="0" w:line="110" w:lineRule="exact"/>
              <w:rPr>
                <w:sz w:val="20"/>
                <w:szCs w:val="20"/>
                <w:color w:val="auto"/>
              </w:rPr>
            </w:pPr>
            <w:r>
              <w:rPr>
                <w:rFonts w:ascii="Arial" w:cs="Arial" w:eastAsia="Arial" w:hAnsi="Arial"/>
                <w:sz w:val="11"/>
                <w:szCs w:val="11"/>
                <w:color w:val="050505"/>
              </w:rPr>
              <w:t>Erik Blachford</w:t>
            </w:r>
          </w:p>
        </w:tc>
        <w:tc>
          <w:tcPr>
            <w:tcW w:w="2340" w:type="dxa"/>
            <w:vAlign w:val="bottom"/>
            <w:tcBorders>
              <w:top w:val="single" w:sz="8" w:color="CCEEFF"/>
            </w:tcBorders>
            <w:shd w:val="clear" w:color="auto" w:fill="CCEEFF"/>
          </w:tcPr>
          <w:p>
            <w:pPr>
              <w:spacing w:after="0"/>
              <w:rPr>
                <w:sz w:val="9"/>
                <w:szCs w:val="9"/>
                <w:color w:val="auto"/>
              </w:rPr>
            </w:pPr>
          </w:p>
        </w:tc>
        <w:tc>
          <w:tcPr>
            <w:tcW w:w="580" w:type="dxa"/>
            <w:vAlign w:val="bottom"/>
            <w:tcBorders>
              <w:top w:val="single" w:sz="8" w:color="auto"/>
            </w:tcBorders>
            <w:shd w:val="clear" w:color="auto" w:fill="CCEEFF"/>
          </w:tcPr>
          <w:p>
            <w:pPr>
              <w:jc w:val="right"/>
              <w:spacing w:after="0" w:line="113" w:lineRule="exact"/>
              <w:rPr>
                <w:sz w:val="20"/>
                <w:szCs w:val="20"/>
                <w:color w:val="auto"/>
              </w:rPr>
            </w:pPr>
            <w:r>
              <w:rPr>
                <w:rFonts w:ascii="Arial" w:cs="Arial" w:eastAsia="Arial" w:hAnsi="Arial"/>
                <w:sz w:val="11"/>
                <w:szCs w:val="11"/>
                <w:color w:val="050505"/>
                <w:w w:val="96"/>
              </w:rPr>
              <w:t>$ 2,594,800</w:t>
            </w:r>
          </w:p>
        </w:tc>
        <w:tc>
          <w:tcPr>
            <w:tcW w:w="240" w:type="dxa"/>
            <w:vAlign w:val="bottom"/>
            <w:tcBorders>
              <w:top w:val="single" w:sz="8" w:color="CCEEFF"/>
            </w:tcBorders>
            <w:shd w:val="clear" w:color="auto" w:fill="CCEEFF"/>
          </w:tcPr>
          <w:p>
            <w:pPr>
              <w:spacing w:after="0"/>
              <w:rPr>
                <w:sz w:val="9"/>
                <w:szCs w:val="9"/>
                <w:color w:val="auto"/>
              </w:rPr>
            </w:pPr>
          </w:p>
        </w:tc>
        <w:tc>
          <w:tcPr>
            <w:tcW w:w="560" w:type="dxa"/>
            <w:vAlign w:val="bottom"/>
            <w:tcBorders>
              <w:top w:val="single" w:sz="8" w:color="auto"/>
            </w:tcBorders>
            <w:shd w:val="clear" w:color="auto" w:fill="CCEEFF"/>
          </w:tcPr>
          <w:p>
            <w:pPr>
              <w:jc w:val="right"/>
              <w:spacing w:after="0" w:line="113" w:lineRule="exact"/>
              <w:rPr>
                <w:sz w:val="20"/>
                <w:szCs w:val="20"/>
                <w:color w:val="auto"/>
              </w:rPr>
            </w:pPr>
            <w:r>
              <w:rPr>
                <w:rFonts w:ascii="Arial" w:cs="Arial" w:eastAsia="Arial" w:hAnsi="Arial"/>
                <w:sz w:val="11"/>
                <w:szCs w:val="11"/>
                <w:color w:val="050505"/>
                <w:w w:val="98"/>
              </w:rPr>
              <w:t>$2,594,800</w:t>
            </w:r>
          </w:p>
        </w:tc>
        <w:tc>
          <w:tcPr>
            <w:tcW w:w="40" w:type="dxa"/>
            <w:vAlign w:val="bottom"/>
            <w:tcBorders>
              <w:top w:val="single" w:sz="8" w:color="CCEEFF"/>
            </w:tcBorders>
            <w:shd w:val="clear" w:color="auto" w:fill="CCEEFF"/>
          </w:tcPr>
          <w:p>
            <w:pPr>
              <w:spacing w:after="0"/>
              <w:rPr>
                <w:sz w:val="9"/>
                <w:szCs w:val="9"/>
                <w:color w:val="auto"/>
              </w:rPr>
            </w:pPr>
          </w:p>
        </w:tc>
      </w:tr>
      <w:tr>
        <w:trPr>
          <w:trHeight w:val="126"/>
        </w:trPr>
        <w:tc>
          <w:tcPr>
            <w:tcW w:w="3600" w:type="dxa"/>
            <w:vAlign w:val="bottom"/>
            <w:gridSpan w:val="3"/>
          </w:tcPr>
          <w:p>
            <w:pPr>
              <w:ind w:left="40"/>
              <w:spacing w:after="0"/>
              <w:rPr>
                <w:sz w:val="20"/>
                <w:szCs w:val="20"/>
                <w:color w:val="auto"/>
              </w:rPr>
            </w:pPr>
            <w:r>
              <w:rPr>
                <w:rFonts w:ascii="Arial" w:cs="Arial" w:eastAsia="Arial" w:hAnsi="Arial"/>
                <w:sz w:val="11"/>
                <w:szCs w:val="11"/>
                <w:color w:val="050505"/>
              </w:rPr>
              <w:t>Karen Boone</w:t>
            </w:r>
          </w:p>
        </w:tc>
        <w:tc>
          <w:tcPr>
            <w:tcW w:w="2920" w:type="dxa"/>
            <w:vAlign w:val="bottom"/>
            <w:gridSpan w:val="2"/>
          </w:tcPr>
          <w:p>
            <w:pPr>
              <w:jc w:val="right"/>
              <w:spacing w:after="0"/>
              <w:rPr>
                <w:sz w:val="20"/>
                <w:szCs w:val="20"/>
                <w:color w:val="auto"/>
              </w:rPr>
            </w:pPr>
            <w:r>
              <w:rPr>
                <w:rFonts w:ascii="Arial" w:cs="Arial" w:eastAsia="Arial" w:hAnsi="Arial"/>
                <w:sz w:val="11"/>
                <w:szCs w:val="11"/>
                <w:color w:val="050505"/>
              </w:rPr>
              <w:t>3,892,200</w:t>
            </w:r>
          </w:p>
        </w:tc>
        <w:tc>
          <w:tcPr>
            <w:tcW w:w="800" w:type="dxa"/>
            <w:vAlign w:val="bottom"/>
            <w:gridSpan w:val="2"/>
          </w:tcPr>
          <w:p>
            <w:pPr>
              <w:jc w:val="right"/>
              <w:spacing w:after="0"/>
              <w:rPr>
                <w:sz w:val="20"/>
                <w:szCs w:val="20"/>
                <w:color w:val="auto"/>
              </w:rPr>
            </w:pPr>
            <w:r>
              <w:rPr>
                <w:rFonts w:ascii="Arial" w:cs="Arial" w:eastAsia="Arial" w:hAnsi="Arial"/>
                <w:sz w:val="11"/>
                <w:szCs w:val="11"/>
                <w:color w:val="050505"/>
              </w:rPr>
              <w:t>3,892,200</w:t>
            </w:r>
          </w:p>
        </w:tc>
        <w:tc>
          <w:tcPr>
            <w:tcW w:w="40" w:type="dxa"/>
            <w:vAlign w:val="bottom"/>
          </w:tcPr>
          <w:p>
            <w:pPr>
              <w:spacing w:after="0"/>
              <w:rPr>
                <w:sz w:val="10"/>
                <w:szCs w:val="10"/>
                <w:color w:val="auto"/>
              </w:rPr>
            </w:pPr>
          </w:p>
        </w:tc>
      </w:tr>
      <w:tr>
        <w:trPr>
          <w:trHeight w:val="126"/>
        </w:trPr>
        <w:tc>
          <w:tcPr>
            <w:tcW w:w="3600" w:type="dxa"/>
            <w:vAlign w:val="bottom"/>
            <w:gridSpan w:val="3"/>
            <w:shd w:val="clear" w:color="auto" w:fill="CCEEFF"/>
          </w:tcPr>
          <w:p>
            <w:pPr>
              <w:ind w:left="40"/>
              <w:spacing w:after="0"/>
              <w:rPr>
                <w:sz w:val="20"/>
                <w:szCs w:val="20"/>
                <w:color w:val="auto"/>
              </w:rPr>
            </w:pPr>
            <w:r>
              <w:rPr>
                <w:rFonts w:ascii="Arial" w:cs="Arial" w:eastAsia="Arial" w:hAnsi="Arial"/>
                <w:sz w:val="11"/>
                <w:szCs w:val="11"/>
                <w:color w:val="050505"/>
              </w:rPr>
              <w:t>Jon Callaghan</w:t>
            </w:r>
          </w:p>
        </w:tc>
        <w:tc>
          <w:tcPr>
            <w:tcW w:w="2340" w:type="dxa"/>
            <w:vAlign w:val="bottom"/>
            <w:shd w:val="clear" w:color="auto" w:fill="CCEEFF"/>
          </w:tcPr>
          <w:p>
            <w:pPr>
              <w:spacing w:after="0"/>
              <w:rPr>
                <w:sz w:val="10"/>
                <w:szCs w:val="10"/>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1"/>
                <w:szCs w:val="11"/>
                <w:color w:val="050505"/>
              </w:rPr>
              <w:t>—</w:t>
            </w:r>
          </w:p>
        </w:tc>
        <w:tc>
          <w:tcPr>
            <w:tcW w:w="240" w:type="dxa"/>
            <w:vAlign w:val="bottom"/>
            <w:shd w:val="clear" w:color="auto" w:fill="CCEEFF"/>
          </w:tcPr>
          <w:p>
            <w:pPr>
              <w:spacing w:after="0"/>
              <w:rPr>
                <w:sz w:val="10"/>
                <w:szCs w:val="10"/>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050505"/>
              </w:rPr>
              <w:t>—</w:t>
            </w:r>
          </w:p>
        </w:tc>
      </w:tr>
      <w:tr>
        <w:trPr>
          <w:trHeight w:val="126"/>
        </w:trPr>
        <w:tc>
          <w:tcPr>
            <w:tcW w:w="3600" w:type="dxa"/>
            <w:vAlign w:val="bottom"/>
            <w:gridSpan w:val="3"/>
          </w:tcPr>
          <w:p>
            <w:pPr>
              <w:ind w:left="40"/>
              <w:spacing w:after="0"/>
              <w:rPr>
                <w:sz w:val="20"/>
                <w:szCs w:val="20"/>
                <w:color w:val="auto"/>
              </w:rPr>
            </w:pPr>
            <w:r>
              <w:rPr>
                <w:rFonts w:ascii="Arial" w:cs="Arial" w:eastAsia="Arial" w:hAnsi="Arial"/>
                <w:sz w:val="11"/>
                <w:szCs w:val="11"/>
                <w:color w:val="050505"/>
              </w:rPr>
              <w:t>Howard Draft</w:t>
            </w:r>
          </w:p>
        </w:tc>
        <w:tc>
          <w:tcPr>
            <w:tcW w:w="2920" w:type="dxa"/>
            <w:vAlign w:val="bottom"/>
            <w:gridSpan w:val="2"/>
          </w:tcPr>
          <w:p>
            <w:pPr>
              <w:jc w:val="right"/>
              <w:spacing w:after="0"/>
              <w:rPr>
                <w:sz w:val="20"/>
                <w:szCs w:val="20"/>
                <w:color w:val="auto"/>
              </w:rPr>
            </w:pPr>
            <w:r>
              <w:rPr>
                <w:rFonts w:ascii="Arial" w:cs="Arial" w:eastAsia="Arial" w:hAnsi="Arial"/>
                <w:sz w:val="11"/>
                <w:szCs w:val="11"/>
                <w:color w:val="050505"/>
              </w:rPr>
              <w:t>2,594,800</w:t>
            </w:r>
          </w:p>
        </w:tc>
        <w:tc>
          <w:tcPr>
            <w:tcW w:w="800" w:type="dxa"/>
            <w:vAlign w:val="bottom"/>
            <w:gridSpan w:val="2"/>
          </w:tcPr>
          <w:p>
            <w:pPr>
              <w:jc w:val="right"/>
              <w:spacing w:after="0"/>
              <w:rPr>
                <w:sz w:val="20"/>
                <w:szCs w:val="20"/>
                <w:color w:val="auto"/>
              </w:rPr>
            </w:pPr>
            <w:r>
              <w:rPr>
                <w:rFonts w:ascii="Arial" w:cs="Arial" w:eastAsia="Arial" w:hAnsi="Arial"/>
                <w:sz w:val="11"/>
                <w:szCs w:val="11"/>
                <w:color w:val="050505"/>
              </w:rPr>
              <w:t>2,594,800</w:t>
            </w:r>
          </w:p>
        </w:tc>
        <w:tc>
          <w:tcPr>
            <w:tcW w:w="40" w:type="dxa"/>
            <w:vAlign w:val="bottom"/>
          </w:tcPr>
          <w:p>
            <w:pPr>
              <w:spacing w:after="0"/>
              <w:rPr>
                <w:sz w:val="10"/>
                <w:szCs w:val="10"/>
                <w:color w:val="auto"/>
              </w:rPr>
            </w:pPr>
          </w:p>
        </w:tc>
      </w:tr>
      <w:tr>
        <w:trPr>
          <w:trHeight w:val="126"/>
        </w:trPr>
        <w:tc>
          <w:tcPr>
            <w:tcW w:w="3600" w:type="dxa"/>
            <w:vAlign w:val="bottom"/>
            <w:gridSpan w:val="3"/>
            <w:shd w:val="clear" w:color="auto" w:fill="CCEEFF"/>
          </w:tcPr>
          <w:p>
            <w:pPr>
              <w:ind w:left="40"/>
              <w:spacing w:after="0" w:line="126" w:lineRule="exact"/>
              <w:rPr>
                <w:sz w:val="20"/>
                <w:szCs w:val="20"/>
                <w:color w:val="auto"/>
              </w:rPr>
            </w:pPr>
            <w:r>
              <w:rPr>
                <w:rFonts w:ascii="Arial" w:cs="Arial" w:eastAsia="Arial" w:hAnsi="Arial"/>
                <w:sz w:val="9"/>
                <w:szCs w:val="9"/>
                <w:color w:val="050505"/>
              </w:rPr>
              <w:t>Lee Fixel</w:t>
            </w:r>
            <w:r>
              <w:rPr>
                <w:rFonts w:ascii="Arial" w:cs="Arial" w:eastAsia="Arial" w:hAnsi="Arial"/>
                <w:sz w:val="14"/>
                <w:szCs w:val="14"/>
                <w:color w:val="050505"/>
                <w:vertAlign w:val="superscript"/>
              </w:rPr>
              <w:t>*</w:t>
            </w:r>
          </w:p>
        </w:tc>
        <w:tc>
          <w:tcPr>
            <w:tcW w:w="2340" w:type="dxa"/>
            <w:vAlign w:val="bottom"/>
            <w:shd w:val="clear" w:color="auto" w:fill="CCEEFF"/>
          </w:tcPr>
          <w:p>
            <w:pPr>
              <w:spacing w:after="0"/>
              <w:rPr>
                <w:sz w:val="10"/>
                <w:szCs w:val="10"/>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1"/>
                <w:szCs w:val="11"/>
                <w:color w:val="050505"/>
              </w:rPr>
              <w:t>—</w:t>
            </w:r>
          </w:p>
        </w:tc>
        <w:tc>
          <w:tcPr>
            <w:tcW w:w="240" w:type="dxa"/>
            <w:vAlign w:val="bottom"/>
            <w:shd w:val="clear" w:color="auto" w:fill="CCEEFF"/>
          </w:tcPr>
          <w:p>
            <w:pPr>
              <w:spacing w:after="0"/>
              <w:rPr>
                <w:sz w:val="10"/>
                <w:szCs w:val="10"/>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050505"/>
              </w:rPr>
              <w:t>—</w:t>
            </w:r>
          </w:p>
        </w:tc>
      </w:tr>
      <w:tr>
        <w:trPr>
          <w:trHeight w:val="126"/>
        </w:trPr>
        <w:tc>
          <w:tcPr>
            <w:tcW w:w="3600" w:type="dxa"/>
            <w:vAlign w:val="bottom"/>
            <w:gridSpan w:val="3"/>
          </w:tcPr>
          <w:p>
            <w:pPr>
              <w:ind w:left="40"/>
              <w:spacing w:after="0"/>
              <w:rPr>
                <w:sz w:val="20"/>
                <w:szCs w:val="20"/>
                <w:color w:val="auto"/>
              </w:rPr>
            </w:pPr>
            <w:r>
              <w:rPr>
                <w:rFonts w:ascii="Arial" w:cs="Arial" w:eastAsia="Arial" w:hAnsi="Arial"/>
                <w:sz w:val="11"/>
                <w:szCs w:val="11"/>
                <w:color w:val="050505"/>
              </w:rPr>
              <w:t>Jay Hoag</w:t>
            </w:r>
          </w:p>
        </w:tc>
        <w:tc>
          <w:tcPr>
            <w:tcW w:w="2340" w:type="dxa"/>
            <w:vAlign w:val="bottom"/>
          </w:tcPr>
          <w:p>
            <w:pPr>
              <w:spacing w:after="0"/>
              <w:rPr>
                <w:sz w:val="10"/>
                <w:szCs w:val="10"/>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050505"/>
              </w:rPr>
              <w:t>—</w:t>
            </w:r>
          </w:p>
        </w:tc>
        <w:tc>
          <w:tcPr>
            <w:tcW w:w="240" w:type="dxa"/>
            <w:vAlign w:val="bottom"/>
          </w:tcPr>
          <w:p>
            <w:pPr>
              <w:spacing w:after="0"/>
              <w:rPr>
                <w:sz w:val="10"/>
                <w:szCs w:val="10"/>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1"/>
                <w:szCs w:val="11"/>
                <w:color w:val="050505"/>
              </w:rPr>
              <w:t>—</w:t>
            </w:r>
          </w:p>
        </w:tc>
      </w:tr>
      <w:tr>
        <w:trPr>
          <w:trHeight w:val="126"/>
        </w:trPr>
        <w:tc>
          <w:tcPr>
            <w:tcW w:w="3600" w:type="dxa"/>
            <w:vAlign w:val="bottom"/>
            <w:gridSpan w:val="3"/>
            <w:shd w:val="clear" w:color="auto" w:fill="CCEEFF"/>
          </w:tcPr>
          <w:p>
            <w:pPr>
              <w:ind w:left="40"/>
              <w:spacing w:after="0"/>
              <w:rPr>
                <w:sz w:val="20"/>
                <w:szCs w:val="20"/>
                <w:color w:val="auto"/>
              </w:rPr>
            </w:pPr>
            <w:r>
              <w:rPr>
                <w:rFonts w:ascii="Arial" w:cs="Arial" w:eastAsia="Arial" w:hAnsi="Arial"/>
                <w:sz w:val="11"/>
                <w:szCs w:val="11"/>
                <w:color w:val="050505"/>
              </w:rPr>
              <w:t>Pamela Thomas-Graham</w:t>
            </w:r>
          </w:p>
        </w:tc>
        <w:tc>
          <w:tcPr>
            <w:tcW w:w="292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050505"/>
              </w:rPr>
              <w:t>2,594,800</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050505"/>
              </w:rPr>
              <w:t>2,594,800</w:t>
            </w:r>
          </w:p>
        </w:tc>
        <w:tc>
          <w:tcPr>
            <w:tcW w:w="40" w:type="dxa"/>
            <w:vAlign w:val="bottom"/>
            <w:shd w:val="clear" w:color="auto" w:fill="CCEEFF"/>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1310640</wp:posOffset>
            </wp:positionH>
            <wp:positionV relativeFrom="paragraph">
              <wp:posOffset>57150</wp:posOffset>
            </wp:positionV>
            <wp:extent cx="1212215" cy="571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1212215" cy="5715"/>
                    </a:xfrm>
                    <a:prstGeom prst="rect">
                      <a:avLst/>
                    </a:prstGeom>
                    <a:noFill/>
                  </pic:spPr>
                </pic:pic>
              </a:graphicData>
            </a:graphic>
          </wp:anchor>
        </w:drawing>
      </w:r>
    </w:p>
    <w:p>
      <w:pPr>
        <w:spacing w:after="0" w:line="102" w:lineRule="exact"/>
        <w:rPr>
          <w:sz w:val="20"/>
          <w:szCs w:val="20"/>
          <w:color w:val="auto"/>
        </w:rPr>
      </w:pPr>
    </w:p>
    <w:p>
      <w:pPr>
        <w:ind w:left="2280" w:hanging="221"/>
        <w:spacing w:after="0"/>
        <w:tabs>
          <w:tab w:leader="none" w:pos="2280" w:val="left"/>
        </w:tabs>
        <w:numPr>
          <w:ilvl w:val="0"/>
          <w:numId w:val="76"/>
        </w:numPr>
        <w:rPr>
          <w:rFonts w:ascii="Arial" w:cs="Arial" w:eastAsia="Arial" w:hAnsi="Arial"/>
          <w:sz w:val="8"/>
          <w:szCs w:val="8"/>
          <w:color w:val="050505"/>
        </w:rPr>
      </w:pPr>
      <w:r>
        <w:rPr>
          <w:rFonts w:ascii="Arial" w:cs="Arial" w:eastAsia="Arial" w:hAnsi="Arial"/>
          <w:sz w:val="8"/>
          <w:szCs w:val="8"/>
          <w:color w:val="050505"/>
        </w:rPr>
        <w:t>Mr. Fixel resigned from our board of directors in August 2019.</w:t>
      </w:r>
    </w:p>
    <w:p>
      <w:pPr>
        <w:spacing w:after="0" w:line="43" w:lineRule="exact"/>
        <w:rPr>
          <w:sz w:val="20"/>
          <w:szCs w:val="20"/>
          <w:color w:val="auto"/>
        </w:rPr>
      </w:pPr>
    </w:p>
    <w:p>
      <w:pPr>
        <w:jc w:val="both"/>
        <w:ind w:left="2280" w:right="839" w:hanging="221"/>
        <w:spacing w:after="0" w:line="241" w:lineRule="auto"/>
        <w:tabs>
          <w:tab w:leader="none" w:pos="2280" w:val="left"/>
        </w:tabs>
        <w:numPr>
          <w:ilvl w:val="0"/>
          <w:numId w:val="77"/>
        </w:numPr>
        <w:rPr>
          <w:rFonts w:ascii="Arial" w:cs="Arial" w:eastAsia="Arial" w:hAnsi="Arial"/>
          <w:sz w:val="8"/>
          <w:szCs w:val="8"/>
          <w:color w:val="050505"/>
        </w:rPr>
      </w:pPr>
      <w:r>
        <w:rPr>
          <w:rFonts w:ascii="Arial" w:cs="Arial" w:eastAsia="Arial" w:hAnsi="Arial"/>
          <w:sz w:val="8"/>
          <w:szCs w:val="8"/>
          <w:color w:val="050505"/>
        </w:rPr>
        <w:t>The amounts reported in the Option Awards column represent the grant date fair value of the stock options granted to our non-employee directors during fiscal 2019 as computed in accordance with FASB Accounting Standards Codification Topic 718. The assumptions used in calculating the grant date fair value of the stock options reported in the Option Awards column are set forth in Note 13 of the notes to our consolidated financial statements included elsewhere in this prospectus. Note that the amounts reported in this column reflect the accounting cost for these stock options and do not correspond to the actual economic value that may be received by our non-employee directors from the stock options.</w:t>
      </w:r>
    </w:p>
    <w:p>
      <w:pPr>
        <w:spacing w:after="0" w:line="35" w:lineRule="exact"/>
        <w:rPr>
          <w:rFonts w:ascii="Arial" w:cs="Arial" w:eastAsia="Arial" w:hAnsi="Arial"/>
          <w:sz w:val="8"/>
          <w:szCs w:val="8"/>
          <w:color w:val="050505"/>
        </w:rPr>
      </w:pPr>
    </w:p>
    <w:p>
      <w:pPr>
        <w:jc w:val="both"/>
        <w:ind w:left="2280" w:right="839" w:hanging="221"/>
        <w:spacing w:after="0" w:line="245" w:lineRule="auto"/>
        <w:tabs>
          <w:tab w:leader="none" w:pos="2280" w:val="left"/>
        </w:tabs>
        <w:numPr>
          <w:ilvl w:val="0"/>
          <w:numId w:val="77"/>
        </w:numPr>
        <w:rPr>
          <w:rFonts w:ascii="Arial" w:cs="Arial" w:eastAsia="Arial" w:hAnsi="Arial"/>
          <w:sz w:val="8"/>
          <w:szCs w:val="8"/>
          <w:color w:val="050505"/>
        </w:rPr>
      </w:pPr>
      <w:r>
        <w:rPr>
          <w:rFonts w:ascii="Arial" w:cs="Arial" w:eastAsia="Arial" w:hAnsi="Arial"/>
          <w:sz w:val="8"/>
          <w:szCs w:val="8"/>
          <w:color w:val="050505"/>
        </w:rPr>
        <w:t>The following table sets forth information on stock options granted to non-employee directors during fiscal 2019, the aggregate number of shares of our Class B common stock underlying outstanding stock options held by our non-employee directors as of June 30, 2019, and the aggregate number of shares of our Class B common stock underlying outstanding unvested stock options held by our non-employee directors as of June 30, 2019:</w:t>
      </w:r>
    </w:p>
    <w:p>
      <w:pPr>
        <w:spacing w:after="0" w:line="22" w:lineRule="exact"/>
        <w:rPr>
          <w:sz w:val="20"/>
          <w:szCs w:val="20"/>
          <w:color w:val="auto"/>
        </w:rPr>
      </w:pPr>
    </w:p>
    <w:tbl>
      <w:tblPr>
        <w:tblLayout w:type="fixed"/>
        <w:tblInd w:w="2280" w:type="dxa"/>
        <w:tblCellMar>
          <w:top w:w="0" w:type="dxa"/>
          <w:left w:w="0" w:type="dxa"/>
          <w:bottom w:w="0" w:type="dxa"/>
          <w:right w:w="0" w:type="dxa"/>
        </w:tblCellMar>
      </w:tblPr>
      <w:tr>
        <w:trPr>
          <w:trHeight w:val="92"/>
        </w:trPr>
        <w:tc>
          <w:tcPr>
            <w:tcW w:w="60" w:type="dxa"/>
            <w:vAlign w:val="bottom"/>
          </w:tcPr>
          <w:p>
            <w:pPr>
              <w:spacing w:after="0"/>
              <w:rPr>
                <w:sz w:val="7"/>
                <w:szCs w:val="7"/>
                <w:color w:val="auto"/>
              </w:rPr>
            </w:pPr>
          </w:p>
        </w:tc>
        <w:tc>
          <w:tcPr>
            <w:tcW w:w="220" w:type="dxa"/>
            <w:vAlign w:val="bottom"/>
          </w:tcPr>
          <w:p>
            <w:pPr>
              <w:spacing w:after="0"/>
              <w:rPr>
                <w:sz w:val="7"/>
                <w:szCs w:val="7"/>
                <w:color w:val="auto"/>
              </w:rPr>
            </w:pPr>
          </w:p>
        </w:tc>
        <w:tc>
          <w:tcPr>
            <w:tcW w:w="1700" w:type="dxa"/>
            <w:vAlign w:val="bottom"/>
          </w:tcPr>
          <w:p>
            <w:pPr>
              <w:spacing w:after="0"/>
              <w:rPr>
                <w:sz w:val="7"/>
                <w:szCs w:val="7"/>
                <w:color w:val="auto"/>
              </w:rPr>
            </w:pPr>
          </w:p>
        </w:tc>
        <w:tc>
          <w:tcPr>
            <w:tcW w:w="980" w:type="dxa"/>
            <w:vAlign w:val="bottom"/>
          </w:tcPr>
          <w:p>
            <w:pPr>
              <w:spacing w:after="0"/>
              <w:rPr>
                <w:sz w:val="7"/>
                <w:szCs w:val="7"/>
                <w:color w:val="auto"/>
              </w:rPr>
            </w:pPr>
          </w:p>
        </w:tc>
        <w:tc>
          <w:tcPr>
            <w:tcW w:w="1020" w:type="dxa"/>
            <w:vAlign w:val="bottom"/>
          </w:tcPr>
          <w:p>
            <w:pPr>
              <w:spacing w:after="0"/>
              <w:rPr>
                <w:sz w:val="7"/>
                <w:szCs w:val="7"/>
                <w:color w:val="auto"/>
              </w:rPr>
            </w:pPr>
          </w:p>
        </w:tc>
        <w:tc>
          <w:tcPr>
            <w:tcW w:w="360" w:type="dxa"/>
            <w:vAlign w:val="bottom"/>
          </w:tcPr>
          <w:p>
            <w:pPr>
              <w:spacing w:after="0"/>
              <w:rPr>
                <w:sz w:val="7"/>
                <w:szCs w:val="7"/>
                <w:color w:val="auto"/>
              </w:rPr>
            </w:pPr>
          </w:p>
        </w:tc>
        <w:tc>
          <w:tcPr>
            <w:tcW w:w="2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340" w:type="dxa"/>
            <w:vAlign w:val="bottom"/>
          </w:tcPr>
          <w:p>
            <w:pPr>
              <w:spacing w:after="0"/>
              <w:rPr>
                <w:sz w:val="7"/>
                <w:szCs w:val="7"/>
                <w:color w:val="auto"/>
              </w:rPr>
            </w:pPr>
          </w:p>
        </w:tc>
        <w:tc>
          <w:tcPr>
            <w:tcW w:w="280" w:type="dxa"/>
            <w:vAlign w:val="bottom"/>
          </w:tcPr>
          <w:p>
            <w:pPr>
              <w:spacing w:after="0"/>
              <w:rPr>
                <w:sz w:val="7"/>
                <w:szCs w:val="7"/>
                <w:color w:val="auto"/>
              </w:rPr>
            </w:pPr>
          </w:p>
        </w:tc>
        <w:tc>
          <w:tcPr>
            <w:tcW w:w="880" w:type="dxa"/>
            <w:vAlign w:val="bottom"/>
            <w:gridSpan w:val="2"/>
          </w:tcPr>
          <w:p>
            <w:pPr>
              <w:jc w:val="center"/>
              <w:ind w:right="40"/>
              <w:spacing w:after="0"/>
              <w:rPr>
                <w:sz w:val="20"/>
                <w:szCs w:val="20"/>
                <w:color w:val="auto"/>
              </w:rPr>
            </w:pPr>
            <w:r>
              <w:rPr>
                <w:rFonts w:ascii="Arial" w:cs="Arial" w:eastAsia="Arial" w:hAnsi="Arial"/>
                <w:sz w:val="8"/>
                <w:szCs w:val="8"/>
                <w:b w:val="1"/>
                <w:bCs w:val="1"/>
                <w:color w:val="050505"/>
              </w:rPr>
              <w:t>Number of Shares</w:t>
            </w:r>
          </w:p>
        </w:tc>
      </w:tr>
      <w:tr>
        <w:trPr>
          <w:trHeight w:val="90"/>
        </w:trPr>
        <w:tc>
          <w:tcPr>
            <w:tcW w:w="60" w:type="dxa"/>
            <w:vAlign w:val="bottom"/>
          </w:tcPr>
          <w:p>
            <w:pPr>
              <w:spacing w:after="0"/>
              <w:rPr>
                <w:sz w:val="7"/>
                <w:szCs w:val="7"/>
                <w:color w:val="auto"/>
              </w:rPr>
            </w:pPr>
          </w:p>
        </w:tc>
        <w:tc>
          <w:tcPr>
            <w:tcW w:w="220" w:type="dxa"/>
            <w:vAlign w:val="bottom"/>
          </w:tcPr>
          <w:p>
            <w:pPr>
              <w:spacing w:after="0"/>
              <w:rPr>
                <w:sz w:val="7"/>
                <w:szCs w:val="7"/>
                <w:color w:val="auto"/>
              </w:rPr>
            </w:pPr>
          </w:p>
        </w:tc>
        <w:tc>
          <w:tcPr>
            <w:tcW w:w="1700" w:type="dxa"/>
            <w:vAlign w:val="bottom"/>
          </w:tcPr>
          <w:p>
            <w:pPr>
              <w:spacing w:after="0"/>
              <w:rPr>
                <w:sz w:val="7"/>
                <w:szCs w:val="7"/>
                <w:color w:val="auto"/>
              </w:rPr>
            </w:pPr>
          </w:p>
        </w:tc>
        <w:tc>
          <w:tcPr>
            <w:tcW w:w="980" w:type="dxa"/>
            <w:vAlign w:val="bottom"/>
          </w:tcPr>
          <w:p>
            <w:pPr>
              <w:spacing w:after="0"/>
              <w:rPr>
                <w:sz w:val="7"/>
                <w:szCs w:val="7"/>
                <w:color w:val="auto"/>
              </w:rPr>
            </w:pPr>
          </w:p>
        </w:tc>
        <w:tc>
          <w:tcPr>
            <w:tcW w:w="1380" w:type="dxa"/>
            <w:vAlign w:val="bottom"/>
            <w:gridSpan w:val="2"/>
          </w:tcPr>
          <w:p>
            <w:pPr>
              <w:jc w:val="center"/>
              <w:ind w:right="344"/>
              <w:spacing w:after="0" w:line="90" w:lineRule="exact"/>
              <w:rPr>
                <w:sz w:val="20"/>
                <w:szCs w:val="20"/>
                <w:color w:val="auto"/>
              </w:rPr>
            </w:pPr>
            <w:r>
              <w:rPr>
                <w:rFonts w:ascii="Arial" w:cs="Arial" w:eastAsia="Arial" w:hAnsi="Arial"/>
                <w:sz w:val="8"/>
                <w:szCs w:val="8"/>
                <w:b w:val="1"/>
                <w:bCs w:val="1"/>
                <w:color w:val="050505"/>
              </w:rPr>
              <w:t>Number of Shares</w:t>
            </w:r>
          </w:p>
        </w:tc>
        <w:tc>
          <w:tcPr>
            <w:tcW w:w="260" w:type="dxa"/>
            <w:vAlign w:val="bottom"/>
          </w:tcPr>
          <w:p>
            <w:pPr>
              <w:spacing w:after="0"/>
              <w:rPr>
                <w:sz w:val="7"/>
                <w:szCs w:val="7"/>
                <w:color w:val="auto"/>
              </w:rPr>
            </w:pPr>
          </w:p>
        </w:tc>
        <w:tc>
          <w:tcPr>
            <w:tcW w:w="1380" w:type="dxa"/>
            <w:vAlign w:val="bottom"/>
            <w:gridSpan w:val="2"/>
          </w:tcPr>
          <w:p>
            <w:pPr>
              <w:jc w:val="center"/>
              <w:ind w:right="310"/>
              <w:spacing w:after="0" w:line="90" w:lineRule="exact"/>
              <w:rPr>
                <w:sz w:val="20"/>
                <w:szCs w:val="20"/>
                <w:color w:val="auto"/>
              </w:rPr>
            </w:pPr>
            <w:r>
              <w:rPr>
                <w:rFonts w:ascii="Arial" w:cs="Arial" w:eastAsia="Arial" w:hAnsi="Arial"/>
                <w:sz w:val="8"/>
                <w:szCs w:val="8"/>
                <w:b w:val="1"/>
                <w:bCs w:val="1"/>
                <w:color w:val="050505"/>
              </w:rPr>
              <w:t>Number of Shares</w:t>
            </w:r>
          </w:p>
        </w:tc>
        <w:tc>
          <w:tcPr>
            <w:tcW w:w="1160" w:type="dxa"/>
            <w:vAlign w:val="bottom"/>
            <w:gridSpan w:val="3"/>
          </w:tcPr>
          <w:p>
            <w:pPr>
              <w:jc w:val="center"/>
              <w:ind w:left="198"/>
              <w:spacing w:after="0" w:line="90" w:lineRule="exact"/>
              <w:rPr>
                <w:sz w:val="20"/>
                <w:szCs w:val="20"/>
                <w:color w:val="auto"/>
              </w:rPr>
            </w:pPr>
            <w:r>
              <w:rPr>
                <w:rFonts w:ascii="Arial" w:cs="Arial" w:eastAsia="Arial" w:hAnsi="Arial"/>
                <w:sz w:val="8"/>
                <w:szCs w:val="8"/>
                <w:b w:val="1"/>
                <w:bCs w:val="1"/>
                <w:color w:val="050505"/>
              </w:rPr>
              <w:t>Underlying Unvested</w:t>
            </w:r>
          </w:p>
        </w:tc>
      </w:tr>
      <w:tr>
        <w:trPr>
          <w:trHeight w:val="90"/>
        </w:trPr>
        <w:tc>
          <w:tcPr>
            <w:tcW w:w="60" w:type="dxa"/>
            <w:vAlign w:val="bottom"/>
          </w:tcPr>
          <w:p>
            <w:pPr>
              <w:spacing w:after="0"/>
              <w:rPr>
                <w:sz w:val="7"/>
                <w:szCs w:val="7"/>
                <w:color w:val="auto"/>
              </w:rPr>
            </w:pPr>
          </w:p>
        </w:tc>
        <w:tc>
          <w:tcPr>
            <w:tcW w:w="220" w:type="dxa"/>
            <w:vAlign w:val="bottom"/>
          </w:tcPr>
          <w:p>
            <w:pPr>
              <w:spacing w:after="0"/>
              <w:rPr>
                <w:sz w:val="7"/>
                <w:szCs w:val="7"/>
                <w:color w:val="auto"/>
              </w:rPr>
            </w:pPr>
          </w:p>
        </w:tc>
        <w:tc>
          <w:tcPr>
            <w:tcW w:w="1700" w:type="dxa"/>
            <w:vAlign w:val="bottom"/>
          </w:tcPr>
          <w:p>
            <w:pPr>
              <w:spacing w:after="0"/>
              <w:rPr>
                <w:sz w:val="7"/>
                <w:szCs w:val="7"/>
                <w:color w:val="auto"/>
              </w:rPr>
            </w:pPr>
          </w:p>
        </w:tc>
        <w:tc>
          <w:tcPr>
            <w:tcW w:w="2360" w:type="dxa"/>
            <w:vAlign w:val="bottom"/>
            <w:gridSpan w:val="3"/>
          </w:tcPr>
          <w:p>
            <w:pPr>
              <w:jc w:val="center"/>
              <w:ind w:left="578"/>
              <w:spacing w:after="0" w:line="90" w:lineRule="exact"/>
              <w:rPr>
                <w:sz w:val="20"/>
                <w:szCs w:val="20"/>
                <w:color w:val="auto"/>
              </w:rPr>
            </w:pPr>
            <w:r>
              <w:rPr>
                <w:rFonts w:ascii="Arial" w:cs="Arial" w:eastAsia="Arial" w:hAnsi="Arial"/>
                <w:sz w:val="8"/>
                <w:szCs w:val="8"/>
                <w:b w:val="1"/>
                <w:bCs w:val="1"/>
                <w:color w:val="050505"/>
              </w:rPr>
              <w:t>Underlying Stock Options</w:t>
            </w:r>
          </w:p>
        </w:tc>
        <w:tc>
          <w:tcPr>
            <w:tcW w:w="1640" w:type="dxa"/>
            <w:vAlign w:val="bottom"/>
            <w:gridSpan w:val="3"/>
          </w:tcPr>
          <w:p>
            <w:pPr>
              <w:jc w:val="center"/>
              <w:ind w:right="50"/>
              <w:spacing w:after="0" w:line="90" w:lineRule="exact"/>
              <w:rPr>
                <w:sz w:val="20"/>
                <w:szCs w:val="20"/>
                <w:color w:val="auto"/>
              </w:rPr>
            </w:pPr>
            <w:r>
              <w:rPr>
                <w:rFonts w:ascii="Arial" w:cs="Arial" w:eastAsia="Arial" w:hAnsi="Arial"/>
                <w:sz w:val="8"/>
                <w:szCs w:val="8"/>
                <w:b w:val="1"/>
                <w:bCs w:val="1"/>
                <w:color w:val="050505"/>
              </w:rPr>
              <w:t>Underlying Stock Options</w:t>
            </w:r>
          </w:p>
        </w:tc>
        <w:tc>
          <w:tcPr>
            <w:tcW w:w="280" w:type="dxa"/>
            <w:vAlign w:val="bottom"/>
          </w:tcPr>
          <w:p>
            <w:pPr>
              <w:spacing w:after="0"/>
              <w:rPr>
                <w:sz w:val="7"/>
                <w:szCs w:val="7"/>
                <w:color w:val="auto"/>
              </w:rPr>
            </w:pPr>
          </w:p>
        </w:tc>
        <w:tc>
          <w:tcPr>
            <w:tcW w:w="880" w:type="dxa"/>
            <w:vAlign w:val="bottom"/>
            <w:gridSpan w:val="2"/>
          </w:tcPr>
          <w:p>
            <w:pPr>
              <w:jc w:val="center"/>
              <w:ind w:right="40"/>
              <w:spacing w:after="0" w:line="90" w:lineRule="exact"/>
              <w:rPr>
                <w:sz w:val="20"/>
                <w:szCs w:val="20"/>
                <w:color w:val="auto"/>
              </w:rPr>
            </w:pPr>
            <w:r>
              <w:rPr>
                <w:rFonts w:ascii="Arial" w:cs="Arial" w:eastAsia="Arial" w:hAnsi="Arial"/>
                <w:sz w:val="8"/>
                <w:szCs w:val="8"/>
                <w:b w:val="1"/>
                <w:bCs w:val="1"/>
                <w:color w:val="050505"/>
              </w:rPr>
              <w:t>Stock Options Held</w:t>
            </w:r>
          </w:p>
        </w:tc>
      </w:tr>
      <w:tr>
        <w:trPr>
          <w:trHeight w:val="115"/>
        </w:trPr>
        <w:tc>
          <w:tcPr>
            <w:tcW w:w="60" w:type="dxa"/>
            <w:vAlign w:val="bottom"/>
          </w:tcPr>
          <w:p>
            <w:pPr>
              <w:spacing w:after="0"/>
              <w:rPr>
                <w:sz w:val="10"/>
                <w:szCs w:val="10"/>
                <w:color w:val="auto"/>
              </w:rPr>
            </w:pPr>
          </w:p>
        </w:tc>
        <w:tc>
          <w:tcPr>
            <w:tcW w:w="220" w:type="dxa"/>
            <w:vAlign w:val="bottom"/>
            <w:tcBorders>
              <w:bottom w:val="single" w:sz="8" w:color="050505"/>
            </w:tcBorders>
          </w:tcPr>
          <w:p>
            <w:pPr>
              <w:spacing w:after="0"/>
              <w:rPr>
                <w:sz w:val="20"/>
                <w:szCs w:val="20"/>
                <w:color w:val="auto"/>
              </w:rPr>
            </w:pPr>
            <w:r>
              <w:rPr>
                <w:rFonts w:ascii="Arial" w:cs="Arial" w:eastAsia="Arial" w:hAnsi="Arial"/>
                <w:sz w:val="8"/>
                <w:szCs w:val="8"/>
                <w:b w:val="1"/>
                <w:bCs w:val="1"/>
                <w:color w:val="050505"/>
                <w:w w:val="91"/>
              </w:rPr>
              <w:t>Name</w:t>
            </w:r>
          </w:p>
        </w:tc>
        <w:tc>
          <w:tcPr>
            <w:tcW w:w="17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380" w:type="dxa"/>
            <w:vAlign w:val="bottom"/>
            <w:gridSpan w:val="2"/>
          </w:tcPr>
          <w:p>
            <w:pPr>
              <w:jc w:val="center"/>
              <w:ind w:right="324"/>
              <w:spacing w:after="0"/>
              <w:rPr>
                <w:sz w:val="20"/>
                <w:szCs w:val="20"/>
                <w:color w:val="auto"/>
              </w:rPr>
            </w:pPr>
            <w:r>
              <w:rPr>
                <w:rFonts w:ascii="Arial" w:cs="Arial" w:eastAsia="Arial" w:hAnsi="Arial"/>
                <w:sz w:val="8"/>
                <w:szCs w:val="8"/>
                <w:b w:val="1"/>
                <w:bCs w:val="1"/>
                <w:color w:val="050505"/>
              </w:rPr>
              <w:t>Granted in Fiscal 2019</w:t>
            </w:r>
          </w:p>
        </w:tc>
        <w:tc>
          <w:tcPr>
            <w:tcW w:w="260" w:type="dxa"/>
            <w:vAlign w:val="bottom"/>
          </w:tcPr>
          <w:p>
            <w:pPr>
              <w:spacing w:after="0"/>
              <w:rPr>
                <w:sz w:val="10"/>
                <w:szCs w:val="10"/>
                <w:color w:val="auto"/>
              </w:rPr>
            </w:pPr>
          </w:p>
        </w:tc>
        <w:tc>
          <w:tcPr>
            <w:tcW w:w="1380" w:type="dxa"/>
            <w:vAlign w:val="bottom"/>
            <w:gridSpan w:val="2"/>
          </w:tcPr>
          <w:p>
            <w:pPr>
              <w:jc w:val="center"/>
              <w:ind w:right="310"/>
              <w:spacing w:after="0"/>
              <w:rPr>
                <w:sz w:val="20"/>
                <w:szCs w:val="20"/>
                <w:color w:val="auto"/>
              </w:rPr>
            </w:pPr>
            <w:r>
              <w:rPr>
                <w:rFonts w:ascii="Arial" w:cs="Arial" w:eastAsia="Arial" w:hAnsi="Arial"/>
                <w:sz w:val="8"/>
                <w:szCs w:val="8"/>
                <w:b w:val="1"/>
                <w:bCs w:val="1"/>
                <w:color w:val="050505"/>
              </w:rPr>
              <w:t>Held at Fiscal Year End</w:t>
            </w:r>
          </w:p>
        </w:tc>
        <w:tc>
          <w:tcPr>
            <w:tcW w:w="280" w:type="dxa"/>
            <w:vAlign w:val="bottom"/>
          </w:tcPr>
          <w:p>
            <w:pPr>
              <w:spacing w:after="0"/>
              <w:rPr>
                <w:sz w:val="10"/>
                <w:szCs w:val="10"/>
                <w:color w:val="auto"/>
              </w:rPr>
            </w:pPr>
          </w:p>
        </w:tc>
        <w:tc>
          <w:tcPr>
            <w:tcW w:w="880" w:type="dxa"/>
            <w:vAlign w:val="bottom"/>
            <w:gridSpan w:val="2"/>
          </w:tcPr>
          <w:p>
            <w:pPr>
              <w:jc w:val="center"/>
              <w:ind w:right="40"/>
              <w:spacing w:after="0"/>
              <w:rPr>
                <w:sz w:val="20"/>
                <w:szCs w:val="20"/>
                <w:color w:val="auto"/>
              </w:rPr>
            </w:pPr>
            <w:r>
              <w:rPr>
                <w:rFonts w:ascii="Arial" w:cs="Arial" w:eastAsia="Arial" w:hAnsi="Arial"/>
                <w:sz w:val="8"/>
                <w:szCs w:val="8"/>
                <w:b w:val="1"/>
                <w:bCs w:val="1"/>
                <w:color w:val="050505"/>
              </w:rPr>
              <w:t>at Fiscal Year End</w:t>
            </w:r>
          </w:p>
        </w:tc>
      </w:tr>
      <w:tr>
        <w:trPr>
          <w:trHeight w:val="68"/>
        </w:trPr>
        <w:tc>
          <w:tcPr>
            <w:tcW w:w="60" w:type="dxa"/>
            <w:vAlign w:val="bottom"/>
            <w:tcBorders>
              <w:top w:val="single" w:sz="8" w:color="CCEEFF"/>
            </w:tcBorders>
            <w:shd w:val="clear" w:color="auto" w:fill="CCEEFF"/>
          </w:tcPr>
          <w:p>
            <w:pPr>
              <w:spacing w:after="0"/>
              <w:rPr>
                <w:sz w:val="5"/>
                <w:szCs w:val="5"/>
                <w:color w:val="auto"/>
              </w:rPr>
            </w:pPr>
          </w:p>
        </w:tc>
        <w:tc>
          <w:tcPr>
            <w:tcW w:w="1920" w:type="dxa"/>
            <w:vAlign w:val="bottom"/>
            <w:tcBorders>
              <w:top w:val="single" w:sz="8" w:color="CCEEFF"/>
            </w:tcBorders>
            <w:gridSpan w:val="2"/>
            <w:shd w:val="clear" w:color="auto" w:fill="CCEEFF"/>
          </w:tcPr>
          <w:p>
            <w:pPr>
              <w:spacing w:after="0" w:line="68" w:lineRule="exact"/>
              <w:rPr>
                <w:sz w:val="20"/>
                <w:szCs w:val="20"/>
                <w:color w:val="auto"/>
              </w:rPr>
            </w:pPr>
            <w:r>
              <w:rPr>
                <w:rFonts w:ascii="Arial" w:cs="Arial" w:eastAsia="Arial" w:hAnsi="Arial"/>
                <w:sz w:val="7"/>
                <w:szCs w:val="7"/>
                <w:color w:val="050505"/>
              </w:rPr>
              <w:t>Erik Blachford</w:t>
            </w:r>
          </w:p>
        </w:tc>
        <w:tc>
          <w:tcPr>
            <w:tcW w:w="980" w:type="dxa"/>
            <w:vAlign w:val="bottom"/>
            <w:tcBorders>
              <w:top w:val="single" w:sz="8" w:color="CCEEFF"/>
            </w:tcBorders>
            <w:shd w:val="clear" w:color="auto" w:fill="CCEEFF"/>
          </w:tcPr>
          <w:p>
            <w:pPr>
              <w:spacing w:after="0"/>
              <w:rPr>
                <w:sz w:val="5"/>
                <w:szCs w:val="5"/>
                <w:color w:val="auto"/>
              </w:rPr>
            </w:pPr>
          </w:p>
        </w:tc>
        <w:tc>
          <w:tcPr>
            <w:tcW w:w="1020" w:type="dxa"/>
            <w:vAlign w:val="bottom"/>
            <w:tcBorders>
              <w:top w:val="single" w:sz="8" w:color="auto"/>
            </w:tcBorders>
            <w:shd w:val="clear" w:color="auto" w:fill="CCEEFF"/>
          </w:tcPr>
          <w:p>
            <w:pPr>
              <w:jc w:val="right"/>
              <w:spacing w:after="0" w:line="68" w:lineRule="exact"/>
              <w:rPr>
                <w:sz w:val="20"/>
                <w:szCs w:val="20"/>
                <w:color w:val="auto"/>
              </w:rPr>
            </w:pPr>
            <w:r>
              <w:rPr>
                <w:rFonts w:ascii="Arial" w:cs="Arial" w:eastAsia="Arial" w:hAnsi="Arial"/>
                <w:sz w:val="7"/>
                <w:szCs w:val="7"/>
                <w:color w:val="050505"/>
              </w:rPr>
              <w:t>400,000</w:t>
            </w:r>
          </w:p>
        </w:tc>
        <w:tc>
          <w:tcPr>
            <w:tcW w:w="360" w:type="dxa"/>
            <w:vAlign w:val="bottom"/>
            <w:tcBorders>
              <w:top w:val="single" w:sz="8" w:color="CCEEFF"/>
            </w:tcBorders>
            <w:shd w:val="clear" w:color="auto" w:fill="CCEEFF"/>
          </w:tcPr>
          <w:p>
            <w:pPr>
              <w:jc w:val="right"/>
              <w:ind w:right="224"/>
              <w:spacing w:after="0" w:line="68" w:lineRule="exact"/>
              <w:rPr>
                <w:sz w:val="20"/>
                <w:szCs w:val="20"/>
                <w:color w:val="auto"/>
              </w:rPr>
            </w:pPr>
            <w:r>
              <w:rPr>
                <w:rFonts w:ascii="Arial" w:cs="Arial" w:eastAsia="Arial" w:hAnsi="Arial"/>
                <w:sz w:val="7"/>
                <w:szCs w:val="7"/>
                <w:b w:val="1"/>
                <w:bCs w:val="1"/>
                <w:color w:val="050505"/>
                <w:w w:val="92"/>
              </w:rPr>
              <w:t>(1)</w:t>
            </w:r>
          </w:p>
        </w:tc>
        <w:tc>
          <w:tcPr>
            <w:tcW w:w="260" w:type="dxa"/>
            <w:vAlign w:val="bottom"/>
            <w:tcBorders>
              <w:top w:val="single" w:sz="8" w:color="CCEEFF"/>
            </w:tcBorders>
            <w:shd w:val="clear" w:color="auto" w:fill="CCEEFF"/>
          </w:tcPr>
          <w:p>
            <w:pPr>
              <w:spacing w:after="0"/>
              <w:rPr>
                <w:sz w:val="5"/>
                <w:szCs w:val="5"/>
                <w:color w:val="auto"/>
              </w:rPr>
            </w:pPr>
          </w:p>
        </w:tc>
        <w:tc>
          <w:tcPr>
            <w:tcW w:w="1040" w:type="dxa"/>
            <w:vAlign w:val="bottom"/>
            <w:tcBorders>
              <w:top w:val="single" w:sz="8" w:color="auto"/>
            </w:tcBorders>
            <w:shd w:val="clear" w:color="auto" w:fill="CCEEFF"/>
          </w:tcPr>
          <w:p>
            <w:pPr>
              <w:jc w:val="right"/>
              <w:spacing w:after="0" w:line="68" w:lineRule="exact"/>
              <w:rPr>
                <w:sz w:val="20"/>
                <w:szCs w:val="20"/>
                <w:color w:val="auto"/>
              </w:rPr>
            </w:pPr>
            <w:r>
              <w:rPr>
                <w:rFonts w:ascii="Arial" w:cs="Arial" w:eastAsia="Arial" w:hAnsi="Arial"/>
                <w:sz w:val="7"/>
                <w:szCs w:val="7"/>
                <w:color w:val="050505"/>
              </w:rPr>
              <w:t>1,340,000</w:t>
            </w:r>
          </w:p>
        </w:tc>
        <w:tc>
          <w:tcPr>
            <w:tcW w:w="340" w:type="dxa"/>
            <w:vAlign w:val="bottom"/>
            <w:tcBorders>
              <w:top w:val="single" w:sz="8" w:color="CCEEFF"/>
            </w:tcBorders>
            <w:shd w:val="clear" w:color="auto" w:fill="CCEEFF"/>
          </w:tcPr>
          <w:p>
            <w:pPr>
              <w:jc w:val="right"/>
              <w:ind w:right="230"/>
              <w:spacing w:after="0" w:line="65" w:lineRule="exact"/>
              <w:rPr>
                <w:sz w:val="20"/>
                <w:szCs w:val="20"/>
                <w:color w:val="auto"/>
              </w:rPr>
            </w:pPr>
            <w:r>
              <w:rPr>
                <w:rFonts w:ascii="Arial" w:cs="Arial" w:eastAsia="Arial" w:hAnsi="Arial"/>
                <w:sz w:val="6"/>
                <w:szCs w:val="6"/>
                <w:color w:val="050505"/>
                <w:w w:val="81"/>
              </w:rPr>
              <w:t>(2)</w:t>
            </w:r>
          </w:p>
        </w:tc>
        <w:tc>
          <w:tcPr>
            <w:tcW w:w="280" w:type="dxa"/>
            <w:vAlign w:val="bottom"/>
            <w:tcBorders>
              <w:top w:val="single" w:sz="8" w:color="CCEEFF"/>
            </w:tcBorders>
            <w:shd w:val="clear" w:color="auto" w:fill="CCEEFF"/>
          </w:tcPr>
          <w:p>
            <w:pPr>
              <w:spacing w:after="0"/>
              <w:rPr>
                <w:sz w:val="5"/>
                <w:szCs w:val="5"/>
                <w:color w:val="auto"/>
              </w:rPr>
            </w:pPr>
          </w:p>
        </w:tc>
        <w:tc>
          <w:tcPr>
            <w:tcW w:w="840" w:type="dxa"/>
            <w:vAlign w:val="bottom"/>
            <w:tcBorders>
              <w:top w:val="single" w:sz="8" w:color="auto"/>
            </w:tcBorders>
            <w:shd w:val="clear" w:color="auto" w:fill="CCEEFF"/>
          </w:tcPr>
          <w:p>
            <w:pPr>
              <w:jc w:val="right"/>
              <w:spacing w:after="0" w:line="68" w:lineRule="exact"/>
              <w:rPr>
                <w:sz w:val="20"/>
                <w:szCs w:val="20"/>
                <w:color w:val="auto"/>
              </w:rPr>
            </w:pPr>
            <w:r>
              <w:rPr>
                <w:rFonts w:ascii="Arial" w:cs="Arial" w:eastAsia="Arial" w:hAnsi="Arial"/>
                <w:sz w:val="7"/>
                <w:szCs w:val="7"/>
                <w:color w:val="050505"/>
              </w:rPr>
              <w:t>562,083</w:t>
            </w:r>
          </w:p>
        </w:tc>
        <w:tc>
          <w:tcPr>
            <w:tcW w:w="40" w:type="dxa"/>
            <w:vAlign w:val="bottom"/>
            <w:tcBorders>
              <w:top w:val="single" w:sz="8" w:color="CCEEFF"/>
            </w:tcBorders>
            <w:shd w:val="clear" w:color="auto" w:fill="CCEEFF"/>
          </w:tcPr>
          <w:p>
            <w:pPr>
              <w:spacing w:after="0"/>
              <w:rPr>
                <w:sz w:val="5"/>
                <w:szCs w:val="5"/>
                <w:color w:val="auto"/>
              </w:rPr>
            </w:pPr>
          </w:p>
        </w:tc>
      </w:tr>
      <w:tr>
        <w:trPr>
          <w:trHeight w:val="90"/>
        </w:trPr>
        <w:tc>
          <w:tcPr>
            <w:tcW w:w="60" w:type="dxa"/>
            <w:vAlign w:val="bottom"/>
          </w:tcPr>
          <w:p>
            <w:pPr>
              <w:spacing w:after="0"/>
              <w:rPr>
                <w:sz w:val="7"/>
                <w:szCs w:val="7"/>
                <w:color w:val="auto"/>
              </w:rPr>
            </w:pPr>
          </w:p>
        </w:tc>
        <w:tc>
          <w:tcPr>
            <w:tcW w:w="1920" w:type="dxa"/>
            <w:vAlign w:val="bottom"/>
            <w:gridSpan w:val="2"/>
          </w:tcPr>
          <w:p>
            <w:pPr>
              <w:spacing w:after="0" w:line="90" w:lineRule="exact"/>
              <w:rPr>
                <w:sz w:val="20"/>
                <w:szCs w:val="20"/>
                <w:color w:val="auto"/>
              </w:rPr>
            </w:pPr>
            <w:r>
              <w:rPr>
                <w:rFonts w:ascii="Arial" w:cs="Arial" w:eastAsia="Arial" w:hAnsi="Arial"/>
                <w:sz w:val="8"/>
                <w:szCs w:val="8"/>
                <w:color w:val="050505"/>
              </w:rPr>
              <w:t>Karen Boone</w:t>
            </w:r>
          </w:p>
        </w:tc>
        <w:tc>
          <w:tcPr>
            <w:tcW w:w="2360" w:type="dxa"/>
            <w:vAlign w:val="bottom"/>
            <w:gridSpan w:val="3"/>
          </w:tcPr>
          <w:p>
            <w:pPr>
              <w:jc w:val="right"/>
              <w:ind w:right="224"/>
              <w:spacing w:after="0" w:line="90" w:lineRule="exact"/>
              <w:rPr>
                <w:sz w:val="20"/>
                <w:szCs w:val="20"/>
                <w:color w:val="auto"/>
              </w:rPr>
            </w:pPr>
            <w:r>
              <w:rPr>
                <w:rFonts w:ascii="Arial" w:cs="Arial" w:eastAsia="Arial" w:hAnsi="Arial"/>
                <w:sz w:val="8"/>
                <w:szCs w:val="8"/>
                <w:color w:val="050505"/>
              </w:rPr>
              <w:t>600,000</w:t>
            </w:r>
            <w:r>
              <w:rPr>
                <w:rFonts w:ascii="Arial" w:cs="Arial" w:eastAsia="Arial" w:hAnsi="Arial"/>
                <w:sz w:val="7"/>
                <w:szCs w:val="7"/>
                <w:color w:val="050505"/>
              </w:rPr>
              <w:t>(3)</w:t>
            </w:r>
          </w:p>
        </w:tc>
        <w:tc>
          <w:tcPr>
            <w:tcW w:w="1640" w:type="dxa"/>
            <w:vAlign w:val="bottom"/>
            <w:gridSpan w:val="3"/>
          </w:tcPr>
          <w:p>
            <w:pPr>
              <w:jc w:val="right"/>
              <w:ind w:right="230"/>
              <w:spacing w:after="0" w:line="90" w:lineRule="exact"/>
              <w:rPr>
                <w:sz w:val="20"/>
                <w:szCs w:val="20"/>
                <w:color w:val="auto"/>
              </w:rPr>
            </w:pPr>
            <w:r>
              <w:rPr>
                <w:rFonts w:ascii="Arial" w:cs="Arial" w:eastAsia="Arial" w:hAnsi="Arial"/>
                <w:sz w:val="8"/>
                <w:szCs w:val="8"/>
                <w:color w:val="050505"/>
              </w:rPr>
              <w:t>600,000</w:t>
            </w:r>
            <w:r>
              <w:rPr>
                <w:rFonts w:ascii="Arial" w:cs="Arial" w:eastAsia="Arial" w:hAnsi="Arial"/>
                <w:sz w:val="7"/>
                <w:szCs w:val="7"/>
                <w:color w:val="050505"/>
              </w:rPr>
              <w:t>(3)</w:t>
            </w:r>
          </w:p>
        </w:tc>
        <w:tc>
          <w:tcPr>
            <w:tcW w:w="1120" w:type="dxa"/>
            <w:vAlign w:val="bottom"/>
            <w:gridSpan w:val="2"/>
          </w:tcPr>
          <w:p>
            <w:pPr>
              <w:jc w:val="right"/>
              <w:spacing w:after="0" w:line="90" w:lineRule="exact"/>
              <w:rPr>
                <w:sz w:val="20"/>
                <w:szCs w:val="20"/>
                <w:color w:val="auto"/>
              </w:rPr>
            </w:pPr>
            <w:r>
              <w:rPr>
                <w:rFonts w:ascii="Arial" w:cs="Arial" w:eastAsia="Arial" w:hAnsi="Arial"/>
                <w:sz w:val="8"/>
                <w:szCs w:val="8"/>
                <w:color w:val="050505"/>
              </w:rPr>
              <w:t>537,500</w:t>
            </w:r>
          </w:p>
        </w:tc>
        <w:tc>
          <w:tcPr>
            <w:tcW w:w="40" w:type="dxa"/>
            <w:vAlign w:val="bottom"/>
          </w:tcPr>
          <w:p>
            <w:pPr>
              <w:spacing w:after="0"/>
              <w:rPr>
                <w:sz w:val="7"/>
                <w:szCs w:val="7"/>
                <w:color w:val="auto"/>
              </w:rPr>
            </w:pPr>
          </w:p>
        </w:tc>
      </w:tr>
      <w:tr>
        <w:trPr>
          <w:trHeight w:val="90"/>
        </w:trPr>
        <w:tc>
          <w:tcPr>
            <w:tcW w:w="60" w:type="dxa"/>
            <w:vAlign w:val="bottom"/>
            <w:shd w:val="clear" w:color="auto" w:fill="CCEEFF"/>
          </w:tcPr>
          <w:p>
            <w:pPr>
              <w:spacing w:after="0"/>
              <w:rPr>
                <w:sz w:val="7"/>
                <w:szCs w:val="7"/>
                <w:color w:val="auto"/>
              </w:rPr>
            </w:pPr>
          </w:p>
        </w:tc>
        <w:tc>
          <w:tcPr>
            <w:tcW w:w="1920" w:type="dxa"/>
            <w:vAlign w:val="bottom"/>
            <w:gridSpan w:val="2"/>
            <w:shd w:val="clear" w:color="auto" w:fill="CCEEFF"/>
          </w:tcPr>
          <w:p>
            <w:pPr>
              <w:spacing w:after="0" w:line="90" w:lineRule="exact"/>
              <w:rPr>
                <w:sz w:val="20"/>
                <w:szCs w:val="20"/>
                <w:color w:val="auto"/>
              </w:rPr>
            </w:pPr>
            <w:r>
              <w:rPr>
                <w:rFonts w:ascii="Arial" w:cs="Arial" w:eastAsia="Arial" w:hAnsi="Arial"/>
                <w:sz w:val="8"/>
                <w:szCs w:val="8"/>
                <w:color w:val="050505"/>
              </w:rPr>
              <w:t>Jon Callaghan</w:t>
            </w:r>
          </w:p>
        </w:tc>
        <w:tc>
          <w:tcPr>
            <w:tcW w:w="980" w:type="dxa"/>
            <w:vAlign w:val="bottom"/>
            <w:shd w:val="clear" w:color="auto" w:fill="CCEEFF"/>
          </w:tcPr>
          <w:p>
            <w:pPr>
              <w:spacing w:after="0"/>
              <w:rPr>
                <w:sz w:val="7"/>
                <w:szCs w:val="7"/>
                <w:color w:val="auto"/>
              </w:rPr>
            </w:pPr>
          </w:p>
        </w:tc>
        <w:tc>
          <w:tcPr>
            <w:tcW w:w="1380" w:type="dxa"/>
            <w:vAlign w:val="bottom"/>
            <w:gridSpan w:val="2"/>
            <w:shd w:val="clear" w:color="auto" w:fill="CCEEFF"/>
          </w:tcPr>
          <w:p>
            <w:pPr>
              <w:jc w:val="right"/>
              <w:ind w:right="324"/>
              <w:spacing w:after="0" w:line="90" w:lineRule="exact"/>
              <w:rPr>
                <w:sz w:val="20"/>
                <w:szCs w:val="20"/>
                <w:color w:val="auto"/>
              </w:rPr>
            </w:pPr>
            <w:r>
              <w:rPr>
                <w:rFonts w:ascii="Arial" w:cs="Arial" w:eastAsia="Arial" w:hAnsi="Arial"/>
                <w:sz w:val="8"/>
                <w:szCs w:val="8"/>
                <w:color w:val="050505"/>
              </w:rPr>
              <w:t>—</w:t>
            </w:r>
          </w:p>
        </w:tc>
        <w:tc>
          <w:tcPr>
            <w:tcW w:w="260" w:type="dxa"/>
            <w:vAlign w:val="bottom"/>
            <w:shd w:val="clear" w:color="auto" w:fill="CCEEFF"/>
          </w:tcPr>
          <w:p>
            <w:pPr>
              <w:spacing w:after="0"/>
              <w:rPr>
                <w:sz w:val="7"/>
                <w:szCs w:val="7"/>
                <w:color w:val="auto"/>
              </w:rPr>
            </w:pPr>
          </w:p>
        </w:tc>
        <w:tc>
          <w:tcPr>
            <w:tcW w:w="1380" w:type="dxa"/>
            <w:vAlign w:val="bottom"/>
            <w:gridSpan w:val="2"/>
            <w:shd w:val="clear" w:color="auto" w:fill="CCEEFF"/>
          </w:tcPr>
          <w:p>
            <w:pPr>
              <w:jc w:val="right"/>
              <w:ind w:right="310"/>
              <w:spacing w:after="0" w:line="90" w:lineRule="exact"/>
              <w:rPr>
                <w:sz w:val="20"/>
                <w:szCs w:val="20"/>
                <w:color w:val="auto"/>
              </w:rPr>
            </w:pPr>
            <w:r>
              <w:rPr>
                <w:rFonts w:ascii="Arial" w:cs="Arial" w:eastAsia="Arial" w:hAnsi="Arial"/>
                <w:sz w:val="8"/>
                <w:szCs w:val="8"/>
                <w:color w:val="050505"/>
              </w:rPr>
              <w:t>—</w:t>
            </w:r>
          </w:p>
        </w:tc>
        <w:tc>
          <w:tcPr>
            <w:tcW w:w="280" w:type="dxa"/>
            <w:vAlign w:val="bottom"/>
            <w:shd w:val="clear" w:color="auto" w:fill="CCEEFF"/>
          </w:tcPr>
          <w:p>
            <w:pPr>
              <w:spacing w:after="0"/>
              <w:rPr>
                <w:sz w:val="7"/>
                <w:szCs w:val="7"/>
                <w:color w:val="auto"/>
              </w:rPr>
            </w:pPr>
          </w:p>
        </w:tc>
        <w:tc>
          <w:tcPr>
            <w:tcW w:w="880" w:type="dxa"/>
            <w:vAlign w:val="bottom"/>
            <w:gridSpan w:val="2"/>
            <w:shd w:val="clear" w:color="auto" w:fill="CCEEFF"/>
          </w:tcPr>
          <w:p>
            <w:pPr>
              <w:jc w:val="right"/>
              <w:ind w:right="40"/>
              <w:spacing w:after="0" w:line="90" w:lineRule="exact"/>
              <w:rPr>
                <w:sz w:val="20"/>
                <w:szCs w:val="20"/>
                <w:color w:val="auto"/>
              </w:rPr>
            </w:pPr>
            <w:r>
              <w:rPr>
                <w:rFonts w:ascii="Arial" w:cs="Arial" w:eastAsia="Arial" w:hAnsi="Arial"/>
                <w:sz w:val="8"/>
                <w:szCs w:val="8"/>
                <w:color w:val="050505"/>
              </w:rPr>
              <w:t>—</w:t>
            </w:r>
          </w:p>
        </w:tc>
      </w:tr>
      <w:tr>
        <w:trPr>
          <w:trHeight w:val="90"/>
        </w:trPr>
        <w:tc>
          <w:tcPr>
            <w:tcW w:w="60" w:type="dxa"/>
            <w:vAlign w:val="bottom"/>
          </w:tcPr>
          <w:p>
            <w:pPr>
              <w:spacing w:after="0"/>
              <w:rPr>
                <w:sz w:val="7"/>
                <w:szCs w:val="7"/>
                <w:color w:val="auto"/>
              </w:rPr>
            </w:pPr>
          </w:p>
        </w:tc>
        <w:tc>
          <w:tcPr>
            <w:tcW w:w="1920" w:type="dxa"/>
            <w:vAlign w:val="bottom"/>
            <w:gridSpan w:val="2"/>
          </w:tcPr>
          <w:p>
            <w:pPr>
              <w:spacing w:after="0" w:line="90" w:lineRule="exact"/>
              <w:rPr>
                <w:sz w:val="20"/>
                <w:szCs w:val="20"/>
                <w:color w:val="auto"/>
              </w:rPr>
            </w:pPr>
            <w:r>
              <w:rPr>
                <w:rFonts w:ascii="Arial" w:cs="Arial" w:eastAsia="Arial" w:hAnsi="Arial"/>
                <w:sz w:val="8"/>
                <w:szCs w:val="8"/>
                <w:color w:val="050505"/>
              </w:rPr>
              <w:t>Howard Draft</w:t>
            </w:r>
          </w:p>
        </w:tc>
        <w:tc>
          <w:tcPr>
            <w:tcW w:w="2360" w:type="dxa"/>
            <w:vAlign w:val="bottom"/>
            <w:gridSpan w:val="3"/>
          </w:tcPr>
          <w:p>
            <w:pPr>
              <w:jc w:val="right"/>
              <w:ind w:right="224"/>
              <w:spacing w:after="0" w:line="90" w:lineRule="exact"/>
              <w:rPr>
                <w:sz w:val="20"/>
                <w:szCs w:val="20"/>
                <w:color w:val="auto"/>
              </w:rPr>
            </w:pPr>
            <w:r>
              <w:rPr>
                <w:rFonts w:ascii="Arial" w:cs="Arial" w:eastAsia="Arial" w:hAnsi="Arial"/>
                <w:sz w:val="8"/>
                <w:szCs w:val="8"/>
                <w:color w:val="050505"/>
              </w:rPr>
              <w:t>400,000</w:t>
            </w:r>
            <w:r>
              <w:rPr>
                <w:rFonts w:ascii="Arial" w:cs="Arial" w:eastAsia="Arial" w:hAnsi="Arial"/>
                <w:sz w:val="7"/>
                <w:szCs w:val="7"/>
                <w:b w:val="1"/>
                <w:bCs w:val="1"/>
                <w:color w:val="050505"/>
              </w:rPr>
              <w:t>(1)</w:t>
            </w:r>
          </w:p>
        </w:tc>
        <w:tc>
          <w:tcPr>
            <w:tcW w:w="1640" w:type="dxa"/>
            <w:vAlign w:val="bottom"/>
            <w:gridSpan w:val="3"/>
          </w:tcPr>
          <w:p>
            <w:pPr>
              <w:jc w:val="right"/>
              <w:ind w:right="230"/>
              <w:spacing w:after="0" w:line="90" w:lineRule="exact"/>
              <w:rPr>
                <w:sz w:val="20"/>
                <w:szCs w:val="20"/>
                <w:color w:val="auto"/>
              </w:rPr>
            </w:pPr>
            <w:r>
              <w:rPr>
                <w:rFonts w:ascii="Arial" w:cs="Arial" w:eastAsia="Arial" w:hAnsi="Arial"/>
                <w:sz w:val="8"/>
                <w:szCs w:val="8"/>
                <w:color w:val="050505"/>
              </w:rPr>
              <w:t>582,919</w:t>
            </w:r>
            <w:r>
              <w:rPr>
                <w:rFonts w:ascii="Arial" w:cs="Arial" w:eastAsia="Arial" w:hAnsi="Arial"/>
                <w:sz w:val="7"/>
                <w:szCs w:val="7"/>
                <w:color w:val="050505"/>
              </w:rPr>
              <w:t>(4)</w:t>
            </w:r>
          </w:p>
        </w:tc>
        <w:tc>
          <w:tcPr>
            <w:tcW w:w="1120" w:type="dxa"/>
            <w:vAlign w:val="bottom"/>
            <w:gridSpan w:val="2"/>
          </w:tcPr>
          <w:p>
            <w:pPr>
              <w:jc w:val="right"/>
              <w:spacing w:after="0" w:line="90" w:lineRule="exact"/>
              <w:rPr>
                <w:sz w:val="20"/>
                <w:szCs w:val="20"/>
                <w:color w:val="auto"/>
              </w:rPr>
            </w:pPr>
            <w:r>
              <w:rPr>
                <w:rFonts w:ascii="Arial" w:cs="Arial" w:eastAsia="Arial" w:hAnsi="Arial"/>
                <w:sz w:val="8"/>
                <w:szCs w:val="8"/>
                <w:color w:val="050505"/>
              </w:rPr>
              <w:t>582,917</w:t>
            </w:r>
          </w:p>
        </w:tc>
        <w:tc>
          <w:tcPr>
            <w:tcW w:w="40" w:type="dxa"/>
            <w:vAlign w:val="bottom"/>
          </w:tcPr>
          <w:p>
            <w:pPr>
              <w:spacing w:after="0"/>
              <w:rPr>
                <w:sz w:val="7"/>
                <w:szCs w:val="7"/>
                <w:color w:val="auto"/>
              </w:rPr>
            </w:pPr>
          </w:p>
        </w:tc>
      </w:tr>
      <w:tr>
        <w:trPr>
          <w:trHeight w:val="90"/>
        </w:trPr>
        <w:tc>
          <w:tcPr>
            <w:tcW w:w="60" w:type="dxa"/>
            <w:vAlign w:val="bottom"/>
            <w:shd w:val="clear" w:color="auto" w:fill="CCEEFF"/>
          </w:tcPr>
          <w:p>
            <w:pPr>
              <w:spacing w:after="0"/>
              <w:rPr>
                <w:sz w:val="7"/>
                <w:szCs w:val="7"/>
                <w:color w:val="auto"/>
              </w:rPr>
            </w:pPr>
          </w:p>
        </w:tc>
        <w:tc>
          <w:tcPr>
            <w:tcW w:w="1920" w:type="dxa"/>
            <w:vAlign w:val="bottom"/>
            <w:gridSpan w:val="2"/>
            <w:shd w:val="clear" w:color="auto" w:fill="CCEEFF"/>
          </w:tcPr>
          <w:p>
            <w:pPr>
              <w:spacing w:after="0" w:line="90" w:lineRule="exact"/>
              <w:rPr>
                <w:sz w:val="20"/>
                <w:szCs w:val="20"/>
                <w:color w:val="auto"/>
              </w:rPr>
            </w:pPr>
            <w:r>
              <w:rPr>
                <w:rFonts w:ascii="Arial" w:cs="Arial" w:eastAsia="Arial" w:hAnsi="Arial"/>
                <w:sz w:val="8"/>
                <w:szCs w:val="8"/>
                <w:color w:val="050505"/>
              </w:rPr>
              <w:t>Lee Fixel</w:t>
            </w:r>
          </w:p>
        </w:tc>
        <w:tc>
          <w:tcPr>
            <w:tcW w:w="980" w:type="dxa"/>
            <w:vAlign w:val="bottom"/>
            <w:shd w:val="clear" w:color="auto" w:fill="CCEEFF"/>
          </w:tcPr>
          <w:p>
            <w:pPr>
              <w:spacing w:after="0"/>
              <w:rPr>
                <w:sz w:val="7"/>
                <w:szCs w:val="7"/>
                <w:color w:val="auto"/>
              </w:rPr>
            </w:pPr>
          </w:p>
        </w:tc>
        <w:tc>
          <w:tcPr>
            <w:tcW w:w="1380" w:type="dxa"/>
            <w:vAlign w:val="bottom"/>
            <w:gridSpan w:val="2"/>
            <w:shd w:val="clear" w:color="auto" w:fill="CCEEFF"/>
          </w:tcPr>
          <w:p>
            <w:pPr>
              <w:jc w:val="right"/>
              <w:ind w:right="324"/>
              <w:spacing w:after="0" w:line="90" w:lineRule="exact"/>
              <w:rPr>
                <w:sz w:val="20"/>
                <w:szCs w:val="20"/>
                <w:color w:val="auto"/>
              </w:rPr>
            </w:pPr>
            <w:r>
              <w:rPr>
                <w:rFonts w:ascii="Arial" w:cs="Arial" w:eastAsia="Arial" w:hAnsi="Arial"/>
                <w:sz w:val="8"/>
                <w:szCs w:val="8"/>
                <w:color w:val="050505"/>
              </w:rPr>
              <w:t>—</w:t>
            </w:r>
          </w:p>
        </w:tc>
        <w:tc>
          <w:tcPr>
            <w:tcW w:w="260" w:type="dxa"/>
            <w:vAlign w:val="bottom"/>
            <w:shd w:val="clear" w:color="auto" w:fill="CCEEFF"/>
          </w:tcPr>
          <w:p>
            <w:pPr>
              <w:spacing w:after="0"/>
              <w:rPr>
                <w:sz w:val="7"/>
                <w:szCs w:val="7"/>
                <w:color w:val="auto"/>
              </w:rPr>
            </w:pPr>
          </w:p>
        </w:tc>
        <w:tc>
          <w:tcPr>
            <w:tcW w:w="1380" w:type="dxa"/>
            <w:vAlign w:val="bottom"/>
            <w:gridSpan w:val="2"/>
            <w:shd w:val="clear" w:color="auto" w:fill="CCEEFF"/>
          </w:tcPr>
          <w:p>
            <w:pPr>
              <w:jc w:val="right"/>
              <w:ind w:right="310"/>
              <w:spacing w:after="0" w:line="90" w:lineRule="exact"/>
              <w:rPr>
                <w:sz w:val="20"/>
                <w:szCs w:val="20"/>
                <w:color w:val="auto"/>
              </w:rPr>
            </w:pPr>
            <w:r>
              <w:rPr>
                <w:rFonts w:ascii="Arial" w:cs="Arial" w:eastAsia="Arial" w:hAnsi="Arial"/>
                <w:sz w:val="8"/>
                <w:szCs w:val="8"/>
                <w:color w:val="050505"/>
              </w:rPr>
              <w:t>—</w:t>
            </w:r>
          </w:p>
        </w:tc>
        <w:tc>
          <w:tcPr>
            <w:tcW w:w="280" w:type="dxa"/>
            <w:vAlign w:val="bottom"/>
            <w:shd w:val="clear" w:color="auto" w:fill="CCEEFF"/>
          </w:tcPr>
          <w:p>
            <w:pPr>
              <w:spacing w:after="0"/>
              <w:rPr>
                <w:sz w:val="7"/>
                <w:szCs w:val="7"/>
                <w:color w:val="auto"/>
              </w:rPr>
            </w:pPr>
          </w:p>
        </w:tc>
        <w:tc>
          <w:tcPr>
            <w:tcW w:w="880" w:type="dxa"/>
            <w:vAlign w:val="bottom"/>
            <w:gridSpan w:val="2"/>
            <w:shd w:val="clear" w:color="auto" w:fill="CCEEFF"/>
          </w:tcPr>
          <w:p>
            <w:pPr>
              <w:jc w:val="right"/>
              <w:ind w:right="40"/>
              <w:spacing w:after="0" w:line="90" w:lineRule="exact"/>
              <w:rPr>
                <w:sz w:val="20"/>
                <w:szCs w:val="20"/>
                <w:color w:val="auto"/>
              </w:rPr>
            </w:pPr>
            <w:r>
              <w:rPr>
                <w:rFonts w:ascii="Arial" w:cs="Arial" w:eastAsia="Arial" w:hAnsi="Arial"/>
                <w:sz w:val="8"/>
                <w:szCs w:val="8"/>
                <w:color w:val="050505"/>
              </w:rPr>
              <w:t>—</w:t>
            </w:r>
          </w:p>
        </w:tc>
      </w:tr>
      <w:tr>
        <w:trPr>
          <w:trHeight w:val="90"/>
        </w:trPr>
        <w:tc>
          <w:tcPr>
            <w:tcW w:w="60" w:type="dxa"/>
            <w:vAlign w:val="bottom"/>
          </w:tcPr>
          <w:p>
            <w:pPr>
              <w:spacing w:after="0"/>
              <w:rPr>
                <w:sz w:val="7"/>
                <w:szCs w:val="7"/>
                <w:color w:val="auto"/>
              </w:rPr>
            </w:pPr>
          </w:p>
        </w:tc>
        <w:tc>
          <w:tcPr>
            <w:tcW w:w="1920" w:type="dxa"/>
            <w:vAlign w:val="bottom"/>
            <w:gridSpan w:val="2"/>
          </w:tcPr>
          <w:p>
            <w:pPr>
              <w:spacing w:after="0" w:line="90" w:lineRule="exact"/>
              <w:rPr>
                <w:sz w:val="20"/>
                <w:szCs w:val="20"/>
                <w:color w:val="auto"/>
              </w:rPr>
            </w:pPr>
            <w:r>
              <w:rPr>
                <w:rFonts w:ascii="Arial" w:cs="Arial" w:eastAsia="Arial" w:hAnsi="Arial"/>
                <w:sz w:val="8"/>
                <w:szCs w:val="8"/>
                <w:color w:val="050505"/>
              </w:rPr>
              <w:t>Jay Hoag</w:t>
            </w:r>
          </w:p>
        </w:tc>
        <w:tc>
          <w:tcPr>
            <w:tcW w:w="980" w:type="dxa"/>
            <w:vAlign w:val="bottom"/>
          </w:tcPr>
          <w:p>
            <w:pPr>
              <w:spacing w:after="0"/>
              <w:rPr>
                <w:sz w:val="7"/>
                <w:szCs w:val="7"/>
                <w:color w:val="auto"/>
              </w:rPr>
            </w:pPr>
          </w:p>
        </w:tc>
        <w:tc>
          <w:tcPr>
            <w:tcW w:w="1380" w:type="dxa"/>
            <w:vAlign w:val="bottom"/>
            <w:gridSpan w:val="2"/>
          </w:tcPr>
          <w:p>
            <w:pPr>
              <w:jc w:val="right"/>
              <w:ind w:right="324"/>
              <w:spacing w:after="0" w:line="90" w:lineRule="exact"/>
              <w:rPr>
                <w:sz w:val="20"/>
                <w:szCs w:val="20"/>
                <w:color w:val="auto"/>
              </w:rPr>
            </w:pPr>
            <w:r>
              <w:rPr>
                <w:rFonts w:ascii="Arial" w:cs="Arial" w:eastAsia="Arial" w:hAnsi="Arial"/>
                <w:sz w:val="8"/>
                <w:szCs w:val="8"/>
                <w:color w:val="050505"/>
              </w:rPr>
              <w:t>—</w:t>
            </w:r>
          </w:p>
        </w:tc>
        <w:tc>
          <w:tcPr>
            <w:tcW w:w="260" w:type="dxa"/>
            <w:vAlign w:val="bottom"/>
          </w:tcPr>
          <w:p>
            <w:pPr>
              <w:spacing w:after="0"/>
              <w:rPr>
                <w:sz w:val="7"/>
                <w:szCs w:val="7"/>
                <w:color w:val="auto"/>
              </w:rPr>
            </w:pPr>
          </w:p>
        </w:tc>
        <w:tc>
          <w:tcPr>
            <w:tcW w:w="1380" w:type="dxa"/>
            <w:vAlign w:val="bottom"/>
            <w:gridSpan w:val="2"/>
          </w:tcPr>
          <w:p>
            <w:pPr>
              <w:jc w:val="right"/>
              <w:ind w:right="310"/>
              <w:spacing w:after="0" w:line="90" w:lineRule="exact"/>
              <w:rPr>
                <w:sz w:val="20"/>
                <w:szCs w:val="20"/>
                <w:color w:val="auto"/>
              </w:rPr>
            </w:pPr>
            <w:r>
              <w:rPr>
                <w:rFonts w:ascii="Arial" w:cs="Arial" w:eastAsia="Arial" w:hAnsi="Arial"/>
                <w:sz w:val="8"/>
                <w:szCs w:val="8"/>
                <w:color w:val="050505"/>
              </w:rPr>
              <w:t>—</w:t>
            </w:r>
          </w:p>
        </w:tc>
        <w:tc>
          <w:tcPr>
            <w:tcW w:w="280" w:type="dxa"/>
            <w:vAlign w:val="bottom"/>
          </w:tcPr>
          <w:p>
            <w:pPr>
              <w:spacing w:after="0"/>
              <w:rPr>
                <w:sz w:val="7"/>
                <w:szCs w:val="7"/>
                <w:color w:val="auto"/>
              </w:rPr>
            </w:pPr>
          </w:p>
        </w:tc>
        <w:tc>
          <w:tcPr>
            <w:tcW w:w="880" w:type="dxa"/>
            <w:vAlign w:val="bottom"/>
            <w:gridSpan w:val="2"/>
          </w:tcPr>
          <w:p>
            <w:pPr>
              <w:jc w:val="right"/>
              <w:ind w:right="40"/>
              <w:spacing w:after="0" w:line="90" w:lineRule="exact"/>
              <w:rPr>
                <w:sz w:val="20"/>
                <w:szCs w:val="20"/>
                <w:color w:val="auto"/>
              </w:rPr>
            </w:pPr>
            <w:r>
              <w:rPr>
                <w:rFonts w:ascii="Arial" w:cs="Arial" w:eastAsia="Arial" w:hAnsi="Arial"/>
                <w:sz w:val="8"/>
                <w:szCs w:val="8"/>
                <w:color w:val="050505"/>
              </w:rPr>
              <w:t>—</w:t>
            </w:r>
          </w:p>
        </w:tc>
      </w:tr>
      <w:tr>
        <w:trPr>
          <w:trHeight w:val="90"/>
        </w:trPr>
        <w:tc>
          <w:tcPr>
            <w:tcW w:w="60" w:type="dxa"/>
            <w:vAlign w:val="bottom"/>
            <w:shd w:val="clear" w:color="auto" w:fill="CCEEFF"/>
          </w:tcPr>
          <w:p>
            <w:pPr>
              <w:spacing w:after="0"/>
              <w:rPr>
                <w:sz w:val="7"/>
                <w:szCs w:val="7"/>
                <w:color w:val="auto"/>
              </w:rPr>
            </w:pPr>
          </w:p>
        </w:tc>
        <w:tc>
          <w:tcPr>
            <w:tcW w:w="1920" w:type="dxa"/>
            <w:vAlign w:val="bottom"/>
            <w:gridSpan w:val="2"/>
            <w:shd w:val="clear" w:color="auto" w:fill="CCEEFF"/>
          </w:tcPr>
          <w:p>
            <w:pPr>
              <w:spacing w:after="0" w:line="90" w:lineRule="exact"/>
              <w:rPr>
                <w:sz w:val="20"/>
                <w:szCs w:val="20"/>
                <w:color w:val="auto"/>
              </w:rPr>
            </w:pPr>
            <w:r>
              <w:rPr>
                <w:rFonts w:ascii="Arial" w:cs="Arial" w:eastAsia="Arial" w:hAnsi="Arial"/>
                <w:sz w:val="8"/>
                <w:szCs w:val="8"/>
                <w:color w:val="050505"/>
              </w:rPr>
              <w:t>Pamela Thomas-Graham</w:t>
            </w:r>
          </w:p>
        </w:tc>
        <w:tc>
          <w:tcPr>
            <w:tcW w:w="2360" w:type="dxa"/>
            <w:vAlign w:val="bottom"/>
            <w:gridSpan w:val="3"/>
            <w:shd w:val="clear" w:color="auto" w:fill="CCEEFF"/>
          </w:tcPr>
          <w:p>
            <w:pPr>
              <w:jc w:val="right"/>
              <w:ind w:right="224"/>
              <w:spacing w:after="0" w:line="90" w:lineRule="exact"/>
              <w:rPr>
                <w:sz w:val="20"/>
                <w:szCs w:val="20"/>
                <w:color w:val="auto"/>
              </w:rPr>
            </w:pPr>
            <w:r>
              <w:rPr>
                <w:rFonts w:ascii="Arial" w:cs="Arial" w:eastAsia="Arial" w:hAnsi="Arial"/>
                <w:sz w:val="8"/>
                <w:szCs w:val="8"/>
                <w:color w:val="050505"/>
              </w:rPr>
              <w:t>400,000</w:t>
            </w:r>
            <w:r>
              <w:rPr>
                <w:rFonts w:ascii="Arial" w:cs="Arial" w:eastAsia="Arial" w:hAnsi="Arial"/>
                <w:sz w:val="7"/>
                <w:szCs w:val="7"/>
                <w:b w:val="1"/>
                <w:bCs w:val="1"/>
                <w:color w:val="050505"/>
              </w:rPr>
              <w:t>(1)</w:t>
            </w:r>
          </w:p>
        </w:tc>
        <w:tc>
          <w:tcPr>
            <w:tcW w:w="1640" w:type="dxa"/>
            <w:vAlign w:val="bottom"/>
            <w:gridSpan w:val="3"/>
            <w:shd w:val="clear" w:color="auto" w:fill="CCEEFF"/>
          </w:tcPr>
          <w:p>
            <w:pPr>
              <w:jc w:val="right"/>
              <w:ind w:right="230"/>
              <w:spacing w:after="0" w:line="90" w:lineRule="exact"/>
              <w:rPr>
                <w:sz w:val="20"/>
                <w:szCs w:val="20"/>
                <w:color w:val="auto"/>
              </w:rPr>
            </w:pPr>
            <w:r>
              <w:rPr>
                <w:rFonts w:ascii="Arial" w:cs="Arial" w:eastAsia="Arial" w:hAnsi="Arial"/>
                <w:sz w:val="8"/>
                <w:szCs w:val="8"/>
                <w:color w:val="050505"/>
              </w:rPr>
              <w:t>600,000</w:t>
            </w:r>
            <w:r>
              <w:rPr>
                <w:rFonts w:ascii="Arial" w:cs="Arial" w:eastAsia="Arial" w:hAnsi="Arial"/>
                <w:sz w:val="7"/>
                <w:szCs w:val="7"/>
                <w:b w:val="1"/>
                <w:bCs w:val="1"/>
                <w:color w:val="050505"/>
              </w:rPr>
              <w:t>(5)</w:t>
            </w:r>
          </w:p>
        </w:tc>
        <w:tc>
          <w:tcPr>
            <w:tcW w:w="1120" w:type="dxa"/>
            <w:vAlign w:val="bottom"/>
            <w:gridSpan w:val="2"/>
            <w:shd w:val="clear" w:color="auto" w:fill="CCEEFF"/>
          </w:tcPr>
          <w:p>
            <w:pPr>
              <w:jc w:val="right"/>
              <w:spacing w:after="0" w:line="90" w:lineRule="exact"/>
              <w:rPr>
                <w:sz w:val="20"/>
                <w:szCs w:val="20"/>
                <w:color w:val="auto"/>
              </w:rPr>
            </w:pPr>
            <w:r>
              <w:rPr>
                <w:rFonts w:ascii="Arial" w:cs="Arial" w:eastAsia="Arial" w:hAnsi="Arial"/>
                <w:sz w:val="8"/>
                <w:szCs w:val="8"/>
                <w:color w:val="050505"/>
              </w:rPr>
              <w:t>495,833</w:t>
            </w:r>
          </w:p>
        </w:tc>
        <w:tc>
          <w:tcPr>
            <w:tcW w:w="40" w:type="dxa"/>
            <w:vAlign w:val="bottom"/>
            <w:shd w:val="clear" w:color="auto" w:fill="CCEEFF"/>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1447800</wp:posOffset>
            </wp:positionH>
            <wp:positionV relativeFrom="paragraph">
              <wp:posOffset>57150</wp:posOffset>
            </wp:positionV>
            <wp:extent cx="1120775" cy="571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1120775" cy="5715"/>
                    </a:xfrm>
                    <a:prstGeom prst="rect">
                      <a:avLst/>
                    </a:prstGeom>
                    <a:noFill/>
                  </pic:spPr>
                </pic:pic>
              </a:graphicData>
            </a:graphic>
          </wp:anchor>
        </w:drawing>
      </w:r>
    </w:p>
    <w:p>
      <w:pPr>
        <w:spacing w:after="0" w:line="102" w:lineRule="exact"/>
        <w:rPr>
          <w:sz w:val="20"/>
          <w:szCs w:val="20"/>
          <w:color w:val="auto"/>
        </w:rPr>
      </w:pPr>
    </w:p>
    <w:p>
      <w:pPr>
        <w:jc w:val="both"/>
        <w:ind w:left="2500" w:right="839" w:hanging="225"/>
        <w:spacing w:after="0" w:line="245" w:lineRule="auto"/>
        <w:tabs>
          <w:tab w:leader="none" w:pos="2500" w:val="left"/>
        </w:tabs>
        <w:numPr>
          <w:ilvl w:val="0"/>
          <w:numId w:val="78"/>
        </w:numPr>
        <w:rPr>
          <w:rFonts w:ascii="Arial" w:cs="Arial" w:eastAsia="Arial" w:hAnsi="Arial"/>
          <w:sz w:val="8"/>
          <w:szCs w:val="8"/>
          <w:color w:val="050505"/>
        </w:rPr>
      </w:pPr>
      <w:r>
        <w:rPr>
          <w:rFonts w:ascii="Arial" w:cs="Arial" w:eastAsia="Arial" w:hAnsi="Arial"/>
          <w:sz w:val="8"/>
          <w:szCs w:val="8"/>
          <w:color w:val="050505"/>
        </w:rPr>
        <w:t>The stock option for 400,000 shares vests at a rate of 1/48th of the shares of our Class B common stock underlying the stock option each month following the January 17, 2019 vesting commencement date. The stock option is early exercisable. The stock option also provides that, in the event of a change in control, all of the unvested shares subject to the stock option will become immediately vested and exercisable as of the date immediately prior to the change in control. Such stock option is subject to continued service as a director.</w:t>
      </w:r>
    </w:p>
    <w:p>
      <w:pPr>
        <w:spacing w:after="0" w:line="33" w:lineRule="exact"/>
        <w:rPr>
          <w:rFonts w:ascii="Arial" w:cs="Arial" w:eastAsia="Arial" w:hAnsi="Arial"/>
          <w:sz w:val="8"/>
          <w:szCs w:val="8"/>
          <w:color w:val="050505"/>
        </w:rPr>
      </w:pPr>
    </w:p>
    <w:p>
      <w:pPr>
        <w:jc w:val="both"/>
        <w:ind w:left="2500" w:right="839" w:hanging="225"/>
        <w:spacing w:after="0"/>
        <w:tabs>
          <w:tab w:leader="none" w:pos="2500" w:val="left"/>
        </w:tabs>
        <w:numPr>
          <w:ilvl w:val="0"/>
          <w:numId w:val="78"/>
        </w:numPr>
        <w:rPr>
          <w:rFonts w:ascii="Arial" w:cs="Arial" w:eastAsia="Arial" w:hAnsi="Arial"/>
          <w:sz w:val="8"/>
          <w:szCs w:val="8"/>
          <w:color w:val="050505"/>
        </w:rPr>
      </w:pPr>
      <w:r>
        <w:rPr>
          <w:rFonts w:ascii="Arial" w:cs="Arial" w:eastAsia="Arial" w:hAnsi="Arial"/>
          <w:sz w:val="8"/>
          <w:szCs w:val="8"/>
          <w:color w:val="050505"/>
        </w:rPr>
        <w:t>Consists of (a) a stock option for 600,000 shares that vests at a rate of 1/4th of the shares of our Class B common stock underlying the stock option vesting on March 30, 2016 and the remaining shares subject to the stock option vest at a rate of 1/48th of the shares of our Class B common stock underlying the stock option monthly thereafter, (b) a stock option for 180,000 shares that vests at a rate of 1/4th of the shares of our Class B common stock underlying the stock option on July 12, 2018 and the remaining shares subject to the stock option vest at a rate of 1/48th of the shares of our Class B common stock underlying the stock option monthly thereafter, (c) a stock option for 160,000 shares that vests at a rate of 1/48th of the shares of our Class B common stock underlying the stock option each month following the March 15, 2018 vesting commencement date, and (d) a stock option for 400,000 shares that vests at a rate of 1/48th of the shares of our Class B common stock underlying the stock option each month following the January 17, 2019 vesting commencement date. The stock options are early exercisable. The stock options also provide that, in the event of a change in control (as defined in the applicable stock option agreement), all of the unvested shares subject to the stock options will become immediately vested and exercisable as of the date immediately prior to the change in control. Such stock options are subject to continued service as a director.</w:t>
      </w:r>
    </w:p>
    <w:p>
      <w:pPr>
        <w:spacing w:after="0" w:line="119" w:lineRule="exact"/>
        <w:rPr>
          <w:rFonts w:ascii="Arial" w:cs="Arial" w:eastAsia="Arial" w:hAnsi="Arial"/>
          <w:sz w:val="8"/>
          <w:szCs w:val="8"/>
          <w:color w:val="050505"/>
        </w:rPr>
      </w:pPr>
    </w:p>
    <w:p>
      <w:pPr>
        <w:jc w:val="both"/>
        <w:ind w:left="2500" w:right="839" w:hanging="225"/>
        <w:spacing w:after="0"/>
        <w:tabs>
          <w:tab w:leader="none" w:pos="2500" w:val="left"/>
        </w:tabs>
        <w:numPr>
          <w:ilvl w:val="0"/>
          <w:numId w:val="78"/>
        </w:numPr>
        <w:rPr>
          <w:rFonts w:ascii="Arial" w:cs="Arial" w:eastAsia="Arial" w:hAnsi="Arial"/>
          <w:sz w:val="8"/>
          <w:szCs w:val="8"/>
          <w:color w:val="050505"/>
        </w:rPr>
      </w:pPr>
      <w:r>
        <w:rPr>
          <w:rFonts w:ascii="Arial" w:cs="Arial" w:eastAsia="Arial" w:hAnsi="Arial"/>
          <w:sz w:val="8"/>
          <w:szCs w:val="8"/>
          <w:color w:val="050505"/>
        </w:rPr>
        <w:t>Consists of (a) a stock option for 200,000 shares that vests at a rate of 1/48th of the shares of our Class B common stock underlying the stock option each month following the January 6, 2019 vesting commencement date and (b) a stock option for 400,000 shares that vests at a rate of 1/48th of the shares of our Class B common stock underlying the stock option each month following the January 17, 2019 vesting commencement date. The stock options are early exercisable. The stock options also provide that, in the event of a change in control, all of the unvested shares subject to the stock options will become immediately vested and exercisable as of the date immediately prior to the change in control. Such stock options are subject to continued service as a director.</w:t>
      </w:r>
    </w:p>
    <w:p>
      <w:pPr>
        <w:spacing w:after="0" w:line="95" w:lineRule="exact"/>
        <w:rPr>
          <w:sz w:val="20"/>
          <w:szCs w:val="20"/>
          <w:color w:val="auto"/>
        </w:rPr>
      </w:pPr>
    </w:p>
    <w:p>
      <w:pPr>
        <w:ind w:left="5640"/>
        <w:spacing w:after="0"/>
        <w:rPr>
          <w:sz w:val="20"/>
          <w:szCs w:val="20"/>
          <w:color w:val="auto"/>
        </w:rPr>
      </w:pPr>
      <w:r>
        <w:rPr>
          <w:rFonts w:ascii="Arial" w:cs="Arial" w:eastAsia="Arial" w:hAnsi="Arial"/>
          <w:sz w:val="11"/>
          <w:szCs w:val="11"/>
          <w:color w:val="050505"/>
        </w:rPr>
        <w:t>119</w:t>
      </w:r>
    </w:p>
    <w:p>
      <w:pPr>
        <w:sectPr>
          <w:pgSz w:w="11900" w:h="16838" w:orient="portrait"/>
          <w:cols w:equalWidth="0" w:num="1">
            <w:col w:w="10239"/>
          </w:cols>
          <w:pgMar w:left="220" w:top="354" w:right="1440" w:bottom="1440" w:gutter="0" w:footer="0" w:header="0"/>
        </w:sectPr>
      </w:pPr>
    </w:p>
    <w:bookmarkStart w:id="129" w:name="page130"/>
    <w:bookmarkEnd w:id="129"/>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hyperlink w:anchor="page5">
        <w:r>
          <w:rPr>
            <w:rFonts w:ascii="Arial" w:cs="Arial" w:eastAsia="Arial" w:hAnsi="Arial"/>
            <w:sz w:val="12"/>
            <w:szCs w:val="12"/>
            <w:b w:val="1"/>
            <w:bCs w:val="1"/>
            <w:u w:val="single" w:color="auto"/>
            <w:color w:val="0000EE"/>
          </w:rPr>
          <w:t>Table of Contents</w:t>
        </w:r>
      </w:hyperlink>
    </w:p>
    <w:p>
      <w:pPr>
        <w:spacing w:after="0" w:line="211" w:lineRule="exact"/>
        <w:rPr>
          <w:sz w:val="20"/>
          <w:szCs w:val="20"/>
          <w:color w:val="auto"/>
        </w:rPr>
      </w:pPr>
    </w:p>
    <w:p>
      <w:pPr>
        <w:jc w:val="both"/>
        <w:ind w:left="2500" w:right="839" w:hanging="225"/>
        <w:spacing w:after="0" w:line="239" w:lineRule="auto"/>
        <w:tabs>
          <w:tab w:leader="none" w:pos="2500" w:val="left"/>
        </w:tabs>
        <w:numPr>
          <w:ilvl w:val="0"/>
          <w:numId w:val="79"/>
        </w:numPr>
        <w:rPr>
          <w:rFonts w:ascii="Arial" w:cs="Arial" w:eastAsia="Arial" w:hAnsi="Arial"/>
          <w:sz w:val="8"/>
          <w:szCs w:val="8"/>
          <w:color w:val="050505"/>
        </w:rPr>
      </w:pPr>
      <w:r>
        <w:rPr>
          <w:rFonts w:ascii="Arial" w:cs="Arial" w:eastAsia="Arial" w:hAnsi="Arial"/>
          <w:sz w:val="8"/>
          <w:szCs w:val="8"/>
          <w:color w:val="050505"/>
        </w:rPr>
        <w:t>Consists of (a) a stock option for 220,000 shares that vests at a rate of 1/4th of the shares of our Class B common stock underlying the stock option on July 12, 2018 and the remaining shares subject to the stock option vest at a rate of 1/48th of the shares of our Class B common stock underlying the stock option monthly thereafter, (b) a stock option for 160,000 shares that vests at a rate of 1/48th of the shares of our Class B common stock underlying the stock option each month following the March 15, 2018 vesting commencement date, and (c) a stock option for 400,000 shares that vests at a rate of 1/48th of the shares of our Class B common stock underlying the stock option each month following the January 17, 2019 vesting commencement date. The stock options are early exercisable. The stock options also provide that, in the event of a change in control, all of the unvested shares subject to the stock options will become immediately vested and exercisable as of the date immediately prior to the change in control. Such stock options are subject to continued service as a director.</w:t>
      </w:r>
    </w:p>
    <w:p>
      <w:pPr>
        <w:spacing w:after="0" w:line="35" w:lineRule="exact"/>
        <w:rPr>
          <w:rFonts w:ascii="Arial" w:cs="Arial" w:eastAsia="Arial" w:hAnsi="Arial"/>
          <w:sz w:val="8"/>
          <w:szCs w:val="8"/>
          <w:color w:val="050505"/>
        </w:rPr>
      </w:pPr>
    </w:p>
    <w:p>
      <w:pPr>
        <w:jc w:val="both"/>
        <w:ind w:left="2500" w:right="839" w:hanging="225"/>
        <w:spacing w:after="0"/>
        <w:tabs>
          <w:tab w:leader="none" w:pos="2500" w:val="left"/>
        </w:tabs>
        <w:numPr>
          <w:ilvl w:val="0"/>
          <w:numId w:val="79"/>
        </w:numPr>
        <w:rPr>
          <w:rFonts w:ascii="Arial" w:cs="Arial" w:eastAsia="Arial" w:hAnsi="Arial"/>
          <w:sz w:val="8"/>
          <w:szCs w:val="8"/>
          <w:color w:val="050505"/>
        </w:rPr>
      </w:pPr>
      <w:r>
        <w:rPr>
          <w:rFonts w:ascii="Arial" w:cs="Arial" w:eastAsia="Arial" w:hAnsi="Arial"/>
          <w:sz w:val="8"/>
          <w:szCs w:val="8"/>
          <w:color w:val="050505"/>
        </w:rPr>
        <w:t>Consists of (a) a stock option for 200,000 shares that vests at a rate of 1/48th of the shares of our Class B common stock underlying the stock option each month following the March 26, 2018 vesting commencement date and (b) a stock option for 400,000 shares that vests at a rate of 1/48th of the shares of our Class B common stock underlying the stock option each month following the January 17, 2019 vesting commencement date. The stock options are early exercisable. The stock options also provide that, in the event of a change in control, all of the unvested shares subject to the stock options will become immediately vested and exercisable as of the date immediately prior to the change in control. Such stock options are subject to continued service as a director.</w:t>
      </w:r>
    </w:p>
    <w:p>
      <w:pPr>
        <w:spacing w:after="0" w:line="140" w:lineRule="exact"/>
        <w:rPr>
          <w:sz w:val="20"/>
          <w:szCs w:val="20"/>
          <w:color w:val="auto"/>
        </w:rPr>
      </w:pPr>
    </w:p>
    <w:p>
      <w:pPr>
        <w:jc w:val="both"/>
        <w:ind w:left="2060" w:right="839"/>
        <w:spacing w:after="0" w:line="245" w:lineRule="auto"/>
        <w:rPr>
          <w:sz w:val="20"/>
          <w:szCs w:val="20"/>
          <w:color w:val="auto"/>
        </w:rPr>
      </w:pPr>
      <w:r>
        <w:rPr>
          <w:rFonts w:ascii="Arial" w:cs="Arial" w:eastAsia="Arial" w:hAnsi="Arial"/>
          <w:sz w:val="11"/>
          <w:szCs w:val="11"/>
          <w:color w:val="050505"/>
        </w:rPr>
        <w:t>In connection with this offering, in August 2019, our board of directors approved the following non-employee director compensation. Following the completion of this offering, each non-employee director will be entitled to receive stock options under our 2019 Plan as follows:</w:t>
      </w:r>
    </w:p>
    <w:p>
      <w:pPr>
        <w:spacing w:after="0" w:line="126" w:lineRule="exact"/>
        <w:rPr>
          <w:sz w:val="20"/>
          <w:szCs w:val="20"/>
          <w:color w:val="auto"/>
        </w:rPr>
      </w:pPr>
    </w:p>
    <w:p>
      <w:pPr>
        <w:jc w:val="both"/>
        <w:ind w:left="2060" w:right="839"/>
        <w:spacing w:after="0" w:line="248" w:lineRule="auto"/>
        <w:rPr>
          <w:sz w:val="20"/>
          <w:szCs w:val="20"/>
          <w:color w:val="auto"/>
        </w:rPr>
      </w:pPr>
      <w:r>
        <w:rPr>
          <w:rFonts w:ascii="Arial" w:cs="Arial" w:eastAsia="Arial" w:hAnsi="Arial"/>
          <w:sz w:val="11"/>
          <w:szCs w:val="11"/>
          <w:b w:val="1"/>
          <w:bCs w:val="1"/>
          <w:i w:val="1"/>
          <w:iCs w:val="1"/>
          <w:color w:val="050505"/>
        </w:rPr>
        <w:t>Initial Stock Option Grant</w:t>
      </w:r>
      <w:r>
        <w:rPr>
          <w:rFonts w:ascii="Arial" w:cs="Arial" w:eastAsia="Arial" w:hAnsi="Arial"/>
          <w:sz w:val="11"/>
          <w:szCs w:val="11"/>
          <w:color w:val="050505"/>
        </w:rPr>
        <w:t>. Each non-employee director appointed to our board of directors following this offering will be granted a stock option, on the</w:t>
      </w:r>
      <w:r>
        <w:rPr>
          <w:rFonts w:ascii="Arial" w:cs="Arial" w:eastAsia="Arial" w:hAnsi="Arial"/>
          <w:sz w:val="11"/>
          <w:szCs w:val="11"/>
          <w:b w:val="1"/>
          <w:bCs w:val="1"/>
          <w:i w:val="1"/>
          <w:iCs w:val="1"/>
          <w:color w:val="050505"/>
        </w:rPr>
        <w:t xml:space="preserve"> </w:t>
      </w:r>
      <w:r>
        <w:rPr>
          <w:rFonts w:ascii="Arial" w:cs="Arial" w:eastAsia="Arial" w:hAnsi="Arial"/>
          <w:sz w:val="11"/>
          <w:szCs w:val="11"/>
          <w:color w:val="050505"/>
        </w:rPr>
        <w:t>date of his or her appointment to our board of directors having an aggregate value of $500,000 based on the closing price of our Class A common stock on the date of grant. The option will vest with respect to 1/3rd of the total number of stock options subject to such award on each annual anniversary of the grant, in each case, so long as such non-employee director continues to serve on our board of directors through such date.</w:t>
      </w:r>
    </w:p>
    <w:p>
      <w:pPr>
        <w:spacing w:after="0" w:line="126" w:lineRule="exact"/>
        <w:rPr>
          <w:sz w:val="20"/>
          <w:szCs w:val="20"/>
          <w:color w:val="auto"/>
        </w:rPr>
      </w:pPr>
    </w:p>
    <w:p>
      <w:pPr>
        <w:jc w:val="both"/>
        <w:ind w:left="2060" w:right="839"/>
        <w:spacing w:after="0" w:line="274" w:lineRule="auto"/>
        <w:rPr>
          <w:sz w:val="20"/>
          <w:szCs w:val="20"/>
          <w:color w:val="auto"/>
        </w:rPr>
      </w:pPr>
      <w:r>
        <w:rPr>
          <w:rFonts w:ascii="Arial" w:cs="Arial" w:eastAsia="Arial" w:hAnsi="Arial"/>
          <w:sz w:val="10"/>
          <w:szCs w:val="10"/>
          <w:b w:val="1"/>
          <w:bCs w:val="1"/>
          <w:i w:val="1"/>
          <w:iCs w:val="1"/>
          <w:color w:val="050505"/>
        </w:rPr>
        <w:t>Annual Stock Option Grant</w:t>
      </w:r>
      <w:r>
        <w:rPr>
          <w:rFonts w:ascii="Arial" w:cs="Arial" w:eastAsia="Arial" w:hAnsi="Arial"/>
          <w:sz w:val="10"/>
          <w:szCs w:val="10"/>
          <w:color w:val="050505"/>
        </w:rPr>
        <w:t>. Commencing with our fiscal 2021 annual meeting of stockholders, on each annual meeting of stockholders, each non-employee director who is serving on our board of directors on, and will continue to serve on our board of directors immediately following, the date of such annual meeting will automatically be granted a stock option having an aggregate value of $250,000 based on the closing price of our Class A common stock on the date of grant. Each award will vest with respect to 1/4th of the total number of stock options subject to such award on each quarterly anniversary thereafter such that the option will be fully vested and exercisable on the one-year anniversary of the date of grant, or if earlier, the next annual meeting of stockholders, in each case, so long as such non-employee director continues to serve on our board of directors through such date.</w:t>
      </w:r>
    </w:p>
    <w:p>
      <w:pPr>
        <w:spacing w:after="0" w:line="125" w:lineRule="exact"/>
        <w:rPr>
          <w:sz w:val="20"/>
          <w:szCs w:val="20"/>
          <w:color w:val="auto"/>
        </w:rPr>
      </w:pPr>
    </w:p>
    <w:p>
      <w:pPr>
        <w:ind w:left="2060"/>
        <w:spacing w:after="0"/>
        <w:rPr>
          <w:sz w:val="20"/>
          <w:szCs w:val="20"/>
          <w:color w:val="auto"/>
        </w:rPr>
      </w:pPr>
      <w:r>
        <w:rPr>
          <w:rFonts w:ascii="Arial" w:cs="Arial" w:eastAsia="Arial" w:hAnsi="Arial"/>
          <w:sz w:val="11"/>
          <w:szCs w:val="11"/>
          <w:color w:val="050505"/>
        </w:rPr>
        <w:t>Non-employee directors will not receive any cash compensation for service on our board of directors.</w:t>
      </w:r>
    </w:p>
    <w:p>
      <w:pPr>
        <w:spacing w:after="0" w:line="99" w:lineRule="exact"/>
        <w:rPr>
          <w:sz w:val="20"/>
          <w:szCs w:val="20"/>
          <w:color w:val="auto"/>
        </w:rPr>
      </w:pPr>
    </w:p>
    <w:p>
      <w:pPr>
        <w:ind w:left="5640"/>
        <w:spacing w:after="0"/>
        <w:rPr>
          <w:sz w:val="20"/>
          <w:szCs w:val="20"/>
          <w:color w:val="auto"/>
        </w:rPr>
      </w:pPr>
      <w:r>
        <w:rPr>
          <w:rFonts w:ascii="Arial" w:cs="Arial" w:eastAsia="Arial" w:hAnsi="Arial"/>
          <w:sz w:val="11"/>
          <w:szCs w:val="11"/>
          <w:color w:val="050505"/>
        </w:rPr>
        <w:t>120</w:t>
      </w:r>
    </w:p>
    <w:p>
      <w:pPr>
        <w:sectPr>
          <w:pgSz w:w="11900" w:h="16838" w:orient="portrait"/>
          <w:cols w:equalWidth="0" w:num="1">
            <w:col w:w="10239"/>
          </w:cols>
          <w:pgMar w:left="220" w:top="354" w:right="1440" w:bottom="1440" w:gutter="0" w:footer="0" w:header="0"/>
        </w:sectPr>
      </w:pPr>
    </w:p>
    <w:bookmarkStart w:id="130" w:name="page131"/>
    <w:bookmarkEnd w:id="130"/>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hyperlink w:anchor="page5">
        <w:r>
          <w:rPr>
            <w:rFonts w:ascii="Arial" w:cs="Arial" w:eastAsia="Arial" w:hAnsi="Arial"/>
            <w:sz w:val="12"/>
            <w:szCs w:val="12"/>
            <w:b w:val="1"/>
            <w:bCs w:val="1"/>
            <w:u w:val="single" w:color="auto"/>
            <w:color w:val="0000EE"/>
          </w:rPr>
          <w:t>Table of Contents</w:t>
        </w:r>
      </w:hyperlink>
    </w:p>
    <w:p>
      <w:pPr>
        <w:spacing w:after="0" w:line="200" w:lineRule="exact"/>
        <w:rPr>
          <w:sz w:val="20"/>
          <w:szCs w:val="20"/>
          <w:color w:val="auto"/>
        </w:rPr>
      </w:pPr>
    </w:p>
    <w:p>
      <w:pPr>
        <w:jc w:val="center"/>
        <w:ind w:right="-1220"/>
        <w:spacing w:after="0"/>
        <w:rPr>
          <w:sz w:val="20"/>
          <w:szCs w:val="20"/>
          <w:color w:val="auto"/>
        </w:rPr>
      </w:pPr>
      <w:r>
        <w:rPr>
          <w:rFonts w:ascii="Arial" w:cs="Arial" w:eastAsia="Arial" w:hAnsi="Arial"/>
          <w:sz w:val="12"/>
          <w:szCs w:val="12"/>
          <w:b w:val="1"/>
          <w:bCs w:val="1"/>
          <w:color w:val="auto"/>
        </w:rPr>
        <w:t>EXECUTIVE COMPENSATION</w:t>
      </w:r>
    </w:p>
    <w:p>
      <w:pPr>
        <w:spacing w:after="0" w:line="157" w:lineRule="exact"/>
        <w:rPr>
          <w:sz w:val="20"/>
          <w:szCs w:val="20"/>
          <w:color w:val="auto"/>
        </w:rPr>
      </w:pPr>
    </w:p>
    <w:p>
      <w:pPr>
        <w:jc w:val="both"/>
        <w:ind w:left="2060" w:right="839"/>
        <w:spacing w:after="0" w:line="241" w:lineRule="auto"/>
        <w:rPr>
          <w:sz w:val="20"/>
          <w:szCs w:val="20"/>
          <w:color w:val="auto"/>
        </w:rPr>
      </w:pPr>
      <w:r>
        <w:rPr>
          <w:rFonts w:ascii="Arial" w:cs="Arial" w:eastAsia="Arial" w:hAnsi="Arial"/>
          <w:sz w:val="11"/>
          <w:szCs w:val="11"/>
          <w:color w:val="050505"/>
        </w:rPr>
        <w:t>The following tables and accompanying narrative disclosure set forth information about the compensation provided to certain of our executive officers during fiscal 2018 and fiscal 2019. These executive officers, who consist of our principal executive officer and the two most highly compensated executive officers (other than our principal executive officer) who were serving as executive officers as of June 30, 2019, the end of our last completed fiscal year, were:</w:t>
      </w:r>
    </w:p>
    <w:p>
      <w:pPr>
        <w:spacing w:after="0" w:line="158" w:lineRule="exact"/>
        <w:rPr>
          <w:sz w:val="20"/>
          <w:szCs w:val="20"/>
          <w:color w:val="auto"/>
        </w:rPr>
      </w:pPr>
    </w:p>
    <w:p>
      <w:pPr>
        <w:ind w:left="2420" w:hanging="217"/>
        <w:spacing w:after="0"/>
        <w:tabs>
          <w:tab w:leader="none" w:pos="2420" w:val="left"/>
        </w:tabs>
        <w:numPr>
          <w:ilvl w:val="0"/>
          <w:numId w:val="80"/>
        </w:numPr>
        <w:rPr>
          <w:rFonts w:ascii="Arial" w:cs="Arial" w:eastAsia="Arial" w:hAnsi="Arial"/>
          <w:sz w:val="11"/>
          <w:szCs w:val="11"/>
          <w:color w:val="F7323F"/>
        </w:rPr>
      </w:pPr>
      <w:r>
        <w:rPr>
          <w:rFonts w:ascii="Arial" w:cs="Arial" w:eastAsia="Arial" w:hAnsi="Arial"/>
          <w:sz w:val="11"/>
          <w:szCs w:val="11"/>
          <w:color w:val="050505"/>
        </w:rPr>
        <w:t>John Foley, Chairman of the Board of Directors and Chief Executive Officer;</w:t>
      </w:r>
    </w:p>
    <w:p>
      <w:pPr>
        <w:spacing w:after="0" w:line="44" w:lineRule="exact"/>
        <w:rPr>
          <w:rFonts w:ascii="Arial" w:cs="Arial" w:eastAsia="Arial" w:hAnsi="Arial"/>
          <w:sz w:val="11"/>
          <w:szCs w:val="11"/>
          <w:color w:val="F7323F"/>
        </w:rPr>
      </w:pPr>
    </w:p>
    <w:p>
      <w:pPr>
        <w:ind w:left="2420" w:hanging="217"/>
        <w:spacing w:after="0"/>
        <w:tabs>
          <w:tab w:leader="none" w:pos="2420" w:val="left"/>
        </w:tabs>
        <w:numPr>
          <w:ilvl w:val="0"/>
          <w:numId w:val="80"/>
        </w:numPr>
        <w:rPr>
          <w:rFonts w:ascii="Arial" w:cs="Arial" w:eastAsia="Arial" w:hAnsi="Arial"/>
          <w:sz w:val="11"/>
          <w:szCs w:val="11"/>
          <w:color w:val="F7323F"/>
        </w:rPr>
      </w:pPr>
      <w:r>
        <w:rPr>
          <w:rFonts w:ascii="Arial" w:cs="Arial" w:eastAsia="Arial" w:hAnsi="Arial"/>
          <w:sz w:val="11"/>
          <w:szCs w:val="11"/>
          <w:color w:val="050505"/>
        </w:rPr>
        <w:t>William Lynch, President; and</w:t>
      </w:r>
    </w:p>
    <w:p>
      <w:pPr>
        <w:spacing w:after="0" w:line="44" w:lineRule="exact"/>
        <w:rPr>
          <w:rFonts w:ascii="Arial" w:cs="Arial" w:eastAsia="Arial" w:hAnsi="Arial"/>
          <w:sz w:val="11"/>
          <w:szCs w:val="11"/>
          <w:color w:val="F7323F"/>
        </w:rPr>
      </w:pPr>
    </w:p>
    <w:p>
      <w:pPr>
        <w:ind w:left="2420" w:hanging="217"/>
        <w:spacing w:after="0"/>
        <w:tabs>
          <w:tab w:leader="none" w:pos="2420" w:val="left"/>
        </w:tabs>
        <w:numPr>
          <w:ilvl w:val="0"/>
          <w:numId w:val="80"/>
        </w:numPr>
        <w:rPr>
          <w:rFonts w:ascii="Arial" w:cs="Arial" w:eastAsia="Arial" w:hAnsi="Arial"/>
          <w:sz w:val="11"/>
          <w:szCs w:val="11"/>
          <w:color w:val="F7323F"/>
        </w:rPr>
      </w:pPr>
      <w:r>
        <w:rPr>
          <w:rFonts w:ascii="Arial" w:cs="Arial" w:eastAsia="Arial" w:hAnsi="Arial"/>
          <w:sz w:val="11"/>
          <w:szCs w:val="11"/>
          <w:color w:val="050505"/>
        </w:rPr>
        <w:t>Jill Woodworth, Chief Financial Officer.</w:t>
      </w:r>
    </w:p>
    <w:p>
      <w:pPr>
        <w:spacing w:after="0" w:line="144" w:lineRule="exact"/>
        <w:rPr>
          <w:sz w:val="20"/>
          <w:szCs w:val="20"/>
          <w:color w:val="auto"/>
        </w:rPr>
      </w:pPr>
    </w:p>
    <w:p>
      <w:pPr>
        <w:ind w:left="2060"/>
        <w:spacing w:after="0"/>
        <w:rPr>
          <w:sz w:val="20"/>
          <w:szCs w:val="20"/>
          <w:color w:val="auto"/>
        </w:rPr>
      </w:pPr>
      <w:r>
        <w:rPr>
          <w:rFonts w:ascii="Arial" w:cs="Arial" w:eastAsia="Arial" w:hAnsi="Arial"/>
          <w:sz w:val="11"/>
          <w:szCs w:val="11"/>
          <w:color w:val="050505"/>
        </w:rPr>
        <w:t>We refer to these individuals in this section as our “Named Executive Officers.”</w:t>
      </w:r>
    </w:p>
    <w:p>
      <w:pPr>
        <w:spacing w:after="0" w:line="204" w:lineRule="exact"/>
        <w:rPr>
          <w:sz w:val="20"/>
          <w:szCs w:val="20"/>
          <w:color w:val="auto"/>
        </w:rPr>
      </w:pPr>
    </w:p>
    <w:p>
      <w:pPr>
        <w:ind w:left="2060"/>
        <w:spacing w:after="0"/>
        <w:rPr>
          <w:sz w:val="20"/>
          <w:szCs w:val="20"/>
          <w:color w:val="auto"/>
        </w:rPr>
      </w:pPr>
      <w:r>
        <w:rPr>
          <w:rFonts w:ascii="Arial" w:cs="Arial" w:eastAsia="Arial" w:hAnsi="Arial"/>
          <w:sz w:val="11"/>
          <w:szCs w:val="11"/>
          <w:b w:val="1"/>
          <w:bCs w:val="1"/>
          <w:u w:val="single" w:color="auto"/>
          <w:color w:val="auto"/>
        </w:rPr>
        <w:t>Summary Compensation Table</w:t>
      </w:r>
    </w:p>
    <w:p>
      <w:pPr>
        <w:spacing w:after="0" w:line="12" w:lineRule="exact"/>
        <w:rPr>
          <w:sz w:val="20"/>
          <w:szCs w:val="20"/>
          <w:color w:val="auto"/>
        </w:rPr>
      </w:pPr>
    </w:p>
    <w:p>
      <w:pPr>
        <w:ind w:left="2060" w:right="839"/>
        <w:spacing w:after="0" w:line="245" w:lineRule="auto"/>
        <w:rPr>
          <w:sz w:val="20"/>
          <w:szCs w:val="20"/>
          <w:color w:val="auto"/>
        </w:rPr>
      </w:pPr>
      <w:r>
        <w:rPr>
          <w:rFonts w:ascii="Arial" w:cs="Arial" w:eastAsia="Arial" w:hAnsi="Arial"/>
          <w:sz w:val="11"/>
          <w:szCs w:val="11"/>
          <w:color w:val="050505"/>
        </w:rPr>
        <w:t>The following table presents summary information regarding the total compensation that was awarded to, earned by, or paid to our Named Executive Officers for services rendered in all capacities during fiscal 2018 and fiscal 2019.</w:t>
      </w:r>
    </w:p>
    <w:p>
      <w:pPr>
        <w:spacing w:after="0" w:line="144" w:lineRule="exact"/>
        <w:rPr>
          <w:sz w:val="20"/>
          <w:szCs w:val="20"/>
          <w:color w:val="auto"/>
        </w:rPr>
      </w:pPr>
    </w:p>
    <w:tbl>
      <w:tblPr>
        <w:tblLayout w:type="fixed"/>
        <w:tblInd w:w="2060" w:type="dxa"/>
        <w:tblCellMar>
          <w:top w:w="0" w:type="dxa"/>
          <w:left w:w="0" w:type="dxa"/>
          <w:bottom w:w="0" w:type="dxa"/>
          <w:right w:w="0" w:type="dxa"/>
        </w:tblCellMar>
      </w:tblPr>
      <w:tr>
        <w:trPr>
          <w:trHeight w:val="126"/>
        </w:trPr>
        <w:tc>
          <w:tcPr>
            <w:tcW w:w="6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40" w:type="dxa"/>
            <w:vAlign w:val="bottom"/>
          </w:tcPr>
          <w:p>
            <w:pPr>
              <w:jc w:val="center"/>
              <w:spacing w:after="0"/>
              <w:rPr>
                <w:sz w:val="20"/>
                <w:szCs w:val="20"/>
                <w:color w:val="auto"/>
              </w:rPr>
            </w:pPr>
            <w:r>
              <w:rPr>
                <w:rFonts w:ascii="Arial" w:cs="Arial" w:eastAsia="Arial" w:hAnsi="Arial"/>
                <w:sz w:val="11"/>
                <w:szCs w:val="11"/>
                <w:b w:val="1"/>
                <w:bCs w:val="1"/>
                <w:color w:val="050505"/>
                <w:w w:val="98"/>
              </w:rPr>
              <w:t>Non-Equity</w:t>
            </w:r>
          </w:p>
        </w:tc>
        <w:tc>
          <w:tcPr>
            <w:tcW w:w="1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r>
      <w:tr>
        <w:trPr>
          <w:trHeight w:val="126"/>
        </w:trPr>
        <w:tc>
          <w:tcPr>
            <w:tcW w:w="6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jc w:val="center"/>
              <w:spacing w:after="0"/>
              <w:rPr>
                <w:sz w:val="20"/>
                <w:szCs w:val="20"/>
                <w:color w:val="auto"/>
              </w:rPr>
            </w:pPr>
            <w:r>
              <w:rPr>
                <w:rFonts w:ascii="Arial" w:cs="Arial" w:eastAsia="Arial" w:hAnsi="Arial"/>
                <w:sz w:val="11"/>
                <w:szCs w:val="11"/>
                <w:b w:val="1"/>
                <w:bCs w:val="1"/>
                <w:color w:val="050505"/>
              </w:rPr>
              <w:t>Option</w:t>
            </w:r>
          </w:p>
        </w:tc>
        <w:tc>
          <w:tcPr>
            <w:tcW w:w="160" w:type="dxa"/>
            <w:vAlign w:val="bottom"/>
          </w:tcPr>
          <w:p>
            <w:pPr>
              <w:spacing w:after="0"/>
              <w:rPr>
                <w:sz w:val="10"/>
                <w:szCs w:val="10"/>
                <w:color w:val="auto"/>
              </w:rPr>
            </w:pPr>
          </w:p>
        </w:tc>
        <w:tc>
          <w:tcPr>
            <w:tcW w:w="740" w:type="dxa"/>
            <w:vAlign w:val="bottom"/>
          </w:tcPr>
          <w:p>
            <w:pPr>
              <w:jc w:val="center"/>
              <w:spacing w:after="0"/>
              <w:rPr>
                <w:sz w:val="20"/>
                <w:szCs w:val="20"/>
                <w:color w:val="auto"/>
              </w:rPr>
            </w:pPr>
            <w:r>
              <w:rPr>
                <w:rFonts w:ascii="Arial" w:cs="Arial" w:eastAsia="Arial" w:hAnsi="Arial"/>
                <w:sz w:val="11"/>
                <w:szCs w:val="11"/>
                <w:b w:val="1"/>
                <w:bCs w:val="1"/>
                <w:color w:val="050505"/>
                <w:w w:val="97"/>
              </w:rPr>
              <w:t>Incentive Plan</w:t>
            </w:r>
          </w:p>
        </w:tc>
        <w:tc>
          <w:tcPr>
            <w:tcW w:w="160" w:type="dxa"/>
            <w:vAlign w:val="bottom"/>
          </w:tcPr>
          <w:p>
            <w:pPr>
              <w:spacing w:after="0"/>
              <w:rPr>
                <w:sz w:val="10"/>
                <w:szCs w:val="10"/>
                <w:color w:val="auto"/>
              </w:rPr>
            </w:pPr>
          </w:p>
        </w:tc>
        <w:tc>
          <w:tcPr>
            <w:tcW w:w="96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050505"/>
                <w:w w:val="98"/>
              </w:rPr>
              <w:t>All Other</w:t>
            </w: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r>
      <w:tr>
        <w:trPr>
          <w:trHeight w:val="125"/>
        </w:trPr>
        <w:tc>
          <w:tcPr>
            <w:tcW w:w="6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960" w:type="dxa"/>
            <w:vAlign w:val="bottom"/>
            <w:gridSpan w:val="3"/>
          </w:tcPr>
          <w:p>
            <w:pPr>
              <w:jc w:val="right"/>
              <w:ind w:right="160"/>
              <w:spacing w:after="0" w:line="125" w:lineRule="exact"/>
              <w:rPr>
                <w:sz w:val="20"/>
                <w:szCs w:val="20"/>
                <w:color w:val="auto"/>
              </w:rPr>
            </w:pPr>
            <w:r>
              <w:rPr>
                <w:rFonts w:ascii="Arial" w:cs="Arial" w:eastAsia="Arial" w:hAnsi="Arial"/>
                <w:sz w:val="11"/>
                <w:szCs w:val="11"/>
                <w:b w:val="1"/>
                <w:bCs w:val="1"/>
                <w:color w:val="050505"/>
              </w:rPr>
              <w:t>Fiscal</w:t>
            </w:r>
          </w:p>
        </w:tc>
        <w:tc>
          <w:tcPr>
            <w:tcW w:w="60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050505"/>
              </w:rPr>
              <w:t>Salary</w:t>
            </w:r>
          </w:p>
        </w:tc>
        <w:tc>
          <w:tcPr>
            <w:tcW w:w="580" w:type="dxa"/>
            <w:vAlign w:val="bottom"/>
          </w:tcPr>
          <w:p>
            <w:pPr>
              <w:jc w:val="center"/>
              <w:spacing w:after="0" w:line="125" w:lineRule="exact"/>
              <w:rPr>
                <w:sz w:val="20"/>
                <w:szCs w:val="20"/>
                <w:color w:val="auto"/>
              </w:rPr>
            </w:pPr>
            <w:r>
              <w:rPr>
                <w:rFonts w:ascii="Arial" w:cs="Arial" w:eastAsia="Arial" w:hAnsi="Arial"/>
                <w:sz w:val="11"/>
                <w:szCs w:val="11"/>
                <w:b w:val="1"/>
                <w:bCs w:val="1"/>
                <w:color w:val="050505"/>
              </w:rPr>
              <w:t>Awards</w:t>
            </w:r>
          </w:p>
        </w:tc>
        <w:tc>
          <w:tcPr>
            <w:tcW w:w="900" w:type="dxa"/>
            <w:vAlign w:val="bottom"/>
            <w:gridSpan w:val="2"/>
          </w:tcPr>
          <w:p>
            <w:pPr>
              <w:jc w:val="center"/>
              <w:ind w:left="88"/>
              <w:spacing w:after="0" w:line="125" w:lineRule="exact"/>
              <w:rPr>
                <w:sz w:val="20"/>
                <w:szCs w:val="20"/>
                <w:color w:val="auto"/>
              </w:rPr>
            </w:pPr>
            <w:r>
              <w:rPr>
                <w:rFonts w:ascii="Arial" w:cs="Arial" w:eastAsia="Arial" w:hAnsi="Arial"/>
                <w:sz w:val="11"/>
                <w:szCs w:val="11"/>
                <w:b w:val="1"/>
                <w:bCs w:val="1"/>
                <w:color w:val="050505"/>
                <w:w w:val="99"/>
              </w:rPr>
              <w:t>Compensation</w:t>
            </w:r>
          </w:p>
        </w:tc>
        <w:tc>
          <w:tcPr>
            <w:tcW w:w="1120" w:type="dxa"/>
            <w:vAlign w:val="bottom"/>
            <w:gridSpan w:val="3"/>
          </w:tcPr>
          <w:p>
            <w:pPr>
              <w:jc w:val="center"/>
              <w:ind w:right="40"/>
              <w:spacing w:after="0" w:line="125" w:lineRule="exact"/>
              <w:rPr>
                <w:sz w:val="20"/>
                <w:szCs w:val="20"/>
                <w:color w:val="auto"/>
              </w:rPr>
            </w:pPr>
            <w:r>
              <w:rPr>
                <w:rFonts w:ascii="Arial" w:cs="Arial" w:eastAsia="Arial" w:hAnsi="Arial"/>
                <w:sz w:val="11"/>
                <w:szCs w:val="11"/>
                <w:b w:val="1"/>
                <w:bCs w:val="1"/>
                <w:color w:val="050505"/>
                <w:w w:val="99"/>
              </w:rPr>
              <w:t>Compensation</w:t>
            </w:r>
          </w:p>
        </w:tc>
        <w:tc>
          <w:tcPr>
            <w:tcW w:w="660" w:type="dxa"/>
            <w:vAlign w:val="bottom"/>
            <w:gridSpan w:val="2"/>
          </w:tcPr>
          <w:p>
            <w:pPr>
              <w:ind w:left="160"/>
              <w:spacing w:after="0" w:line="125" w:lineRule="exact"/>
              <w:rPr>
                <w:sz w:val="20"/>
                <w:szCs w:val="20"/>
                <w:color w:val="auto"/>
              </w:rPr>
            </w:pPr>
            <w:r>
              <w:rPr>
                <w:rFonts w:ascii="Arial" w:cs="Arial" w:eastAsia="Arial" w:hAnsi="Arial"/>
                <w:sz w:val="11"/>
                <w:szCs w:val="11"/>
                <w:b w:val="1"/>
                <w:bCs w:val="1"/>
                <w:color w:val="050505"/>
              </w:rPr>
              <w:t>Total</w:t>
            </w:r>
          </w:p>
        </w:tc>
      </w:tr>
      <w:tr>
        <w:trPr>
          <w:trHeight w:val="140"/>
        </w:trPr>
        <w:tc>
          <w:tcPr>
            <w:tcW w:w="60" w:type="dxa"/>
            <w:vAlign w:val="bottom"/>
          </w:tcPr>
          <w:p>
            <w:pPr>
              <w:spacing w:after="0"/>
              <w:rPr>
                <w:sz w:val="12"/>
                <w:szCs w:val="12"/>
                <w:color w:val="auto"/>
              </w:rPr>
            </w:pPr>
          </w:p>
        </w:tc>
        <w:tc>
          <w:tcPr>
            <w:tcW w:w="1460" w:type="dxa"/>
            <w:vAlign w:val="bottom"/>
            <w:tcBorders>
              <w:bottom w:val="single" w:sz="8" w:color="050505"/>
            </w:tcBorders>
          </w:tcPr>
          <w:p>
            <w:pPr>
              <w:spacing w:after="0" w:line="121" w:lineRule="exact"/>
              <w:rPr>
                <w:sz w:val="20"/>
                <w:szCs w:val="20"/>
                <w:color w:val="auto"/>
              </w:rPr>
            </w:pPr>
            <w:r>
              <w:rPr>
                <w:rFonts w:ascii="Arial" w:cs="Arial" w:eastAsia="Arial" w:hAnsi="Arial"/>
                <w:sz w:val="11"/>
                <w:szCs w:val="11"/>
                <w:b w:val="1"/>
                <w:bCs w:val="1"/>
                <w:color w:val="050505"/>
                <w:w w:val="96"/>
              </w:rPr>
              <w:t>Name and Principal Position</w:t>
            </w:r>
          </w:p>
        </w:tc>
        <w:tc>
          <w:tcPr>
            <w:tcW w:w="10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60" w:type="dxa"/>
            <w:vAlign w:val="bottom"/>
            <w:gridSpan w:val="2"/>
          </w:tcPr>
          <w:p>
            <w:pPr>
              <w:ind w:left="40"/>
              <w:spacing w:after="0" w:line="121" w:lineRule="exact"/>
              <w:rPr>
                <w:sz w:val="20"/>
                <w:szCs w:val="20"/>
                <w:color w:val="auto"/>
              </w:rPr>
            </w:pPr>
            <w:r>
              <w:rPr>
                <w:rFonts w:ascii="Arial" w:cs="Arial" w:eastAsia="Arial" w:hAnsi="Arial"/>
                <w:sz w:val="11"/>
                <w:szCs w:val="11"/>
                <w:b w:val="1"/>
                <w:bCs w:val="1"/>
                <w:color w:val="050505"/>
              </w:rPr>
              <w:t>Year</w:t>
            </w:r>
          </w:p>
        </w:tc>
        <w:tc>
          <w:tcPr>
            <w:tcW w:w="440" w:type="dxa"/>
            <w:vAlign w:val="bottom"/>
          </w:tcPr>
          <w:p>
            <w:pPr>
              <w:jc w:val="right"/>
              <w:ind w:right="106"/>
              <w:spacing w:after="0" w:line="121" w:lineRule="exact"/>
              <w:rPr>
                <w:sz w:val="20"/>
                <w:szCs w:val="20"/>
                <w:color w:val="auto"/>
              </w:rPr>
            </w:pPr>
            <w:r>
              <w:rPr>
                <w:rFonts w:ascii="Arial" w:cs="Arial" w:eastAsia="Arial" w:hAnsi="Arial"/>
                <w:sz w:val="11"/>
                <w:szCs w:val="11"/>
                <w:b w:val="1"/>
                <w:bCs w:val="1"/>
                <w:color w:val="050505"/>
              </w:rPr>
              <w:t>($)</w:t>
            </w:r>
          </w:p>
        </w:tc>
        <w:tc>
          <w:tcPr>
            <w:tcW w:w="160" w:type="dxa"/>
            <w:vAlign w:val="bottom"/>
          </w:tcPr>
          <w:p>
            <w:pPr>
              <w:spacing w:after="0"/>
              <w:rPr>
                <w:sz w:val="12"/>
                <w:szCs w:val="12"/>
                <w:color w:val="auto"/>
              </w:rPr>
            </w:pPr>
          </w:p>
        </w:tc>
        <w:tc>
          <w:tcPr>
            <w:tcW w:w="580" w:type="dxa"/>
            <w:vAlign w:val="bottom"/>
          </w:tcPr>
          <w:p>
            <w:pPr>
              <w:jc w:val="center"/>
              <w:spacing w:after="0" w:line="120" w:lineRule="exact"/>
              <w:rPr>
                <w:sz w:val="20"/>
                <w:szCs w:val="20"/>
                <w:color w:val="auto"/>
              </w:rPr>
            </w:pPr>
            <w:r>
              <w:rPr>
                <w:rFonts w:ascii="Arial" w:cs="Arial" w:eastAsia="Arial" w:hAnsi="Arial"/>
                <w:sz w:val="8"/>
                <w:szCs w:val="8"/>
                <w:b w:val="1"/>
                <w:bCs w:val="1"/>
                <w:color w:val="050505"/>
              </w:rPr>
              <w:t>($)</w:t>
            </w:r>
            <w:r>
              <w:rPr>
                <w:rFonts w:ascii="Arial" w:cs="Arial" w:eastAsia="Arial" w:hAnsi="Arial"/>
                <w:sz w:val="13"/>
                <w:szCs w:val="13"/>
                <w:b w:val="1"/>
                <w:bCs w:val="1"/>
                <w:color w:val="050505"/>
                <w:vertAlign w:val="superscript"/>
              </w:rPr>
              <w:t>(1)</w:t>
            </w:r>
          </w:p>
        </w:tc>
        <w:tc>
          <w:tcPr>
            <w:tcW w:w="900" w:type="dxa"/>
            <w:vAlign w:val="bottom"/>
            <w:gridSpan w:val="2"/>
          </w:tcPr>
          <w:p>
            <w:pPr>
              <w:jc w:val="center"/>
              <w:ind w:left="88"/>
              <w:spacing w:after="0" w:line="120" w:lineRule="exact"/>
              <w:rPr>
                <w:sz w:val="20"/>
                <w:szCs w:val="20"/>
                <w:color w:val="auto"/>
              </w:rPr>
            </w:pPr>
            <w:r>
              <w:rPr>
                <w:rFonts w:ascii="Arial" w:cs="Arial" w:eastAsia="Arial" w:hAnsi="Arial"/>
                <w:sz w:val="8"/>
                <w:szCs w:val="8"/>
                <w:b w:val="1"/>
                <w:bCs w:val="1"/>
                <w:color w:val="050505"/>
              </w:rPr>
              <w:t>($)</w:t>
            </w:r>
            <w:r>
              <w:rPr>
                <w:rFonts w:ascii="Arial" w:cs="Arial" w:eastAsia="Arial" w:hAnsi="Arial"/>
                <w:sz w:val="13"/>
                <w:szCs w:val="13"/>
                <w:b w:val="1"/>
                <w:bCs w:val="1"/>
                <w:color w:val="050505"/>
                <w:vertAlign w:val="superscript"/>
              </w:rPr>
              <w:t>(2)</w:t>
            </w:r>
          </w:p>
        </w:tc>
        <w:tc>
          <w:tcPr>
            <w:tcW w:w="920" w:type="dxa"/>
            <w:vAlign w:val="bottom"/>
            <w:gridSpan w:val="2"/>
          </w:tcPr>
          <w:p>
            <w:pPr>
              <w:jc w:val="center"/>
              <w:ind w:left="90"/>
              <w:spacing w:after="0" w:line="121" w:lineRule="exact"/>
              <w:rPr>
                <w:sz w:val="20"/>
                <w:szCs w:val="20"/>
                <w:color w:val="auto"/>
              </w:rPr>
            </w:pPr>
            <w:r>
              <w:rPr>
                <w:rFonts w:ascii="Arial" w:cs="Arial" w:eastAsia="Arial" w:hAnsi="Arial"/>
                <w:sz w:val="11"/>
                <w:szCs w:val="11"/>
                <w:b w:val="1"/>
                <w:bCs w:val="1"/>
                <w:color w:val="050505"/>
              </w:rPr>
              <w:t>($)</w:t>
            </w:r>
          </w:p>
        </w:tc>
        <w:tc>
          <w:tcPr>
            <w:tcW w:w="200" w:type="dxa"/>
            <w:vAlign w:val="bottom"/>
          </w:tcPr>
          <w:p>
            <w:pPr>
              <w:spacing w:after="0"/>
              <w:rPr>
                <w:sz w:val="12"/>
                <w:szCs w:val="12"/>
                <w:color w:val="auto"/>
              </w:rPr>
            </w:pPr>
          </w:p>
        </w:tc>
        <w:tc>
          <w:tcPr>
            <w:tcW w:w="600" w:type="dxa"/>
            <w:vAlign w:val="bottom"/>
          </w:tcPr>
          <w:p>
            <w:pPr>
              <w:jc w:val="right"/>
              <w:ind w:right="186"/>
              <w:spacing w:after="0" w:line="121" w:lineRule="exact"/>
              <w:rPr>
                <w:sz w:val="20"/>
                <w:szCs w:val="20"/>
                <w:color w:val="auto"/>
              </w:rPr>
            </w:pPr>
            <w:r>
              <w:rPr>
                <w:rFonts w:ascii="Arial" w:cs="Arial" w:eastAsia="Arial" w:hAnsi="Arial"/>
                <w:sz w:val="11"/>
                <w:szCs w:val="11"/>
                <w:b w:val="1"/>
                <w:bCs w:val="1"/>
                <w:color w:val="050505"/>
              </w:rPr>
              <w:t>($)</w:t>
            </w:r>
          </w:p>
        </w:tc>
        <w:tc>
          <w:tcPr>
            <w:tcW w:w="60" w:type="dxa"/>
            <w:vAlign w:val="bottom"/>
          </w:tcPr>
          <w:p>
            <w:pPr>
              <w:spacing w:after="0"/>
              <w:rPr>
                <w:sz w:val="12"/>
                <w:szCs w:val="12"/>
                <w:color w:val="auto"/>
              </w:rPr>
            </w:pPr>
          </w:p>
        </w:tc>
      </w:tr>
      <w:tr>
        <w:trPr>
          <w:trHeight w:val="95"/>
        </w:trPr>
        <w:tc>
          <w:tcPr>
            <w:tcW w:w="2540" w:type="dxa"/>
            <w:vAlign w:val="bottom"/>
            <w:tcBorders>
              <w:top w:val="single" w:sz="8" w:color="CCEEFF"/>
            </w:tcBorders>
            <w:gridSpan w:val="3"/>
            <w:shd w:val="clear" w:color="auto" w:fill="CCEEFF"/>
          </w:tcPr>
          <w:p>
            <w:pPr>
              <w:ind w:left="40"/>
              <w:spacing w:after="0" w:line="95" w:lineRule="exact"/>
              <w:rPr>
                <w:sz w:val="20"/>
                <w:szCs w:val="20"/>
                <w:color w:val="auto"/>
              </w:rPr>
            </w:pPr>
            <w:r>
              <w:rPr>
                <w:rFonts w:ascii="Arial" w:cs="Arial" w:eastAsia="Arial" w:hAnsi="Arial"/>
                <w:sz w:val="11"/>
                <w:szCs w:val="11"/>
                <w:color w:val="050505"/>
              </w:rPr>
              <w:t>John Foley</w:t>
            </w:r>
          </w:p>
        </w:tc>
        <w:tc>
          <w:tcPr>
            <w:tcW w:w="500" w:type="dxa"/>
            <w:vAlign w:val="bottom"/>
            <w:tcBorders>
              <w:top w:val="single" w:sz="8" w:color="CCEEFF"/>
            </w:tcBorders>
            <w:shd w:val="clear" w:color="auto" w:fill="CCEEFF"/>
          </w:tcPr>
          <w:p>
            <w:pPr>
              <w:spacing w:after="0"/>
              <w:rPr>
                <w:sz w:val="8"/>
                <w:szCs w:val="8"/>
                <w:color w:val="auto"/>
              </w:rPr>
            </w:pPr>
          </w:p>
        </w:tc>
        <w:tc>
          <w:tcPr>
            <w:tcW w:w="320" w:type="dxa"/>
            <w:vAlign w:val="bottom"/>
            <w:tcBorders>
              <w:top w:val="single" w:sz="8" w:color="auto"/>
            </w:tcBorders>
            <w:shd w:val="clear" w:color="auto" w:fill="CCEEFF"/>
          </w:tcPr>
          <w:p>
            <w:pPr>
              <w:jc w:val="right"/>
              <w:spacing w:after="0" w:line="95" w:lineRule="exact"/>
              <w:rPr>
                <w:sz w:val="20"/>
                <w:szCs w:val="20"/>
                <w:color w:val="auto"/>
              </w:rPr>
            </w:pPr>
            <w:r>
              <w:rPr>
                <w:rFonts w:ascii="Arial" w:cs="Arial" w:eastAsia="Arial" w:hAnsi="Arial"/>
                <w:sz w:val="11"/>
                <w:szCs w:val="11"/>
                <w:color w:val="050505"/>
              </w:rPr>
              <w:t>2019</w:t>
            </w:r>
          </w:p>
        </w:tc>
        <w:tc>
          <w:tcPr>
            <w:tcW w:w="140" w:type="dxa"/>
            <w:vAlign w:val="bottom"/>
            <w:tcBorders>
              <w:top w:val="single" w:sz="8" w:color="CCEEFF"/>
            </w:tcBorders>
            <w:shd w:val="clear" w:color="auto" w:fill="CCEEFF"/>
          </w:tcPr>
          <w:p>
            <w:pPr>
              <w:spacing w:after="0"/>
              <w:rPr>
                <w:sz w:val="8"/>
                <w:szCs w:val="8"/>
                <w:color w:val="auto"/>
              </w:rPr>
            </w:pPr>
          </w:p>
        </w:tc>
        <w:tc>
          <w:tcPr>
            <w:tcW w:w="440" w:type="dxa"/>
            <w:vAlign w:val="bottom"/>
            <w:tcBorders>
              <w:top w:val="single" w:sz="8" w:color="auto"/>
            </w:tcBorders>
            <w:shd w:val="clear" w:color="auto" w:fill="CCEEFF"/>
          </w:tcPr>
          <w:p>
            <w:pPr>
              <w:jc w:val="right"/>
              <w:spacing w:after="0" w:line="95" w:lineRule="exact"/>
              <w:rPr>
                <w:sz w:val="20"/>
                <w:szCs w:val="20"/>
                <w:color w:val="auto"/>
              </w:rPr>
            </w:pPr>
            <w:r>
              <w:rPr>
                <w:rFonts w:ascii="Arial" w:cs="Arial" w:eastAsia="Arial" w:hAnsi="Arial"/>
                <w:sz w:val="11"/>
                <w:szCs w:val="11"/>
                <w:color w:val="050505"/>
              </w:rPr>
              <w:t>500,000</w:t>
            </w:r>
          </w:p>
        </w:tc>
        <w:tc>
          <w:tcPr>
            <w:tcW w:w="160" w:type="dxa"/>
            <w:vAlign w:val="bottom"/>
            <w:tcBorders>
              <w:top w:val="single" w:sz="8" w:color="CCEEFF"/>
            </w:tcBorders>
            <w:shd w:val="clear" w:color="auto" w:fill="CCEEFF"/>
          </w:tcPr>
          <w:p>
            <w:pPr>
              <w:spacing w:after="0"/>
              <w:rPr>
                <w:sz w:val="8"/>
                <w:szCs w:val="8"/>
                <w:color w:val="auto"/>
              </w:rPr>
            </w:pPr>
          </w:p>
        </w:tc>
        <w:tc>
          <w:tcPr>
            <w:tcW w:w="580" w:type="dxa"/>
            <w:vAlign w:val="bottom"/>
            <w:tcBorders>
              <w:top w:val="single" w:sz="8" w:color="auto"/>
            </w:tcBorders>
            <w:shd w:val="clear" w:color="auto" w:fill="CCEEFF"/>
          </w:tcPr>
          <w:p>
            <w:pPr>
              <w:jc w:val="right"/>
              <w:spacing w:after="0" w:line="95" w:lineRule="exact"/>
              <w:rPr>
                <w:sz w:val="20"/>
                <w:szCs w:val="20"/>
                <w:color w:val="auto"/>
              </w:rPr>
            </w:pPr>
            <w:r>
              <w:rPr>
                <w:rFonts w:ascii="Arial" w:cs="Arial" w:eastAsia="Arial" w:hAnsi="Arial"/>
                <w:sz w:val="11"/>
                <w:szCs w:val="11"/>
                <w:color w:val="050505"/>
              </w:rPr>
              <w:t>20,109,700</w:t>
            </w:r>
          </w:p>
        </w:tc>
        <w:tc>
          <w:tcPr>
            <w:tcW w:w="160" w:type="dxa"/>
            <w:vAlign w:val="bottom"/>
            <w:tcBorders>
              <w:top w:val="single" w:sz="8" w:color="CCEEFF"/>
            </w:tcBorders>
            <w:shd w:val="clear" w:color="auto" w:fill="CCEEFF"/>
          </w:tcPr>
          <w:p>
            <w:pPr>
              <w:spacing w:after="0"/>
              <w:rPr>
                <w:sz w:val="8"/>
                <w:szCs w:val="8"/>
                <w:color w:val="auto"/>
              </w:rPr>
            </w:pPr>
          </w:p>
        </w:tc>
        <w:tc>
          <w:tcPr>
            <w:tcW w:w="740" w:type="dxa"/>
            <w:vAlign w:val="bottom"/>
            <w:tcBorders>
              <w:top w:val="single" w:sz="8" w:color="auto"/>
            </w:tcBorders>
            <w:shd w:val="clear" w:color="auto" w:fill="CCEEFF"/>
          </w:tcPr>
          <w:p>
            <w:pPr>
              <w:jc w:val="right"/>
              <w:spacing w:after="0" w:line="95" w:lineRule="exact"/>
              <w:rPr>
                <w:sz w:val="20"/>
                <w:szCs w:val="20"/>
                <w:color w:val="auto"/>
              </w:rPr>
            </w:pPr>
            <w:r>
              <w:rPr>
                <w:rFonts w:ascii="Arial" w:cs="Arial" w:eastAsia="Arial" w:hAnsi="Arial"/>
                <w:sz w:val="11"/>
                <w:szCs w:val="11"/>
                <w:color w:val="050505"/>
              </w:rPr>
              <w:t>750,000</w:t>
            </w:r>
          </w:p>
        </w:tc>
        <w:tc>
          <w:tcPr>
            <w:tcW w:w="160" w:type="dxa"/>
            <w:vAlign w:val="bottom"/>
            <w:tcBorders>
              <w:top w:val="single" w:sz="8" w:color="CCEEFF"/>
            </w:tcBorders>
            <w:shd w:val="clear" w:color="auto" w:fill="CCEEFF"/>
          </w:tcPr>
          <w:p>
            <w:pPr>
              <w:spacing w:after="0"/>
              <w:rPr>
                <w:sz w:val="8"/>
                <w:szCs w:val="8"/>
                <w:color w:val="auto"/>
              </w:rPr>
            </w:pPr>
          </w:p>
        </w:tc>
        <w:tc>
          <w:tcPr>
            <w:tcW w:w="760" w:type="dxa"/>
            <w:vAlign w:val="bottom"/>
            <w:tcBorders>
              <w:top w:val="single" w:sz="8" w:color="auto"/>
            </w:tcBorders>
            <w:shd w:val="clear" w:color="auto" w:fill="CCEEFF"/>
          </w:tcPr>
          <w:p>
            <w:pPr>
              <w:jc w:val="right"/>
              <w:spacing w:after="0" w:line="95" w:lineRule="exact"/>
              <w:rPr>
                <w:sz w:val="20"/>
                <w:szCs w:val="20"/>
                <w:color w:val="auto"/>
              </w:rPr>
            </w:pPr>
            <w:r>
              <w:rPr>
                <w:rFonts w:ascii="Arial" w:cs="Arial" w:eastAsia="Arial" w:hAnsi="Arial"/>
                <w:sz w:val="11"/>
                <w:szCs w:val="11"/>
                <w:color w:val="050505"/>
              </w:rPr>
              <w:t>—</w:t>
            </w:r>
          </w:p>
        </w:tc>
        <w:tc>
          <w:tcPr>
            <w:tcW w:w="200" w:type="dxa"/>
            <w:vAlign w:val="bottom"/>
            <w:tcBorders>
              <w:top w:val="single" w:sz="8" w:color="CCEEFF"/>
            </w:tcBorders>
            <w:shd w:val="clear" w:color="auto" w:fill="CCEEFF"/>
          </w:tcPr>
          <w:p>
            <w:pPr>
              <w:spacing w:after="0"/>
              <w:rPr>
                <w:sz w:val="8"/>
                <w:szCs w:val="8"/>
                <w:color w:val="auto"/>
              </w:rPr>
            </w:pPr>
          </w:p>
        </w:tc>
        <w:tc>
          <w:tcPr>
            <w:tcW w:w="600" w:type="dxa"/>
            <w:vAlign w:val="bottom"/>
            <w:tcBorders>
              <w:top w:val="single" w:sz="8" w:color="auto"/>
            </w:tcBorders>
            <w:shd w:val="clear" w:color="auto" w:fill="CCEEFF"/>
          </w:tcPr>
          <w:p>
            <w:pPr>
              <w:jc w:val="right"/>
              <w:spacing w:after="0" w:line="95" w:lineRule="exact"/>
              <w:rPr>
                <w:sz w:val="20"/>
                <w:szCs w:val="20"/>
                <w:color w:val="auto"/>
              </w:rPr>
            </w:pPr>
            <w:r>
              <w:rPr>
                <w:rFonts w:ascii="Arial" w:cs="Arial" w:eastAsia="Arial" w:hAnsi="Arial"/>
                <w:sz w:val="11"/>
                <w:szCs w:val="11"/>
                <w:color w:val="050505"/>
              </w:rPr>
              <w:t>21,359,700</w:t>
            </w:r>
          </w:p>
        </w:tc>
        <w:tc>
          <w:tcPr>
            <w:tcW w:w="60" w:type="dxa"/>
            <w:vAlign w:val="bottom"/>
            <w:tcBorders>
              <w:top w:val="single" w:sz="8" w:color="CCEEFF"/>
            </w:tcBorders>
            <w:shd w:val="clear" w:color="auto" w:fill="CCEEFF"/>
          </w:tcPr>
          <w:p>
            <w:pPr>
              <w:spacing w:after="0"/>
              <w:rPr>
                <w:sz w:val="8"/>
                <w:szCs w:val="8"/>
                <w:color w:val="auto"/>
              </w:rPr>
            </w:pPr>
          </w:p>
        </w:tc>
      </w:tr>
      <w:tr>
        <w:trPr>
          <w:trHeight w:val="126"/>
        </w:trPr>
        <w:tc>
          <w:tcPr>
            <w:tcW w:w="60" w:type="dxa"/>
            <w:vAlign w:val="bottom"/>
            <w:shd w:val="clear" w:color="auto" w:fill="CCEEFF"/>
          </w:tcPr>
          <w:p>
            <w:pPr>
              <w:spacing w:after="0"/>
              <w:rPr>
                <w:sz w:val="10"/>
                <w:szCs w:val="10"/>
                <w:color w:val="auto"/>
              </w:rPr>
            </w:pPr>
          </w:p>
        </w:tc>
        <w:tc>
          <w:tcPr>
            <w:tcW w:w="2480" w:type="dxa"/>
            <w:vAlign w:val="bottom"/>
            <w:gridSpan w:val="2"/>
            <w:shd w:val="clear" w:color="auto" w:fill="CCEEFF"/>
          </w:tcPr>
          <w:p>
            <w:pPr>
              <w:ind w:left="100"/>
              <w:spacing w:after="0"/>
              <w:rPr>
                <w:sz w:val="20"/>
                <w:szCs w:val="20"/>
                <w:color w:val="auto"/>
              </w:rPr>
            </w:pPr>
            <w:r>
              <w:rPr>
                <w:rFonts w:ascii="Arial" w:cs="Arial" w:eastAsia="Arial" w:hAnsi="Arial"/>
                <w:sz w:val="11"/>
                <w:szCs w:val="11"/>
                <w:i w:val="1"/>
                <w:iCs w:val="1"/>
                <w:color w:val="050505"/>
              </w:rPr>
              <w:t>Chairman of the Board of Directors and</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050505"/>
              </w:rPr>
              <w:t>2018</w:t>
            </w:r>
          </w:p>
        </w:tc>
        <w:tc>
          <w:tcPr>
            <w:tcW w:w="140" w:type="dxa"/>
            <w:vAlign w:val="bottom"/>
            <w:shd w:val="clear" w:color="auto" w:fill="CCEEFF"/>
          </w:tcPr>
          <w:p>
            <w:pPr>
              <w:spacing w:after="0"/>
              <w:rPr>
                <w:sz w:val="10"/>
                <w:szCs w:val="10"/>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1"/>
                <w:szCs w:val="11"/>
                <w:color w:val="050505"/>
              </w:rPr>
              <w:t>500,000</w:t>
            </w:r>
          </w:p>
        </w:tc>
        <w:tc>
          <w:tcPr>
            <w:tcW w:w="160" w:type="dxa"/>
            <w:vAlign w:val="bottom"/>
            <w:shd w:val="clear" w:color="auto" w:fill="CCEEFF"/>
          </w:tcPr>
          <w:p>
            <w:pPr>
              <w:spacing w:after="0"/>
              <w:rPr>
                <w:sz w:val="10"/>
                <w:szCs w:val="10"/>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1"/>
                <w:szCs w:val="11"/>
                <w:color w:val="050505"/>
              </w:rPr>
              <w:t>4,348,883</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050505"/>
              </w:rPr>
              <w:t>642,770</w:t>
            </w:r>
          </w:p>
        </w:tc>
        <w:tc>
          <w:tcPr>
            <w:tcW w:w="160" w:type="dxa"/>
            <w:vAlign w:val="bottom"/>
            <w:shd w:val="clear" w:color="auto" w:fill="CCEEFF"/>
          </w:tcPr>
          <w:p>
            <w:pPr>
              <w:spacing w:after="0"/>
              <w:rPr>
                <w:sz w:val="10"/>
                <w:szCs w:val="10"/>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1"/>
                <w:szCs w:val="11"/>
                <w:color w:val="050505"/>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1"/>
                <w:szCs w:val="11"/>
                <w:color w:val="050505"/>
              </w:rPr>
              <w:t>5,491,383</w:t>
            </w:r>
          </w:p>
        </w:tc>
        <w:tc>
          <w:tcPr>
            <w:tcW w:w="60" w:type="dxa"/>
            <w:vAlign w:val="bottom"/>
            <w:shd w:val="clear" w:color="auto" w:fill="CCEEFF"/>
          </w:tcPr>
          <w:p>
            <w:pPr>
              <w:spacing w:after="0"/>
              <w:rPr>
                <w:sz w:val="10"/>
                <w:szCs w:val="10"/>
                <w:color w:val="auto"/>
              </w:rPr>
            </w:pPr>
          </w:p>
        </w:tc>
      </w:tr>
      <w:tr>
        <w:trPr>
          <w:trHeight w:val="135"/>
        </w:trPr>
        <w:tc>
          <w:tcPr>
            <w:tcW w:w="60" w:type="dxa"/>
            <w:vAlign w:val="bottom"/>
            <w:shd w:val="clear" w:color="auto" w:fill="CCEEFF"/>
          </w:tcPr>
          <w:p>
            <w:pPr>
              <w:spacing w:after="0"/>
              <w:rPr>
                <w:sz w:val="11"/>
                <w:szCs w:val="11"/>
                <w:color w:val="auto"/>
              </w:rPr>
            </w:pPr>
          </w:p>
        </w:tc>
        <w:tc>
          <w:tcPr>
            <w:tcW w:w="2480" w:type="dxa"/>
            <w:vAlign w:val="bottom"/>
            <w:gridSpan w:val="2"/>
            <w:shd w:val="clear" w:color="auto" w:fill="CCEEFF"/>
          </w:tcPr>
          <w:p>
            <w:pPr>
              <w:ind w:left="100"/>
              <w:spacing w:after="0"/>
              <w:rPr>
                <w:sz w:val="20"/>
                <w:szCs w:val="20"/>
                <w:color w:val="auto"/>
              </w:rPr>
            </w:pPr>
            <w:r>
              <w:rPr>
                <w:rFonts w:ascii="Arial" w:cs="Arial" w:eastAsia="Arial" w:hAnsi="Arial"/>
                <w:sz w:val="11"/>
                <w:szCs w:val="11"/>
                <w:i w:val="1"/>
                <w:iCs w:val="1"/>
                <w:color w:val="050505"/>
              </w:rPr>
              <w:t>Chief Executive Officer</w:t>
            </w:r>
          </w:p>
        </w:tc>
        <w:tc>
          <w:tcPr>
            <w:tcW w:w="5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r>
      <w:tr>
        <w:trPr>
          <w:trHeight w:val="117"/>
        </w:trPr>
        <w:tc>
          <w:tcPr>
            <w:tcW w:w="2540" w:type="dxa"/>
            <w:vAlign w:val="bottom"/>
            <w:gridSpan w:val="3"/>
          </w:tcPr>
          <w:p>
            <w:pPr>
              <w:ind w:left="40"/>
              <w:spacing w:after="0" w:line="117" w:lineRule="exact"/>
              <w:rPr>
                <w:sz w:val="20"/>
                <w:szCs w:val="20"/>
                <w:color w:val="auto"/>
              </w:rPr>
            </w:pPr>
            <w:r>
              <w:rPr>
                <w:rFonts w:ascii="Arial" w:cs="Arial" w:eastAsia="Arial" w:hAnsi="Arial"/>
                <w:sz w:val="11"/>
                <w:szCs w:val="11"/>
                <w:color w:val="050505"/>
              </w:rPr>
              <w:t>William Lynch</w:t>
            </w:r>
          </w:p>
        </w:tc>
        <w:tc>
          <w:tcPr>
            <w:tcW w:w="820" w:type="dxa"/>
            <w:vAlign w:val="bottom"/>
            <w:gridSpan w:val="2"/>
          </w:tcPr>
          <w:p>
            <w:pPr>
              <w:jc w:val="right"/>
              <w:spacing w:after="0" w:line="117" w:lineRule="exact"/>
              <w:rPr>
                <w:sz w:val="20"/>
                <w:szCs w:val="20"/>
                <w:color w:val="auto"/>
              </w:rPr>
            </w:pPr>
            <w:r>
              <w:rPr>
                <w:rFonts w:ascii="Arial" w:cs="Arial" w:eastAsia="Arial" w:hAnsi="Arial"/>
                <w:sz w:val="11"/>
                <w:szCs w:val="11"/>
                <w:color w:val="050505"/>
              </w:rPr>
              <w:t>2019</w:t>
            </w:r>
          </w:p>
        </w:tc>
        <w:tc>
          <w:tcPr>
            <w:tcW w:w="140" w:type="dxa"/>
            <w:vAlign w:val="bottom"/>
          </w:tcPr>
          <w:p>
            <w:pPr>
              <w:spacing w:after="0"/>
              <w:rPr>
                <w:sz w:val="10"/>
                <w:szCs w:val="10"/>
                <w:color w:val="auto"/>
              </w:rPr>
            </w:pPr>
          </w:p>
        </w:tc>
        <w:tc>
          <w:tcPr>
            <w:tcW w:w="440" w:type="dxa"/>
            <w:vAlign w:val="bottom"/>
          </w:tcPr>
          <w:p>
            <w:pPr>
              <w:jc w:val="right"/>
              <w:spacing w:after="0" w:line="117" w:lineRule="exact"/>
              <w:rPr>
                <w:sz w:val="20"/>
                <w:szCs w:val="20"/>
                <w:color w:val="auto"/>
              </w:rPr>
            </w:pPr>
            <w:r>
              <w:rPr>
                <w:rFonts w:ascii="Arial" w:cs="Arial" w:eastAsia="Arial" w:hAnsi="Arial"/>
                <w:sz w:val="11"/>
                <w:szCs w:val="11"/>
                <w:color w:val="050505"/>
              </w:rPr>
              <w:t>500,000</w:t>
            </w:r>
          </w:p>
        </w:tc>
        <w:tc>
          <w:tcPr>
            <w:tcW w:w="160" w:type="dxa"/>
            <w:vAlign w:val="bottom"/>
          </w:tcPr>
          <w:p>
            <w:pPr>
              <w:spacing w:after="0"/>
              <w:rPr>
                <w:sz w:val="10"/>
                <w:szCs w:val="10"/>
                <w:color w:val="auto"/>
              </w:rPr>
            </w:pPr>
          </w:p>
        </w:tc>
        <w:tc>
          <w:tcPr>
            <w:tcW w:w="580" w:type="dxa"/>
            <w:vAlign w:val="bottom"/>
          </w:tcPr>
          <w:p>
            <w:pPr>
              <w:jc w:val="right"/>
              <w:spacing w:after="0" w:line="117" w:lineRule="exact"/>
              <w:rPr>
                <w:sz w:val="20"/>
                <w:szCs w:val="20"/>
                <w:color w:val="auto"/>
              </w:rPr>
            </w:pPr>
            <w:r>
              <w:rPr>
                <w:rFonts w:ascii="Arial" w:cs="Arial" w:eastAsia="Arial" w:hAnsi="Arial"/>
                <w:sz w:val="11"/>
                <w:szCs w:val="11"/>
                <w:color w:val="050505"/>
              </w:rPr>
              <w:t>20,109,700</w:t>
            </w:r>
          </w:p>
        </w:tc>
        <w:tc>
          <w:tcPr>
            <w:tcW w:w="900" w:type="dxa"/>
            <w:vAlign w:val="bottom"/>
            <w:gridSpan w:val="2"/>
          </w:tcPr>
          <w:p>
            <w:pPr>
              <w:jc w:val="right"/>
              <w:spacing w:after="0" w:line="117" w:lineRule="exact"/>
              <w:rPr>
                <w:sz w:val="20"/>
                <w:szCs w:val="20"/>
                <w:color w:val="auto"/>
              </w:rPr>
            </w:pPr>
            <w:r>
              <w:rPr>
                <w:rFonts w:ascii="Arial" w:cs="Arial" w:eastAsia="Arial" w:hAnsi="Arial"/>
                <w:sz w:val="11"/>
                <w:szCs w:val="11"/>
                <w:color w:val="050505"/>
              </w:rPr>
              <w:t>750,000</w:t>
            </w:r>
          </w:p>
        </w:tc>
        <w:tc>
          <w:tcPr>
            <w:tcW w:w="1120" w:type="dxa"/>
            <w:vAlign w:val="bottom"/>
            <w:gridSpan w:val="3"/>
          </w:tcPr>
          <w:p>
            <w:pPr>
              <w:jc w:val="right"/>
              <w:ind w:right="100"/>
              <w:spacing w:after="0" w:line="118" w:lineRule="exact"/>
              <w:rPr>
                <w:sz w:val="20"/>
                <w:szCs w:val="20"/>
                <w:color w:val="auto"/>
              </w:rPr>
            </w:pPr>
            <w:r>
              <w:rPr>
                <w:rFonts w:ascii="Arial" w:cs="Arial" w:eastAsia="Arial" w:hAnsi="Arial"/>
                <w:sz w:val="8"/>
                <w:szCs w:val="8"/>
                <w:color w:val="050505"/>
              </w:rPr>
              <w:t>49,152</w:t>
            </w:r>
            <w:r>
              <w:rPr>
                <w:rFonts w:ascii="Arial" w:cs="Arial" w:eastAsia="Arial" w:hAnsi="Arial"/>
                <w:sz w:val="13"/>
                <w:szCs w:val="13"/>
                <w:color w:val="050505"/>
                <w:vertAlign w:val="superscript"/>
              </w:rPr>
              <w:t>(3)</w:t>
            </w:r>
          </w:p>
        </w:tc>
        <w:tc>
          <w:tcPr>
            <w:tcW w:w="600" w:type="dxa"/>
            <w:vAlign w:val="bottom"/>
          </w:tcPr>
          <w:p>
            <w:pPr>
              <w:jc w:val="right"/>
              <w:spacing w:after="0" w:line="117" w:lineRule="exact"/>
              <w:rPr>
                <w:sz w:val="20"/>
                <w:szCs w:val="20"/>
                <w:color w:val="auto"/>
              </w:rPr>
            </w:pPr>
            <w:r>
              <w:rPr>
                <w:rFonts w:ascii="Arial" w:cs="Arial" w:eastAsia="Arial" w:hAnsi="Arial"/>
                <w:sz w:val="11"/>
                <w:szCs w:val="11"/>
                <w:color w:val="050505"/>
              </w:rPr>
              <w:t>21,408,852</w:t>
            </w:r>
          </w:p>
        </w:tc>
        <w:tc>
          <w:tcPr>
            <w:tcW w:w="60" w:type="dxa"/>
            <w:vAlign w:val="bottom"/>
          </w:tcPr>
          <w:p>
            <w:pPr>
              <w:spacing w:after="0"/>
              <w:rPr>
                <w:sz w:val="10"/>
                <w:szCs w:val="10"/>
                <w:color w:val="auto"/>
              </w:rPr>
            </w:pPr>
          </w:p>
        </w:tc>
      </w:tr>
      <w:tr>
        <w:trPr>
          <w:trHeight w:val="144"/>
        </w:trPr>
        <w:tc>
          <w:tcPr>
            <w:tcW w:w="60" w:type="dxa"/>
            <w:vAlign w:val="bottom"/>
          </w:tcPr>
          <w:p>
            <w:pPr>
              <w:spacing w:after="0"/>
              <w:rPr>
                <w:sz w:val="12"/>
                <w:szCs w:val="12"/>
                <w:color w:val="auto"/>
              </w:rPr>
            </w:pPr>
          </w:p>
        </w:tc>
        <w:tc>
          <w:tcPr>
            <w:tcW w:w="2480" w:type="dxa"/>
            <w:vAlign w:val="bottom"/>
            <w:gridSpan w:val="2"/>
          </w:tcPr>
          <w:p>
            <w:pPr>
              <w:ind w:left="100"/>
              <w:spacing w:after="0"/>
              <w:rPr>
                <w:sz w:val="20"/>
                <w:szCs w:val="20"/>
                <w:color w:val="auto"/>
              </w:rPr>
            </w:pPr>
            <w:r>
              <w:rPr>
                <w:rFonts w:ascii="Arial" w:cs="Arial" w:eastAsia="Arial" w:hAnsi="Arial"/>
                <w:sz w:val="11"/>
                <w:szCs w:val="11"/>
                <w:i w:val="1"/>
                <w:iCs w:val="1"/>
                <w:color w:val="050505"/>
              </w:rPr>
              <w:t>President</w:t>
            </w:r>
          </w:p>
        </w:tc>
        <w:tc>
          <w:tcPr>
            <w:tcW w:w="820" w:type="dxa"/>
            <w:vAlign w:val="bottom"/>
            <w:gridSpan w:val="2"/>
          </w:tcPr>
          <w:p>
            <w:pPr>
              <w:jc w:val="right"/>
              <w:spacing w:after="0"/>
              <w:rPr>
                <w:sz w:val="20"/>
                <w:szCs w:val="20"/>
                <w:color w:val="auto"/>
              </w:rPr>
            </w:pPr>
            <w:r>
              <w:rPr>
                <w:rFonts w:ascii="Arial" w:cs="Arial" w:eastAsia="Arial" w:hAnsi="Arial"/>
                <w:sz w:val="11"/>
                <w:szCs w:val="11"/>
                <w:color w:val="050505"/>
              </w:rPr>
              <w:t>2018</w:t>
            </w:r>
          </w:p>
        </w:tc>
        <w:tc>
          <w:tcPr>
            <w:tcW w:w="14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Arial" w:cs="Arial" w:eastAsia="Arial" w:hAnsi="Arial"/>
                <w:sz w:val="11"/>
                <w:szCs w:val="11"/>
                <w:color w:val="050505"/>
              </w:rPr>
              <w:t>500,000</w:t>
            </w:r>
          </w:p>
        </w:tc>
        <w:tc>
          <w:tcPr>
            <w:tcW w:w="16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050505"/>
              </w:rPr>
              <w:t>7,782,200</w:t>
            </w:r>
          </w:p>
        </w:tc>
        <w:tc>
          <w:tcPr>
            <w:tcW w:w="900" w:type="dxa"/>
            <w:vAlign w:val="bottom"/>
            <w:gridSpan w:val="2"/>
          </w:tcPr>
          <w:p>
            <w:pPr>
              <w:jc w:val="right"/>
              <w:spacing w:after="0"/>
              <w:rPr>
                <w:sz w:val="20"/>
                <w:szCs w:val="20"/>
                <w:color w:val="auto"/>
              </w:rPr>
            </w:pPr>
            <w:r>
              <w:rPr>
                <w:rFonts w:ascii="Arial" w:cs="Arial" w:eastAsia="Arial" w:hAnsi="Arial"/>
                <w:sz w:val="11"/>
                <w:szCs w:val="11"/>
                <w:color w:val="050505"/>
              </w:rPr>
              <w:t>642,770</w:t>
            </w:r>
          </w:p>
        </w:tc>
        <w:tc>
          <w:tcPr>
            <w:tcW w:w="1120" w:type="dxa"/>
            <w:vAlign w:val="bottom"/>
            <w:gridSpan w:val="3"/>
          </w:tcPr>
          <w:p>
            <w:pPr>
              <w:jc w:val="right"/>
              <w:ind w:right="100"/>
              <w:spacing w:after="0" w:line="144" w:lineRule="exact"/>
              <w:rPr>
                <w:sz w:val="20"/>
                <w:szCs w:val="20"/>
                <w:color w:val="auto"/>
              </w:rPr>
            </w:pPr>
            <w:r>
              <w:rPr>
                <w:rFonts w:ascii="Arial" w:cs="Arial" w:eastAsia="Arial" w:hAnsi="Arial"/>
                <w:sz w:val="10"/>
                <w:szCs w:val="10"/>
                <w:color w:val="050505"/>
              </w:rPr>
              <w:t>55,702</w:t>
            </w:r>
            <w:r>
              <w:rPr>
                <w:rFonts w:ascii="Arial" w:cs="Arial" w:eastAsia="Arial" w:hAnsi="Arial"/>
                <w:sz w:val="16"/>
                <w:szCs w:val="16"/>
                <w:color w:val="050505"/>
                <w:vertAlign w:val="superscript"/>
              </w:rPr>
              <w:t>(3)</w:t>
            </w:r>
          </w:p>
        </w:tc>
        <w:tc>
          <w:tcPr>
            <w:tcW w:w="600" w:type="dxa"/>
            <w:vAlign w:val="bottom"/>
          </w:tcPr>
          <w:p>
            <w:pPr>
              <w:jc w:val="right"/>
              <w:spacing w:after="0"/>
              <w:rPr>
                <w:sz w:val="20"/>
                <w:szCs w:val="20"/>
                <w:color w:val="auto"/>
              </w:rPr>
            </w:pPr>
            <w:r>
              <w:rPr>
                <w:rFonts w:ascii="Arial" w:cs="Arial" w:eastAsia="Arial" w:hAnsi="Arial"/>
                <w:sz w:val="11"/>
                <w:szCs w:val="11"/>
                <w:color w:val="050505"/>
              </w:rPr>
              <w:t>8,980,672</w:t>
            </w:r>
          </w:p>
        </w:tc>
        <w:tc>
          <w:tcPr>
            <w:tcW w:w="60" w:type="dxa"/>
            <w:vAlign w:val="bottom"/>
          </w:tcPr>
          <w:p>
            <w:pPr>
              <w:spacing w:after="0"/>
              <w:rPr>
                <w:sz w:val="12"/>
                <w:szCs w:val="12"/>
                <w:color w:val="auto"/>
              </w:rPr>
            </w:pPr>
          </w:p>
        </w:tc>
      </w:tr>
      <w:tr>
        <w:trPr>
          <w:trHeight w:val="117"/>
        </w:trPr>
        <w:tc>
          <w:tcPr>
            <w:tcW w:w="2540" w:type="dxa"/>
            <w:vAlign w:val="bottom"/>
            <w:gridSpan w:val="3"/>
            <w:shd w:val="clear" w:color="auto" w:fill="CCEEFF"/>
          </w:tcPr>
          <w:p>
            <w:pPr>
              <w:ind w:left="40"/>
              <w:spacing w:after="0" w:line="118" w:lineRule="exact"/>
              <w:rPr>
                <w:sz w:val="20"/>
                <w:szCs w:val="20"/>
                <w:color w:val="auto"/>
              </w:rPr>
            </w:pPr>
            <w:r>
              <w:rPr>
                <w:rFonts w:ascii="Arial" w:cs="Arial" w:eastAsia="Arial" w:hAnsi="Arial"/>
                <w:sz w:val="8"/>
                <w:szCs w:val="8"/>
                <w:color w:val="050505"/>
              </w:rPr>
              <w:t>Jill Woodworth</w:t>
            </w:r>
            <w:r>
              <w:rPr>
                <w:rFonts w:ascii="Arial" w:cs="Arial" w:eastAsia="Arial" w:hAnsi="Arial"/>
                <w:sz w:val="13"/>
                <w:szCs w:val="13"/>
                <w:color w:val="050505"/>
                <w:vertAlign w:val="superscript"/>
              </w:rPr>
              <w:t>(4)</w:t>
            </w:r>
          </w:p>
        </w:tc>
        <w:tc>
          <w:tcPr>
            <w:tcW w:w="820" w:type="dxa"/>
            <w:vAlign w:val="bottom"/>
            <w:gridSpan w:val="2"/>
            <w:shd w:val="clear" w:color="auto" w:fill="CCEEFF"/>
          </w:tcPr>
          <w:p>
            <w:pPr>
              <w:jc w:val="right"/>
              <w:spacing w:after="0" w:line="117" w:lineRule="exact"/>
              <w:rPr>
                <w:sz w:val="20"/>
                <w:szCs w:val="20"/>
                <w:color w:val="auto"/>
              </w:rPr>
            </w:pPr>
            <w:r>
              <w:rPr>
                <w:rFonts w:ascii="Arial" w:cs="Arial" w:eastAsia="Arial" w:hAnsi="Arial"/>
                <w:sz w:val="11"/>
                <w:szCs w:val="11"/>
                <w:color w:val="050505"/>
              </w:rPr>
              <w:t>2019</w:t>
            </w:r>
          </w:p>
        </w:tc>
        <w:tc>
          <w:tcPr>
            <w:tcW w:w="140" w:type="dxa"/>
            <w:vAlign w:val="bottom"/>
            <w:shd w:val="clear" w:color="auto" w:fill="CCEEFF"/>
          </w:tcPr>
          <w:p>
            <w:pPr>
              <w:spacing w:after="0"/>
              <w:rPr>
                <w:sz w:val="10"/>
                <w:szCs w:val="10"/>
                <w:color w:val="auto"/>
              </w:rPr>
            </w:pPr>
          </w:p>
        </w:tc>
        <w:tc>
          <w:tcPr>
            <w:tcW w:w="440" w:type="dxa"/>
            <w:vAlign w:val="bottom"/>
            <w:shd w:val="clear" w:color="auto" w:fill="CCEEFF"/>
          </w:tcPr>
          <w:p>
            <w:pPr>
              <w:jc w:val="right"/>
              <w:spacing w:after="0" w:line="117" w:lineRule="exact"/>
              <w:rPr>
                <w:sz w:val="20"/>
                <w:szCs w:val="20"/>
                <w:color w:val="auto"/>
              </w:rPr>
            </w:pPr>
            <w:r>
              <w:rPr>
                <w:rFonts w:ascii="Arial" w:cs="Arial" w:eastAsia="Arial" w:hAnsi="Arial"/>
                <w:sz w:val="11"/>
                <w:szCs w:val="11"/>
                <w:color w:val="050505"/>
              </w:rPr>
              <w:t>500,000</w:t>
            </w:r>
          </w:p>
        </w:tc>
        <w:tc>
          <w:tcPr>
            <w:tcW w:w="160" w:type="dxa"/>
            <w:vAlign w:val="bottom"/>
            <w:shd w:val="clear" w:color="auto" w:fill="CCEEFF"/>
          </w:tcPr>
          <w:p>
            <w:pPr>
              <w:spacing w:after="0"/>
              <w:rPr>
                <w:sz w:val="10"/>
                <w:szCs w:val="10"/>
                <w:color w:val="auto"/>
              </w:rPr>
            </w:pPr>
          </w:p>
        </w:tc>
        <w:tc>
          <w:tcPr>
            <w:tcW w:w="580" w:type="dxa"/>
            <w:vAlign w:val="bottom"/>
            <w:shd w:val="clear" w:color="auto" w:fill="CCEEFF"/>
          </w:tcPr>
          <w:p>
            <w:pPr>
              <w:jc w:val="right"/>
              <w:spacing w:after="0" w:line="117" w:lineRule="exact"/>
              <w:rPr>
                <w:sz w:val="20"/>
                <w:szCs w:val="20"/>
                <w:color w:val="auto"/>
              </w:rPr>
            </w:pPr>
            <w:r>
              <w:rPr>
                <w:rFonts w:ascii="Arial" w:cs="Arial" w:eastAsia="Arial" w:hAnsi="Arial"/>
                <w:sz w:val="11"/>
                <w:szCs w:val="11"/>
                <w:color w:val="050505"/>
              </w:rPr>
              <w:t>9,730,500</w:t>
            </w:r>
          </w:p>
        </w:tc>
        <w:tc>
          <w:tcPr>
            <w:tcW w:w="900" w:type="dxa"/>
            <w:vAlign w:val="bottom"/>
            <w:gridSpan w:val="2"/>
            <w:shd w:val="clear" w:color="auto" w:fill="CCEEFF"/>
          </w:tcPr>
          <w:p>
            <w:pPr>
              <w:jc w:val="right"/>
              <w:spacing w:after="0" w:line="117" w:lineRule="exact"/>
              <w:rPr>
                <w:sz w:val="20"/>
                <w:szCs w:val="20"/>
                <w:color w:val="auto"/>
              </w:rPr>
            </w:pPr>
            <w:r>
              <w:rPr>
                <w:rFonts w:ascii="Arial" w:cs="Arial" w:eastAsia="Arial" w:hAnsi="Arial"/>
                <w:sz w:val="11"/>
                <w:szCs w:val="11"/>
                <w:color w:val="050505"/>
              </w:rPr>
              <w:t>750,000</w:t>
            </w:r>
          </w:p>
        </w:tc>
        <w:tc>
          <w:tcPr>
            <w:tcW w:w="160" w:type="dxa"/>
            <w:vAlign w:val="bottom"/>
            <w:shd w:val="clear" w:color="auto" w:fill="CCEEFF"/>
          </w:tcPr>
          <w:p>
            <w:pPr>
              <w:spacing w:after="0"/>
              <w:rPr>
                <w:sz w:val="10"/>
                <w:szCs w:val="10"/>
                <w:color w:val="auto"/>
              </w:rPr>
            </w:pPr>
          </w:p>
        </w:tc>
        <w:tc>
          <w:tcPr>
            <w:tcW w:w="960" w:type="dxa"/>
            <w:vAlign w:val="bottom"/>
            <w:gridSpan w:val="2"/>
            <w:shd w:val="clear" w:color="auto" w:fill="CCEEFF"/>
          </w:tcPr>
          <w:p>
            <w:pPr>
              <w:jc w:val="right"/>
              <w:ind w:right="200"/>
              <w:spacing w:after="0" w:line="117" w:lineRule="exact"/>
              <w:rPr>
                <w:sz w:val="20"/>
                <w:szCs w:val="20"/>
                <w:color w:val="auto"/>
              </w:rPr>
            </w:pPr>
            <w:r>
              <w:rPr>
                <w:rFonts w:ascii="Arial" w:cs="Arial" w:eastAsia="Arial" w:hAnsi="Arial"/>
                <w:sz w:val="11"/>
                <w:szCs w:val="11"/>
                <w:color w:val="050505"/>
              </w:rPr>
              <w:t>—</w:t>
            </w:r>
          </w:p>
        </w:tc>
        <w:tc>
          <w:tcPr>
            <w:tcW w:w="600" w:type="dxa"/>
            <w:vAlign w:val="bottom"/>
            <w:shd w:val="clear" w:color="auto" w:fill="CCEEFF"/>
          </w:tcPr>
          <w:p>
            <w:pPr>
              <w:jc w:val="right"/>
              <w:spacing w:after="0" w:line="117" w:lineRule="exact"/>
              <w:rPr>
                <w:sz w:val="20"/>
                <w:szCs w:val="20"/>
                <w:color w:val="auto"/>
              </w:rPr>
            </w:pPr>
            <w:r>
              <w:rPr>
                <w:rFonts w:ascii="Arial" w:cs="Arial" w:eastAsia="Arial" w:hAnsi="Arial"/>
                <w:sz w:val="11"/>
                <w:szCs w:val="11"/>
                <w:color w:val="050505"/>
              </w:rPr>
              <w:t>10,980,500</w:t>
            </w:r>
          </w:p>
        </w:tc>
        <w:tc>
          <w:tcPr>
            <w:tcW w:w="60" w:type="dxa"/>
            <w:vAlign w:val="bottom"/>
            <w:shd w:val="clear" w:color="auto" w:fill="CCEEFF"/>
          </w:tcPr>
          <w:p>
            <w:pPr>
              <w:spacing w:after="0"/>
              <w:rPr>
                <w:sz w:val="10"/>
                <w:szCs w:val="10"/>
                <w:color w:val="auto"/>
              </w:rPr>
            </w:pPr>
          </w:p>
        </w:tc>
      </w:tr>
      <w:tr>
        <w:trPr>
          <w:trHeight w:val="144"/>
        </w:trPr>
        <w:tc>
          <w:tcPr>
            <w:tcW w:w="60" w:type="dxa"/>
            <w:vAlign w:val="bottom"/>
            <w:shd w:val="clear" w:color="auto" w:fill="CCEEFF"/>
          </w:tcPr>
          <w:p>
            <w:pPr>
              <w:spacing w:after="0"/>
              <w:rPr>
                <w:sz w:val="12"/>
                <w:szCs w:val="12"/>
                <w:color w:val="auto"/>
              </w:rPr>
            </w:pPr>
          </w:p>
        </w:tc>
        <w:tc>
          <w:tcPr>
            <w:tcW w:w="2480" w:type="dxa"/>
            <w:vAlign w:val="bottom"/>
            <w:gridSpan w:val="2"/>
            <w:shd w:val="clear" w:color="auto" w:fill="CCEEFF"/>
          </w:tcPr>
          <w:p>
            <w:pPr>
              <w:ind w:left="100"/>
              <w:spacing w:after="0"/>
              <w:rPr>
                <w:sz w:val="20"/>
                <w:szCs w:val="20"/>
                <w:color w:val="auto"/>
              </w:rPr>
            </w:pPr>
            <w:r>
              <w:rPr>
                <w:rFonts w:ascii="Arial" w:cs="Arial" w:eastAsia="Arial" w:hAnsi="Arial"/>
                <w:sz w:val="11"/>
                <w:szCs w:val="11"/>
                <w:i w:val="1"/>
                <w:iCs w:val="1"/>
                <w:color w:val="050505"/>
              </w:rPr>
              <w:t>Chief Financial Officer</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050505"/>
              </w:rPr>
              <w:t>2018</w:t>
            </w:r>
          </w:p>
        </w:tc>
        <w:tc>
          <w:tcPr>
            <w:tcW w:w="14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1"/>
                <w:szCs w:val="11"/>
                <w:color w:val="050505"/>
              </w:rPr>
              <w:t>92,949</w:t>
            </w: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1"/>
                <w:szCs w:val="11"/>
                <w:color w:val="050505"/>
              </w:rPr>
              <w:t>3,360,486</w:t>
            </w: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1"/>
                <w:szCs w:val="11"/>
                <w:color w:val="050505"/>
              </w:rPr>
              <w:t>—</w:t>
            </w:r>
          </w:p>
        </w:tc>
        <w:tc>
          <w:tcPr>
            <w:tcW w:w="16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1"/>
                <w:szCs w:val="11"/>
                <w:color w:val="050505"/>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1"/>
                <w:szCs w:val="11"/>
                <w:color w:val="050505"/>
              </w:rPr>
              <w:t>3,453,435</w:t>
            </w:r>
          </w:p>
        </w:tc>
        <w:tc>
          <w:tcPr>
            <w:tcW w:w="60" w:type="dxa"/>
            <w:vAlign w:val="bottom"/>
            <w:shd w:val="clear" w:color="auto" w:fill="CCEEFF"/>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1310640</wp:posOffset>
            </wp:positionH>
            <wp:positionV relativeFrom="paragraph">
              <wp:posOffset>57150</wp:posOffset>
            </wp:positionV>
            <wp:extent cx="1212215" cy="571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1212215" cy="5715"/>
                    </a:xfrm>
                    <a:prstGeom prst="rect">
                      <a:avLst/>
                    </a:prstGeom>
                    <a:noFill/>
                  </pic:spPr>
                </pic:pic>
              </a:graphicData>
            </a:graphic>
          </wp:anchor>
        </w:drawing>
      </w:r>
    </w:p>
    <w:p>
      <w:pPr>
        <w:spacing w:after="0" w:line="102" w:lineRule="exact"/>
        <w:rPr>
          <w:sz w:val="20"/>
          <w:szCs w:val="20"/>
          <w:color w:val="auto"/>
        </w:rPr>
      </w:pPr>
    </w:p>
    <w:p>
      <w:pPr>
        <w:jc w:val="both"/>
        <w:ind w:left="2280" w:right="839" w:hanging="221"/>
        <w:spacing w:after="0" w:line="241" w:lineRule="auto"/>
        <w:tabs>
          <w:tab w:leader="none" w:pos="2280" w:val="left"/>
        </w:tabs>
        <w:numPr>
          <w:ilvl w:val="0"/>
          <w:numId w:val="81"/>
        </w:numPr>
        <w:rPr>
          <w:rFonts w:ascii="Arial" w:cs="Arial" w:eastAsia="Arial" w:hAnsi="Arial"/>
          <w:sz w:val="8"/>
          <w:szCs w:val="8"/>
          <w:color w:val="050505"/>
        </w:rPr>
      </w:pPr>
      <w:r>
        <w:rPr>
          <w:rFonts w:ascii="Arial" w:cs="Arial" w:eastAsia="Arial" w:hAnsi="Arial"/>
          <w:sz w:val="8"/>
          <w:szCs w:val="8"/>
          <w:color w:val="050505"/>
        </w:rPr>
        <w:t>The amounts reported in the Option Awards column represent the grant date fair value of the stock options granted to our Named Executive Officers during fiscal 2018 and fiscal 2019 as computed in accordance with FASB Accounting Standards Codification Topic 718. The assumptions used in calculating the grant date fair value of the stock options reported in the Option Awards column are set forth in Note 13 of the notes to our consolidated financial statements included elsewhere in this prospectus. Note that the amounts reported in this column reflect the accounting cost for these stock options and do not correspond to the actual economic value that may be received by our Named Executive Officers from the stock options.</w:t>
      </w:r>
    </w:p>
    <w:p>
      <w:pPr>
        <w:spacing w:after="0" w:line="35" w:lineRule="exact"/>
        <w:rPr>
          <w:rFonts w:ascii="Arial" w:cs="Arial" w:eastAsia="Arial" w:hAnsi="Arial"/>
          <w:sz w:val="8"/>
          <w:szCs w:val="8"/>
          <w:color w:val="050505"/>
        </w:rPr>
      </w:pPr>
    </w:p>
    <w:p>
      <w:pPr>
        <w:ind w:left="2280" w:right="839" w:hanging="221"/>
        <w:spacing w:after="0" w:line="256" w:lineRule="auto"/>
        <w:tabs>
          <w:tab w:leader="none" w:pos="2280" w:val="left"/>
        </w:tabs>
        <w:numPr>
          <w:ilvl w:val="0"/>
          <w:numId w:val="81"/>
        </w:numPr>
        <w:rPr>
          <w:rFonts w:ascii="Arial" w:cs="Arial" w:eastAsia="Arial" w:hAnsi="Arial"/>
          <w:sz w:val="8"/>
          <w:szCs w:val="8"/>
          <w:color w:val="050505"/>
        </w:rPr>
      </w:pPr>
      <w:r>
        <w:rPr>
          <w:rFonts w:ascii="Arial" w:cs="Arial" w:eastAsia="Arial" w:hAnsi="Arial"/>
          <w:sz w:val="8"/>
          <w:szCs w:val="8"/>
          <w:color w:val="050505"/>
        </w:rPr>
        <w:t>The amounts reported represent the amounts earned based upon achievement of certain performance goals under our executive bonus program. Payments for fiscal 2018 and fiscal 2019 are described in greater detail in the section titled “—Non-Equity Incentive Plan Compensation.”</w:t>
      </w:r>
    </w:p>
    <w:p>
      <w:pPr>
        <w:spacing w:after="0" w:line="28" w:lineRule="exact"/>
        <w:rPr>
          <w:rFonts w:ascii="Arial" w:cs="Arial" w:eastAsia="Arial" w:hAnsi="Arial"/>
          <w:sz w:val="8"/>
          <w:szCs w:val="8"/>
          <w:color w:val="050505"/>
        </w:rPr>
      </w:pPr>
    </w:p>
    <w:p>
      <w:pPr>
        <w:ind w:left="2280" w:right="839" w:hanging="221"/>
        <w:spacing w:after="0" w:line="256" w:lineRule="auto"/>
        <w:tabs>
          <w:tab w:leader="none" w:pos="2280" w:val="left"/>
        </w:tabs>
        <w:numPr>
          <w:ilvl w:val="0"/>
          <w:numId w:val="81"/>
        </w:numPr>
        <w:rPr>
          <w:rFonts w:ascii="Arial" w:cs="Arial" w:eastAsia="Arial" w:hAnsi="Arial"/>
          <w:sz w:val="8"/>
          <w:szCs w:val="8"/>
          <w:color w:val="050505"/>
        </w:rPr>
      </w:pPr>
      <w:r>
        <w:rPr>
          <w:rFonts w:ascii="Arial" w:cs="Arial" w:eastAsia="Arial" w:hAnsi="Arial"/>
          <w:sz w:val="8"/>
          <w:szCs w:val="8"/>
          <w:color w:val="050505"/>
        </w:rPr>
        <w:t>The amount reported represents reimbursements for expenses incurred while commuting between Mr. Lynch’s primary residence in Virginia and our corporate headquarters in New York, including costs related to personal and familial use of commercial and chartered aircrafts. These costs are calculated as the actual amounts reimbursed or paid by us for the flights.</w:t>
      </w:r>
    </w:p>
    <w:p>
      <w:pPr>
        <w:spacing w:after="0" w:line="28" w:lineRule="exact"/>
        <w:rPr>
          <w:rFonts w:ascii="Arial" w:cs="Arial" w:eastAsia="Arial" w:hAnsi="Arial"/>
          <w:sz w:val="8"/>
          <w:szCs w:val="8"/>
          <w:color w:val="050505"/>
        </w:rPr>
      </w:pPr>
    </w:p>
    <w:p>
      <w:pPr>
        <w:ind w:left="2280" w:hanging="221"/>
        <w:spacing w:after="0"/>
        <w:tabs>
          <w:tab w:leader="none" w:pos="2280" w:val="left"/>
        </w:tabs>
        <w:numPr>
          <w:ilvl w:val="0"/>
          <w:numId w:val="81"/>
        </w:numPr>
        <w:rPr>
          <w:rFonts w:ascii="Arial" w:cs="Arial" w:eastAsia="Arial" w:hAnsi="Arial"/>
          <w:sz w:val="8"/>
          <w:szCs w:val="8"/>
          <w:color w:val="050505"/>
        </w:rPr>
      </w:pPr>
      <w:r>
        <w:rPr>
          <w:rFonts w:ascii="Arial" w:cs="Arial" w:eastAsia="Arial" w:hAnsi="Arial"/>
          <w:sz w:val="8"/>
          <w:szCs w:val="8"/>
          <w:color w:val="050505"/>
        </w:rPr>
        <w:t>Ms. Woodworth joined us as our Chief Financial Officer in April 2018.</w:t>
      </w:r>
    </w:p>
    <w:p>
      <w:pPr>
        <w:spacing w:after="0" w:line="208" w:lineRule="exact"/>
        <w:rPr>
          <w:sz w:val="20"/>
          <w:szCs w:val="20"/>
          <w:color w:val="auto"/>
        </w:rPr>
      </w:pPr>
    </w:p>
    <w:p>
      <w:pPr>
        <w:ind w:left="2060"/>
        <w:spacing w:after="0"/>
        <w:rPr>
          <w:sz w:val="20"/>
          <w:szCs w:val="20"/>
          <w:color w:val="auto"/>
        </w:rPr>
      </w:pPr>
      <w:r>
        <w:rPr>
          <w:rFonts w:ascii="Arial" w:cs="Arial" w:eastAsia="Arial" w:hAnsi="Arial"/>
          <w:sz w:val="11"/>
          <w:szCs w:val="11"/>
          <w:b w:val="1"/>
          <w:bCs w:val="1"/>
          <w:u w:val="single" w:color="auto"/>
          <w:color w:val="auto"/>
        </w:rPr>
        <w:t>Equity Compensation</w:t>
      </w:r>
    </w:p>
    <w:p>
      <w:pPr>
        <w:spacing w:after="0" w:line="12" w:lineRule="exact"/>
        <w:rPr>
          <w:sz w:val="20"/>
          <w:szCs w:val="20"/>
          <w:color w:val="auto"/>
        </w:rPr>
      </w:pPr>
    </w:p>
    <w:p>
      <w:pPr>
        <w:jc w:val="both"/>
        <w:ind w:left="2060" w:right="839"/>
        <w:spacing w:after="0" w:line="241" w:lineRule="auto"/>
        <w:rPr>
          <w:sz w:val="20"/>
          <w:szCs w:val="20"/>
          <w:color w:val="auto"/>
        </w:rPr>
      </w:pPr>
      <w:r>
        <w:rPr>
          <w:rFonts w:ascii="Arial" w:cs="Arial" w:eastAsia="Arial" w:hAnsi="Arial"/>
          <w:sz w:val="11"/>
          <w:szCs w:val="11"/>
          <w:color w:val="050505"/>
        </w:rPr>
        <w:t>From time to time, we have granted equity awards in the form of stock options to our Named Executive Officers, which are generally subject to vesting based on each of our Named Executive Officer’s continued service with us. Each of our Named Executive Officers currently holds outstanding stock options to purchase shares of our Class B common stock that were granted under our 2015 Plan, as set forth in the “Outstanding Equity Awards at Fiscal Year-End Table” below.</w:t>
      </w:r>
    </w:p>
    <w:p>
      <w:pPr>
        <w:spacing w:after="0" w:line="201" w:lineRule="exact"/>
        <w:rPr>
          <w:sz w:val="20"/>
          <w:szCs w:val="20"/>
          <w:color w:val="auto"/>
        </w:rPr>
      </w:pPr>
    </w:p>
    <w:p>
      <w:pPr>
        <w:ind w:left="2060"/>
        <w:spacing w:after="0"/>
        <w:rPr>
          <w:sz w:val="20"/>
          <w:szCs w:val="20"/>
          <w:color w:val="auto"/>
        </w:rPr>
      </w:pPr>
      <w:r>
        <w:rPr>
          <w:rFonts w:ascii="Arial" w:cs="Arial" w:eastAsia="Arial" w:hAnsi="Arial"/>
          <w:sz w:val="11"/>
          <w:szCs w:val="11"/>
          <w:b w:val="1"/>
          <w:bCs w:val="1"/>
          <w:u w:val="single" w:color="auto"/>
          <w:color w:val="auto"/>
        </w:rPr>
        <w:t>Non-Equity Incentive Plan Compensation</w:t>
      </w:r>
    </w:p>
    <w:p>
      <w:pPr>
        <w:spacing w:after="0" w:line="12" w:lineRule="exact"/>
        <w:rPr>
          <w:sz w:val="20"/>
          <w:szCs w:val="20"/>
          <w:color w:val="auto"/>
        </w:rPr>
      </w:pPr>
    </w:p>
    <w:p>
      <w:pPr>
        <w:jc w:val="both"/>
        <w:ind w:left="2060" w:right="839"/>
        <w:spacing w:after="0"/>
        <w:rPr>
          <w:sz w:val="20"/>
          <w:szCs w:val="20"/>
          <w:color w:val="auto"/>
        </w:rPr>
      </w:pPr>
      <w:r>
        <w:rPr>
          <w:rFonts w:ascii="Arial" w:cs="Arial" w:eastAsia="Arial" w:hAnsi="Arial"/>
          <w:sz w:val="11"/>
          <w:szCs w:val="11"/>
          <w:color w:val="050505"/>
        </w:rPr>
        <w:t>Messrs. Foley and Lynch participated in our executive bonus program during fiscal 2018 and fiscal 2019. Incentives under our executive bonus program were payable annually based on our achievement of certain company performance metrics, including global net revenue and adjusted EBITDA. For fiscal 2018, the target bonus amounts were $500,000 for Messrs. Foley and Lynch. For fiscal 2019, the target bonus amounts were $750,000 for Ms. Woodworth and Messrs. Foley and Lynch. Amounts earned by Messrs. Foley and Lynch for fiscal 2018 and Ms. Woodworth and Messrs. Foley and Lynch for fiscal 2019 under the executive bonus program are set forth in the Summary Compensation Table above in the Non-Equity Incentive Plan Compensation column.</w:t>
      </w:r>
    </w:p>
    <w:p>
      <w:pPr>
        <w:spacing w:after="0" w:line="97" w:lineRule="exact"/>
        <w:rPr>
          <w:sz w:val="20"/>
          <w:szCs w:val="20"/>
          <w:color w:val="auto"/>
        </w:rPr>
      </w:pPr>
    </w:p>
    <w:p>
      <w:pPr>
        <w:ind w:left="5640"/>
        <w:spacing w:after="0"/>
        <w:rPr>
          <w:sz w:val="20"/>
          <w:szCs w:val="20"/>
          <w:color w:val="auto"/>
        </w:rPr>
      </w:pPr>
      <w:r>
        <w:rPr>
          <w:rFonts w:ascii="Arial" w:cs="Arial" w:eastAsia="Arial" w:hAnsi="Arial"/>
          <w:sz w:val="11"/>
          <w:szCs w:val="11"/>
          <w:color w:val="050505"/>
        </w:rPr>
        <w:t>121</w:t>
      </w:r>
    </w:p>
    <w:p>
      <w:pPr>
        <w:sectPr>
          <w:pgSz w:w="11900" w:h="16838" w:orient="portrait"/>
          <w:cols w:equalWidth="0" w:num="1">
            <w:col w:w="10239"/>
          </w:cols>
          <w:pgMar w:left="220" w:top="354" w:right="1440" w:bottom="1440" w:gutter="0" w:footer="0" w:header="0"/>
        </w:sectPr>
      </w:pPr>
    </w:p>
    <w:bookmarkStart w:id="131" w:name="page132"/>
    <w:bookmarkEnd w:id="131"/>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hyperlink w:anchor="page5">
        <w:r>
          <w:rPr>
            <w:rFonts w:ascii="Arial" w:cs="Arial" w:eastAsia="Arial" w:hAnsi="Arial"/>
            <w:sz w:val="12"/>
            <w:szCs w:val="12"/>
            <w:b w:val="1"/>
            <w:bCs w:val="1"/>
            <w:u w:val="single" w:color="auto"/>
            <w:color w:val="0000EE"/>
          </w:rPr>
          <w:t>Table of Contents</w:t>
        </w:r>
      </w:hyperlink>
    </w:p>
    <w:p>
      <w:pPr>
        <w:spacing w:after="0" w:line="204" w:lineRule="exact"/>
        <w:rPr>
          <w:sz w:val="20"/>
          <w:szCs w:val="20"/>
          <w:color w:val="auto"/>
        </w:rPr>
      </w:pPr>
    </w:p>
    <w:p>
      <w:pPr>
        <w:ind w:left="2060"/>
        <w:spacing w:after="0"/>
        <w:rPr>
          <w:sz w:val="20"/>
          <w:szCs w:val="20"/>
          <w:color w:val="auto"/>
        </w:rPr>
      </w:pPr>
      <w:r>
        <w:rPr>
          <w:rFonts w:ascii="Arial" w:cs="Arial" w:eastAsia="Arial" w:hAnsi="Arial"/>
          <w:sz w:val="11"/>
          <w:szCs w:val="11"/>
          <w:b w:val="1"/>
          <w:bCs w:val="1"/>
          <w:u w:val="single" w:color="auto"/>
          <w:color w:val="auto"/>
        </w:rPr>
        <w:t>Offer Letters and Employment Arrangements</w:t>
      </w:r>
    </w:p>
    <w:p>
      <w:pPr>
        <w:spacing w:after="0" w:line="144" w:lineRule="exact"/>
        <w:rPr>
          <w:sz w:val="20"/>
          <w:szCs w:val="20"/>
          <w:color w:val="auto"/>
        </w:rPr>
      </w:pPr>
    </w:p>
    <w:p>
      <w:pPr>
        <w:ind w:left="2060"/>
        <w:spacing w:after="0"/>
        <w:rPr>
          <w:sz w:val="20"/>
          <w:szCs w:val="20"/>
          <w:color w:val="auto"/>
        </w:rPr>
      </w:pPr>
      <w:r>
        <w:rPr>
          <w:rFonts w:ascii="Arial" w:cs="Arial" w:eastAsia="Arial" w:hAnsi="Arial"/>
          <w:sz w:val="11"/>
          <w:szCs w:val="11"/>
          <w:b w:val="1"/>
          <w:bCs w:val="1"/>
          <w:i w:val="1"/>
          <w:iCs w:val="1"/>
          <w:color w:val="auto"/>
        </w:rPr>
        <w:t>Employment Arrangements with our Named Executive Officers</w:t>
      </w:r>
    </w:p>
    <w:p>
      <w:pPr>
        <w:spacing w:after="0" w:line="12" w:lineRule="exact"/>
        <w:rPr>
          <w:sz w:val="20"/>
          <w:szCs w:val="20"/>
          <w:color w:val="auto"/>
        </w:rPr>
      </w:pPr>
    </w:p>
    <w:p>
      <w:pPr>
        <w:jc w:val="both"/>
        <w:ind w:left="2060" w:right="839"/>
        <w:spacing w:after="0" w:line="241" w:lineRule="auto"/>
        <w:rPr>
          <w:sz w:val="20"/>
          <w:szCs w:val="20"/>
          <w:color w:val="auto"/>
        </w:rPr>
      </w:pPr>
      <w:r>
        <w:rPr>
          <w:rFonts w:ascii="Arial" w:cs="Arial" w:eastAsia="Arial" w:hAnsi="Arial"/>
          <w:sz w:val="11"/>
          <w:szCs w:val="11"/>
          <w:color w:val="050505"/>
        </w:rPr>
        <w:t>We entered into written offer letters with Mr. Lynch and Ms. Woodworth in January 2017 and December 2017, respectively. We further entered into a written offer letter with Mr. Foley to memorialize the terms of his employment in September 2019. The foregoing offer letters set forth the terms and conditions of employment of each Named Executive Officer, including such executive’s initial base salary, target bonus, stock option grants and employee benefit plan participation.</w:t>
      </w:r>
    </w:p>
    <w:p>
      <w:pPr>
        <w:spacing w:after="0" w:line="201" w:lineRule="exact"/>
        <w:rPr>
          <w:sz w:val="20"/>
          <w:szCs w:val="20"/>
          <w:color w:val="auto"/>
        </w:rPr>
      </w:pPr>
    </w:p>
    <w:p>
      <w:pPr>
        <w:ind w:left="2060"/>
        <w:spacing w:after="0"/>
        <w:rPr>
          <w:sz w:val="20"/>
          <w:szCs w:val="20"/>
          <w:color w:val="auto"/>
        </w:rPr>
      </w:pPr>
      <w:r>
        <w:rPr>
          <w:rFonts w:ascii="Arial" w:cs="Arial" w:eastAsia="Arial" w:hAnsi="Arial"/>
          <w:sz w:val="11"/>
          <w:szCs w:val="11"/>
          <w:b w:val="1"/>
          <w:bCs w:val="1"/>
          <w:i w:val="1"/>
          <w:iCs w:val="1"/>
          <w:color w:val="auto"/>
        </w:rPr>
        <w:t>Potential Payments upon Termination or Change in Control</w:t>
      </w:r>
    </w:p>
    <w:p>
      <w:pPr>
        <w:spacing w:after="0" w:line="12" w:lineRule="exact"/>
        <w:rPr>
          <w:sz w:val="20"/>
          <w:szCs w:val="20"/>
          <w:color w:val="auto"/>
        </w:rPr>
      </w:pPr>
    </w:p>
    <w:p>
      <w:pPr>
        <w:jc w:val="both"/>
        <w:ind w:left="2060" w:right="839"/>
        <w:spacing w:after="0" w:line="263" w:lineRule="auto"/>
        <w:rPr>
          <w:sz w:val="20"/>
          <w:szCs w:val="20"/>
          <w:color w:val="auto"/>
        </w:rPr>
      </w:pPr>
      <w:r>
        <w:rPr>
          <w:rFonts w:ascii="Arial" w:cs="Arial" w:eastAsia="Arial" w:hAnsi="Arial"/>
          <w:sz w:val="10"/>
          <w:szCs w:val="10"/>
          <w:color w:val="050505"/>
        </w:rPr>
        <w:t>Each of our officers, including our named executive officers, is also a participant in our Severance and Change in Control Plan, or the Severance Plan. Pursuant the Severance Plan and their respective participation agreements, if any of our Named Executive Officers is terminated without “cause” or resigns for “good reason” (as such terms are defined in the Severance Plan), he or she will be entitled to receive a cash amount, equal to his or her (i) annual base salary payable in 12 monthly installments, (ii) target bonus for the fiscal year in which the termination occurs, pro-rated to reflect the partial year of service and (iii) any annual bonus earned for our prior fiscal year to the extent not yet paid, with each of the foregoing bonus amounts in clauses</w:t>
      </w:r>
    </w:p>
    <w:p>
      <w:pPr>
        <w:jc w:val="both"/>
        <w:ind w:left="2060" w:right="839" w:hanging="1"/>
        <w:spacing w:after="0"/>
        <w:tabs>
          <w:tab w:leader="none" w:pos="2212" w:val="left"/>
        </w:tabs>
        <w:numPr>
          <w:ilvl w:val="0"/>
          <w:numId w:val="82"/>
        </w:numPr>
        <w:rPr>
          <w:rFonts w:ascii="Arial" w:cs="Arial" w:eastAsia="Arial" w:hAnsi="Arial"/>
          <w:sz w:val="11"/>
          <w:szCs w:val="11"/>
          <w:color w:val="050505"/>
        </w:rPr>
      </w:pPr>
      <w:r>
        <w:rPr>
          <w:rFonts w:ascii="Arial" w:cs="Arial" w:eastAsia="Arial" w:hAnsi="Arial"/>
          <w:sz w:val="11"/>
          <w:szCs w:val="11"/>
          <w:color w:val="050505"/>
        </w:rPr>
        <w:t>and (iii) payable in a lump-sum. In addition, the Named Executive Officer will be entitled to continued coverage under our group-healthcare plans for a period ending on the earlier of (x) 12 months following the termination date and (y) the date that the Named Executive Officer and his or her covered dependents become eligible for coverage under another employer’s plans. In addition, each outstanding equity award that vests subject to the Named Executive Officer’s continued service will automatically become vested and exercisable, as applicable, with respect to that number of shares that would have vested in the 12 month period following such termination had he or she remained employed during that period. After giving effect to the foregoing acceleration, each vested stock option then held by the Named Executive Officer will remain exercisable for 12 months following the executive’s termination of service, or if earlier, the original expiration date of such option.</w:t>
      </w:r>
    </w:p>
    <w:p>
      <w:pPr>
        <w:spacing w:after="0" w:line="141" w:lineRule="exact"/>
        <w:rPr>
          <w:sz w:val="20"/>
          <w:szCs w:val="20"/>
          <w:color w:val="auto"/>
        </w:rPr>
      </w:pPr>
    </w:p>
    <w:p>
      <w:pPr>
        <w:jc w:val="both"/>
        <w:ind w:left="2060" w:right="839"/>
        <w:spacing w:after="0" w:line="239" w:lineRule="auto"/>
        <w:rPr>
          <w:sz w:val="20"/>
          <w:szCs w:val="20"/>
          <w:color w:val="auto"/>
        </w:rPr>
      </w:pPr>
      <w:r>
        <w:rPr>
          <w:rFonts w:ascii="Arial" w:cs="Arial" w:eastAsia="Arial" w:hAnsi="Arial"/>
          <w:sz w:val="11"/>
          <w:szCs w:val="11"/>
          <w:color w:val="050505"/>
        </w:rPr>
        <w:t>In the event that the Named Executive Officer is terminated without “cause” or resigns for “good reason” within 12 months following a “change in control” of us (as such terms are defined in the Severance Plan), then in lieu of the foregoing, he or she will be entitled to receive a cash amount, payable in a lump sum, equal to (i) 1.5 times his or her annual base salary, (ii) his or her target bonus for the fiscal year in which the termination occurs and (iii) any annual bonus earned for our prior fiscal year to the extent not yet paid. In addition, the Named Executive Officer will be entitled to continued coverage under our group-healthcare plans for a period ending on the earlier of (x) 18 months following the termination date and (y) the date that the Named Executive Officer and his or her covered dependents become eligible for coverage under another employer’s plans. In addition, each outstanding equity award that vests subject to the Named Executive Officer’s continued service will automatically become vested and exercisable in full, and any vested stock option held by the Named Executive Officer after giving effect to the foregoing acceleration will remain exercisable for 12 months following the executive’s termination of service, or if earlier, the original expiration date of such option. The vesting of any outstanding equity award that is not assumed by a successor company following a change in control of us will automatically accelerate in full without regard to the Named Executive Officer’s termination of service.</w:t>
      </w:r>
    </w:p>
    <w:p>
      <w:pPr>
        <w:spacing w:after="0" w:line="146" w:lineRule="exact"/>
        <w:rPr>
          <w:sz w:val="20"/>
          <w:szCs w:val="20"/>
          <w:color w:val="auto"/>
        </w:rPr>
      </w:pPr>
    </w:p>
    <w:p>
      <w:pPr>
        <w:jc w:val="both"/>
        <w:ind w:left="2060" w:right="839"/>
        <w:spacing w:after="0"/>
        <w:rPr>
          <w:sz w:val="20"/>
          <w:szCs w:val="20"/>
          <w:color w:val="auto"/>
        </w:rPr>
      </w:pPr>
      <w:r>
        <w:rPr>
          <w:rFonts w:ascii="Arial" w:cs="Arial" w:eastAsia="Arial" w:hAnsi="Arial"/>
          <w:sz w:val="11"/>
          <w:szCs w:val="11"/>
          <w:color w:val="050505"/>
        </w:rPr>
        <w:t>All such severance payments and benefits are subject to each Named Executive Officer’s execution of a general release of claims against us, and his or her agreement to certain non-compete, non-solicitation and non-disparagement covenants and compliance with certain other provisions set forth in his or her offer letter or employment agreement and in the Severance Plan. The terms of the Severance Plan supersede all prior agreements with our Named Executive Officers, including their respective individual offer letters and employment agreements, with respect to any severance payments and benefits, equity acceleration or post-termination exercise periods to which any such Named Executive Officers may be entitled upon a termination of service or change in control of us.</w:t>
      </w:r>
    </w:p>
    <w:p>
      <w:pPr>
        <w:spacing w:after="0" w:line="97" w:lineRule="exact"/>
        <w:rPr>
          <w:sz w:val="20"/>
          <w:szCs w:val="20"/>
          <w:color w:val="auto"/>
        </w:rPr>
      </w:pPr>
    </w:p>
    <w:p>
      <w:pPr>
        <w:ind w:left="5640"/>
        <w:spacing w:after="0"/>
        <w:rPr>
          <w:sz w:val="20"/>
          <w:szCs w:val="20"/>
          <w:color w:val="auto"/>
        </w:rPr>
      </w:pPr>
      <w:r>
        <w:rPr>
          <w:rFonts w:ascii="Arial" w:cs="Arial" w:eastAsia="Arial" w:hAnsi="Arial"/>
          <w:sz w:val="11"/>
          <w:szCs w:val="11"/>
          <w:color w:val="050505"/>
        </w:rPr>
        <w:t>122</w:t>
      </w:r>
    </w:p>
    <w:p>
      <w:pPr>
        <w:sectPr>
          <w:pgSz w:w="11900" w:h="16838" w:orient="portrait"/>
          <w:cols w:equalWidth="0" w:num="1">
            <w:col w:w="10239"/>
          </w:cols>
          <w:pgMar w:left="220" w:top="354" w:right="1440" w:bottom="1440" w:gutter="0" w:footer="0" w:header="0"/>
        </w:sectPr>
      </w:pPr>
    </w:p>
    <w:bookmarkStart w:id="132" w:name="page133"/>
    <w:bookmarkEnd w:id="132"/>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hyperlink w:anchor="page5">
        <w:r>
          <w:rPr>
            <w:rFonts w:ascii="Arial" w:cs="Arial" w:eastAsia="Arial" w:hAnsi="Arial"/>
            <w:sz w:val="12"/>
            <w:szCs w:val="12"/>
            <w:b w:val="1"/>
            <w:bCs w:val="1"/>
            <w:u w:val="single" w:color="auto"/>
            <w:color w:val="0000EE"/>
          </w:rPr>
          <w:t>Table of Contents</w:t>
        </w:r>
      </w:hyperlink>
    </w:p>
    <w:p>
      <w:pPr>
        <w:spacing w:after="0" w:line="204" w:lineRule="exact"/>
        <w:rPr>
          <w:sz w:val="20"/>
          <w:szCs w:val="20"/>
          <w:color w:val="auto"/>
        </w:rPr>
      </w:pPr>
    </w:p>
    <w:p>
      <w:pPr>
        <w:ind w:left="2060"/>
        <w:spacing w:after="0"/>
        <w:rPr>
          <w:sz w:val="20"/>
          <w:szCs w:val="20"/>
          <w:color w:val="auto"/>
        </w:rPr>
      </w:pPr>
      <w:r>
        <w:rPr>
          <w:rFonts w:ascii="Arial" w:cs="Arial" w:eastAsia="Arial" w:hAnsi="Arial"/>
          <w:sz w:val="11"/>
          <w:szCs w:val="11"/>
          <w:b w:val="1"/>
          <w:bCs w:val="1"/>
          <w:u w:val="single" w:color="auto"/>
          <w:color w:val="auto"/>
        </w:rPr>
        <w:t>Outstanding Equity Awards at Fiscal Year-End Table</w:t>
      </w:r>
    </w:p>
    <w:p>
      <w:pPr>
        <w:spacing w:after="0" w:line="12" w:lineRule="exact"/>
        <w:rPr>
          <w:sz w:val="20"/>
          <w:szCs w:val="20"/>
          <w:color w:val="auto"/>
        </w:rPr>
      </w:pPr>
    </w:p>
    <w:p>
      <w:pPr>
        <w:ind w:left="2060"/>
        <w:spacing w:after="0"/>
        <w:rPr>
          <w:sz w:val="20"/>
          <w:szCs w:val="20"/>
          <w:color w:val="auto"/>
        </w:rPr>
      </w:pPr>
      <w:r>
        <w:rPr>
          <w:rFonts w:ascii="Arial" w:cs="Arial" w:eastAsia="Arial" w:hAnsi="Arial"/>
          <w:sz w:val="11"/>
          <w:szCs w:val="11"/>
          <w:color w:val="050505"/>
        </w:rPr>
        <w:t>The following table presents, for each of our Named Executive Officers, information regarding outstanding equity awards held as of June 30, 2019.</w:t>
      </w:r>
    </w:p>
    <w:p>
      <w:pPr>
        <w:spacing w:after="0" w:line="80" w:lineRule="exact"/>
        <w:rPr>
          <w:sz w:val="20"/>
          <w:szCs w:val="20"/>
          <w:color w:val="auto"/>
        </w:rPr>
      </w:pPr>
    </w:p>
    <w:tbl>
      <w:tblPr>
        <w:tblLayout w:type="fixed"/>
        <w:tblInd w:w="2060" w:type="dxa"/>
        <w:tblCellMar>
          <w:top w:w="0" w:type="dxa"/>
          <w:left w:w="0" w:type="dxa"/>
          <w:bottom w:w="0" w:type="dxa"/>
          <w:right w:w="0" w:type="dxa"/>
        </w:tblCellMar>
      </w:tblPr>
      <w:tr>
        <w:trPr>
          <w:trHeight w:val="207"/>
        </w:trPr>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gridSpan w:val="3"/>
          </w:tcPr>
          <w:p>
            <w:pPr>
              <w:jc w:val="right"/>
              <w:ind w:right="146"/>
              <w:spacing w:after="0"/>
              <w:rPr>
                <w:sz w:val="20"/>
                <w:szCs w:val="20"/>
                <w:color w:val="auto"/>
              </w:rPr>
            </w:pPr>
            <w:r>
              <w:rPr>
                <w:rFonts w:ascii="Arial" w:cs="Arial" w:eastAsia="Arial" w:hAnsi="Arial"/>
                <w:sz w:val="11"/>
                <w:szCs w:val="11"/>
                <w:b w:val="1"/>
                <w:bCs w:val="1"/>
                <w:color w:val="050505"/>
              </w:rPr>
              <w:t>Option Awards</w:t>
            </w:r>
            <w:r>
              <w:rPr>
                <w:rFonts w:ascii="Arial" w:cs="Arial" w:eastAsia="Arial" w:hAnsi="Arial"/>
                <w:sz w:val="18"/>
                <w:szCs w:val="18"/>
                <w:b w:val="1"/>
                <w:bCs w:val="1"/>
                <w:color w:val="050505"/>
                <w:vertAlign w:val="superscript"/>
              </w:rPr>
              <w:t>(1)</w:t>
            </w:r>
          </w:p>
        </w:tc>
        <w:tc>
          <w:tcPr>
            <w:tcW w:w="14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60" w:type="dxa"/>
            <w:vAlign w:val="bottom"/>
          </w:tcPr>
          <w:p>
            <w:pPr>
              <w:spacing w:after="0"/>
              <w:rPr>
                <w:sz w:val="17"/>
                <w:szCs w:val="17"/>
                <w:color w:val="auto"/>
              </w:rPr>
            </w:pPr>
          </w:p>
        </w:tc>
      </w:tr>
      <w:tr>
        <w:trPr>
          <w:trHeight w:val="104"/>
        </w:trPr>
        <w:tc>
          <w:tcPr>
            <w:tcW w:w="60" w:type="dxa"/>
            <w:vAlign w:val="bottom"/>
          </w:tcPr>
          <w:p>
            <w:pPr>
              <w:spacing w:after="0"/>
              <w:rPr>
                <w:sz w:val="9"/>
                <w:szCs w:val="9"/>
                <w:color w:val="auto"/>
              </w:rPr>
            </w:pPr>
          </w:p>
        </w:tc>
        <w:tc>
          <w:tcPr>
            <w:tcW w:w="300" w:type="dxa"/>
            <w:vAlign w:val="bottom"/>
          </w:tcPr>
          <w:p>
            <w:pPr>
              <w:spacing w:after="0"/>
              <w:rPr>
                <w:sz w:val="9"/>
                <w:szCs w:val="9"/>
                <w:color w:val="auto"/>
              </w:rPr>
            </w:pPr>
          </w:p>
        </w:tc>
        <w:tc>
          <w:tcPr>
            <w:tcW w:w="840" w:type="dxa"/>
            <w:vAlign w:val="bottom"/>
          </w:tcPr>
          <w:p>
            <w:pPr>
              <w:spacing w:after="0"/>
              <w:rPr>
                <w:sz w:val="9"/>
                <w:szCs w:val="9"/>
                <w:color w:val="auto"/>
              </w:rPr>
            </w:pPr>
          </w:p>
        </w:tc>
        <w:tc>
          <w:tcPr>
            <w:tcW w:w="460" w:type="dxa"/>
            <w:vAlign w:val="bottom"/>
          </w:tcPr>
          <w:p>
            <w:pPr>
              <w:spacing w:after="0"/>
              <w:rPr>
                <w:sz w:val="9"/>
                <w:szCs w:val="9"/>
                <w:color w:val="auto"/>
              </w:rPr>
            </w:pPr>
          </w:p>
        </w:tc>
        <w:tc>
          <w:tcPr>
            <w:tcW w:w="860" w:type="dxa"/>
            <w:vAlign w:val="bottom"/>
          </w:tcPr>
          <w:p>
            <w:pPr>
              <w:spacing w:after="0"/>
              <w:rPr>
                <w:sz w:val="9"/>
                <w:szCs w:val="9"/>
                <w:color w:val="auto"/>
              </w:rPr>
            </w:pPr>
          </w:p>
        </w:tc>
        <w:tc>
          <w:tcPr>
            <w:tcW w:w="240" w:type="dxa"/>
            <w:vAlign w:val="bottom"/>
          </w:tcPr>
          <w:p>
            <w:pPr>
              <w:spacing w:after="0"/>
              <w:rPr>
                <w:sz w:val="9"/>
                <w:szCs w:val="9"/>
                <w:color w:val="auto"/>
              </w:rPr>
            </w:pPr>
          </w:p>
        </w:tc>
        <w:tc>
          <w:tcPr>
            <w:tcW w:w="60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0" w:type="dxa"/>
            <w:vAlign w:val="bottom"/>
            <w:gridSpan w:val="2"/>
          </w:tcPr>
          <w:p>
            <w:pPr>
              <w:jc w:val="center"/>
              <w:ind w:left="86"/>
              <w:spacing w:after="0" w:line="105" w:lineRule="exact"/>
              <w:rPr>
                <w:sz w:val="20"/>
                <w:szCs w:val="20"/>
                <w:color w:val="auto"/>
              </w:rPr>
            </w:pPr>
            <w:r>
              <w:rPr>
                <w:rFonts w:ascii="Arial" w:cs="Arial" w:eastAsia="Arial" w:hAnsi="Arial"/>
                <w:sz w:val="11"/>
                <w:szCs w:val="11"/>
                <w:b w:val="1"/>
                <w:bCs w:val="1"/>
                <w:color w:val="050505"/>
                <w:w w:val="97"/>
              </w:rPr>
              <w:t>Equity Incentive</w:t>
            </w:r>
          </w:p>
        </w:tc>
        <w:tc>
          <w:tcPr>
            <w:tcW w:w="14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60" w:type="dxa"/>
            <w:vAlign w:val="bottom"/>
          </w:tcPr>
          <w:p>
            <w:pPr>
              <w:spacing w:after="0"/>
              <w:rPr>
                <w:sz w:val="9"/>
                <w:szCs w:val="9"/>
                <w:color w:val="auto"/>
              </w:rPr>
            </w:pPr>
          </w:p>
        </w:tc>
      </w:tr>
      <w:tr>
        <w:trPr>
          <w:trHeight w:val="126"/>
        </w:trPr>
        <w:tc>
          <w:tcPr>
            <w:tcW w:w="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40" w:type="dxa"/>
            <w:vAlign w:val="bottom"/>
          </w:tcPr>
          <w:p>
            <w:pPr>
              <w:jc w:val="center"/>
              <w:spacing w:after="0"/>
              <w:rPr>
                <w:sz w:val="20"/>
                <w:szCs w:val="20"/>
                <w:color w:val="auto"/>
              </w:rPr>
            </w:pPr>
            <w:r>
              <w:rPr>
                <w:rFonts w:ascii="Arial" w:cs="Arial" w:eastAsia="Arial" w:hAnsi="Arial"/>
                <w:sz w:val="11"/>
                <w:szCs w:val="11"/>
                <w:b w:val="1"/>
                <w:bCs w:val="1"/>
                <w:color w:val="050505"/>
                <w:w w:val="97"/>
              </w:rPr>
              <w:t>Plan Awards:</w:t>
            </w:r>
          </w:p>
        </w:tc>
        <w:tc>
          <w:tcPr>
            <w:tcW w:w="1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r>
      <w:tr>
        <w:trPr>
          <w:trHeight w:val="126"/>
        </w:trPr>
        <w:tc>
          <w:tcPr>
            <w:tcW w:w="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jc w:val="center"/>
              <w:spacing w:after="0"/>
              <w:rPr>
                <w:sz w:val="20"/>
                <w:szCs w:val="20"/>
                <w:color w:val="auto"/>
              </w:rPr>
            </w:pPr>
            <w:r>
              <w:rPr>
                <w:rFonts w:ascii="Arial" w:cs="Arial" w:eastAsia="Arial" w:hAnsi="Arial"/>
                <w:sz w:val="11"/>
                <w:szCs w:val="11"/>
                <w:b w:val="1"/>
                <w:bCs w:val="1"/>
                <w:color w:val="050505"/>
                <w:w w:val="98"/>
              </w:rPr>
              <w:t>Number of</w:t>
            </w:r>
          </w:p>
        </w:tc>
        <w:tc>
          <w:tcPr>
            <w:tcW w:w="160" w:type="dxa"/>
            <w:vAlign w:val="bottom"/>
          </w:tcPr>
          <w:p>
            <w:pPr>
              <w:spacing w:after="0"/>
              <w:rPr>
                <w:sz w:val="10"/>
                <w:szCs w:val="10"/>
                <w:color w:val="auto"/>
              </w:rPr>
            </w:pPr>
          </w:p>
        </w:tc>
        <w:tc>
          <w:tcPr>
            <w:tcW w:w="720" w:type="dxa"/>
            <w:vAlign w:val="bottom"/>
          </w:tcPr>
          <w:p>
            <w:pPr>
              <w:jc w:val="center"/>
              <w:spacing w:after="0"/>
              <w:rPr>
                <w:sz w:val="20"/>
                <w:szCs w:val="20"/>
                <w:color w:val="auto"/>
              </w:rPr>
            </w:pPr>
            <w:r>
              <w:rPr>
                <w:rFonts w:ascii="Arial" w:cs="Arial" w:eastAsia="Arial" w:hAnsi="Arial"/>
                <w:sz w:val="11"/>
                <w:szCs w:val="11"/>
                <w:b w:val="1"/>
                <w:bCs w:val="1"/>
                <w:color w:val="050505"/>
                <w:w w:val="98"/>
              </w:rPr>
              <w:t>Number of</w:t>
            </w:r>
          </w:p>
        </w:tc>
        <w:tc>
          <w:tcPr>
            <w:tcW w:w="160" w:type="dxa"/>
            <w:vAlign w:val="bottom"/>
          </w:tcPr>
          <w:p>
            <w:pPr>
              <w:spacing w:after="0"/>
              <w:rPr>
                <w:sz w:val="10"/>
                <w:szCs w:val="10"/>
                <w:color w:val="auto"/>
              </w:rPr>
            </w:pPr>
          </w:p>
        </w:tc>
        <w:tc>
          <w:tcPr>
            <w:tcW w:w="840" w:type="dxa"/>
            <w:vAlign w:val="bottom"/>
          </w:tcPr>
          <w:p>
            <w:pPr>
              <w:jc w:val="center"/>
              <w:spacing w:after="0"/>
              <w:rPr>
                <w:sz w:val="20"/>
                <w:szCs w:val="20"/>
                <w:color w:val="auto"/>
              </w:rPr>
            </w:pPr>
            <w:r>
              <w:rPr>
                <w:rFonts w:ascii="Arial" w:cs="Arial" w:eastAsia="Arial" w:hAnsi="Arial"/>
                <w:sz w:val="11"/>
                <w:szCs w:val="11"/>
                <w:b w:val="1"/>
                <w:bCs w:val="1"/>
                <w:color w:val="050505"/>
                <w:w w:val="98"/>
              </w:rPr>
              <w:t>Number of</w:t>
            </w:r>
          </w:p>
        </w:tc>
        <w:tc>
          <w:tcPr>
            <w:tcW w:w="1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r>
      <w:tr>
        <w:trPr>
          <w:trHeight w:val="126"/>
        </w:trPr>
        <w:tc>
          <w:tcPr>
            <w:tcW w:w="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jc w:val="center"/>
              <w:spacing w:after="0"/>
              <w:rPr>
                <w:sz w:val="20"/>
                <w:szCs w:val="20"/>
                <w:color w:val="auto"/>
              </w:rPr>
            </w:pPr>
            <w:r>
              <w:rPr>
                <w:rFonts w:ascii="Arial" w:cs="Arial" w:eastAsia="Arial" w:hAnsi="Arial"/>
                <w:sz w:val="11"/>
                <w:szCs w:val="11"/>
                <w:b w:val="1"/>
                <w:bCs w:val="1"/>
                <w:color w:val="050505"/>
                <w:w w:val="98"/>
              </w:rPr>
              <w:t>Securities</w:t>
            </w:r>
          </w:p>
        </w:tc>
        <w:tc>
          <w:tcPr>
            <w:tcW w:w="160" w:type="dxa"/>
            <w:vAlign w:val="bottom"/>
          </w:tcPr>
          <w:p>
            <w:pPr>
              <w:spacing w:after="0"/>
              <w:rPr>
                <w:sz w:val="10"/>
                <w:szCs w:val="10"/>
                <w:color w:val="auto"/>
              </w:rPr>
            </w:pPr>
          </w:p>
        </w:tc>
        <w:tc>
          <w:tcPr>
            <w:tcW w:w="720" w:type="dxa"/>
            <w:vAlign w:val="bottom"/>
          </w:tcPr>
          <w:p>
            <w:pPr>
              <w:jc w:val="center"/>
              <w:spacing w:after="0"/>
              <w:rPr>
                <w:sz w:val="20"/>
                <w:szCs w:val="20"/>
                <w:color w:val="auto"/>
              </w:rPr>
            </w:pPr>
            <w:r>
              <w:rPr>
                <w:rFonts w:ascii="Arial" w:cs="Arial" w:eastAsia="Arial" w:hAnsi="Arial"/>
                <w:sz w:val="11"/>
                <w:szCs w:val="11"/>
                <w:b w:val="1"/>
                <w:bCs w:val="1"/>
                <w:color w:val="050505"/>
                <w:w w:val="98"/>
              </w:rPr>
              <w:t>Securities</w:t>
            </w:r>
          </w:p>
        </w:tc>
        <w:tc>
          <w:tcPr>
            <w:tcW w:w="160" w:type="dxa"/>
            <w:vAlign w:val="bottom"/>
          </w:tcPr>
          <w:p>
            <w:pPr>
              <w:spacing w:after="0"/>
              <w:rPr>
                <w:sz w:val="10"/>
                <w:szCs w:val="10"/>
                <w:color w:val="auto"/>
              </w:rPr>
            </w:pPr>
          </w:p>
        </w:tc>
        <w:tc>
          <w:tcPr>
            <w:tcW w:w="840" w:type="dxa"/>
            <w:vAlign w:val="bottom"/>
          </w:tcPr>
          <w:p>
            <w:pPr>
              <w:jc w:val="center"/>
              <w:spacing w:after="0"/>
              <w:rPr>
                <w:sz w:val="20"/>
                <w:szCs w:val="20"/>
                <w:color w:val="auto"/>
              </w:rPr>
            </w:pPr>
            <w:r>
              <w:rPr>
                <w:rFonts w:ascii="Arial" w:cs="Arial" w:eastAsia="Arial" w:hAnsi="Arial"/>
                <w:sz w:val="11"/>
                <w:szCs w:val="11"/>
                <w:b w:val="1"/>
                <w:bCs w:val="1"/>
                <w:color w:val="050505"/>
                <w:w w:val="98"/>
              </w:rPr>
              <w:t>Securities</w:t>
            </w:r>
          </w:p>
        </w:tc>
        <w:tc>
          <w:tcPr>
            <w:tcW w:w="1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r>
      <w:tr>
        <w:trPr>
          <w:trHeight w:val="126"/>
        </w:trPr>
        <w:tc>
          <w:tcPr>
            <w:tcW w:w="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jc w:val="center"/>
              <w:spacing w:after="0"/>
              <w:rPr>
                <w:sz w:val="20"/>
                <w:szCs w:val="20"/>
                <w:color w:val="auto"/>
              </w:rPr>
            </w:pPr>
            <w:r>
              <w:rPr>
                <w:rFonts w:ascii="Arial" w:cs="Arial" w:eastAsia="Arial" w:hAnsi="Arial"/>
                <w:sz w:val="11"/>
                <w:szCs w:val="11"/>
                <w:b w:val="1"/>
                <w:bCs w:val="1"/>
                <w:color w:val="050505"/>
                <w:w w:val="97"/>
              </w:rPr>
              <w:t>Underlying</w:t>
            </w:r>
          </w:p>
        </w:tc>
        <w:tc>
          <w:tcPr>
            <w:tcW w:w="160" w:type="dxa"/>
            <w:vAlign w:val="bottom"/>
          </w:tcPr>
          <w:p>
            <w:pPr>
              <w:spacing w:after="0"/>
              <w:rPr>
                <w:sz w:val="10"/>
                <w:szCs w:val="10"/>
                <w:color w:val="auto"/>
              </w:rPr>
            </w:pPr>
          </w:p>
        </w:tc>
        <w:tc>
          <w:tcPr>
            <w:tcW w:w="720" w:type="dxa"/>
            <w:vAlign w:val="bottom"/>
          </w:tcPr>
          <w:p>
            <w:pPr>
              <w:jc w:val="center"/>
              <w:spacing w:after="0"/>
              <w:rPr>
                <w:sz w:val="20"/>
                <w:szCs w:val="20"/>
                <w:color w:val="auto"/>
              </w:rPr>
            </w:pPr>
            <w:r>
              <w:rPr>
                <w:rFonts w:ascii="Arial" w:cs="Arial" w:eastAsia="Arial" w:hAnsi="Arial"/>
                <w:sz w:val="11"/>
                <w:szCs w:val="11"/>
                <w:b w:val="1"/>
                <w:bCs w:val="1"/>
                <w:color w:val="050505"/>
                <w:w w:val="97"/>
              </w:rPr>
              <w:t>Underlying</w:t>
            </w:r>
          </w:p>
        </w:tc>
        <w:tc>
          <w:tcPr>
            <w:tcW w:w="160" w:type="dxa"/>
            <w:vAlign w:val="bottom"/>
          </w:tcPr>
          <w:p>
            <w:pPr>
              <w:spacing w:after="0"/>
              <w:rPr>
                <w:sz w:val="10"/>
                <w:szCs w:val="10"/>
                <w:color w:val="auto"/>
              </w:rPr>
            </w:pPr>
          </w:p>
        </w:tc>
        <w:tc>
          <w:tcPr>
            <w:tcW w:w="840" w:type="dxa"/>
            <w:vAlign w:val="bottom"/>
          </w:tcPr>
          <w:p>
            <w:pPr>
              <w:jc w:val="center"/>
              <w:spacing w:after="0"/>
              <w:rPr>
                <w:sz w:val="20"/>
                <w:szCs w:val="20"/>
                <w:color w:val="auto"/>
              </w:rPr>
            </w:pPr>
            <w:r>
              <w:rPr>
                <w:rFonts w:ascii="Arial" w:cs="Arial" w:eastAsia="Arial" w:hAnsi="Arial"/>
                <w:sz w:val="11"/>
                <w:szCs w:val="11"/>
                <w:b w:val="1"/>
                <w:bCs w:val="1"/>
                <w:color w:val="050505"/>
              </w:rPr>
              <w:t>Underlying</w:t>
            </w:r>
          </w:p>
        </w:tc>
        <w:tc>
          <w:tcPr>
            <w:tcW w:w="1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r>
      <w:tr>
        <w:trPr>
          <w:trHeight w:val="126"/>
        </w:trPr>
        <w:tc>
          <w:tcPr>
            <w:tcW w:w="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100" w:type="dxa"/>
            <w:vAlign w:val="bottom"/>
            <w:gridSpan w:val="2"/>
          </w:tcPr>
          <w:p>
            <w:pPr>
              <w:jc w:val="center"/>
              <w:ind w:right="194"/>
              <w:spacing w:after="0"/>
              <w:rPr>
                <w:sz w:val="20"/>
                <w:szCs w:val="20"/>
                <w:color w:val="auto"/>
              </w:rPr>
            </w:pPr>
            <w:r>
              <w:rPr>
                <w:rFonts w:ascii="Arial" w:cs="Arial" w:eastAsia="Arial" w:hAnsi="Arial"/>
                <w:sz w:val="11"/>
                <w:szCs w:val="11"/>
                <w:b w:val="1"/>
                <w:bCs w:val="1"/>
                <w:color w:val="050505"/>
                <w:w w:val="95"/>
              </w:rPr>
              <w:t>Vesting</w:t>
            </w:r>
          </w:p>
        </w:tc>
        <w:tc>
          <w:tcPr>
            <w:tcW w:w="600" w:type="dxa"/>
            <w:vAlign w:val="bottom"/>
          </w:tcPr>
          <w:p>
            <w:pPr>
              <w:spacing w:after="0"/>
              <w:rPr>
                <w:sz w:val="10"/>
                <w:szCs w:val="10"/>
                <w:color w:val="auto"/>
              </w:rPr>
            </w:pPr>
          </w:p>
        </w:tc>
        <w:tc>
          <w:tcPr>
            <w:tcW w:w="780" w:type="dxa"/>
            <w:vAlign w:val="bottom"/>
            <w:gridSpan w:val="2"/>
          </w:tcPr>
          <w:p>
            <w:pPr>
              <w:jc w:val="center"/>
              <w:ind w:left="86"/>
              <w:spacing w:after="0"/>
              <w:rPr>
                <w:sz w:val="20"/>
                <w:szCs w:val="20"/>
                <w:color w:val="auto"/>
              </w:rPr>
            </w:pPr>
            <w:r>
              <w:rPr>
                <w:rFonts w:ascii="Arial" w:cs="Arial" w:eastAsia="Arial" w:hAnsi="Arial"/>
                <w:sz w:val="11"/>
                <w:szCs w:val="11"/>
                <w:b w:val="1"/>
                <w:bCs w:val="1"/>
                <w:color w:val="050505"/>
                <w:w w:val="97"/>
              </w:rPr>
              <w:t>Unexercised</w:t>
            </w:r>
          </w:p>
        </w:tc>
        <w:tc>
          <w:tcPr>
            <w:tcW w:w="160" w:type="dxa"/>
            <w:vAlign w:val="bottom"/>
          </w:tcPr>
          <w:p>
            <w:pPr>
              <w:spacing w:after="0"/>
              <w:rPr>
                <w:sz w:val="10"/>
                <w:szCs w:val="10"/>
                <w:color w:val="auto"/>
              </w:rPr>
            </w:pPr>
          </w:p>
        </w:tc>
        <w:tc>
          <w:tcPr>
            <w:tcW w:w="720" w:type="dxa"/>
            <w:vAlign w:val="bottom"/>
          </w:tcPr>
          <w:p>
            <w:pPr>
              <w:jc w:val="center"/>
              <w:spacing w:after="0"/>
              <w:rPr>
                <w:sz w:val="20"/>
                <w:szCs w:val="20"/>
                <w:color w:val="auto"/>
              </w:rPr>
            </w:pPr>
            <w:r>
              <w:rPr>
                <w:rFonts w:ascii="Arial" w:cs="Arial" w:eastAsia="Arial" w:hAnsi="Arial"/>
                <w:sz w:val="11"/>
                <w:szCs w:val="11"/>
                <w:b w:val="1"/>
                <w:bCs w:val="1"/>
                <w:color w:val="050505"/>
                <w:w w:val="97"/>
              </w:rPr>
              <w:t>Unexercised</w:t>
            </w:r>
          </w:p>
        </w:tc>
        <w:tc>
          <w:tcPr>
            <w:tcW w:w="160" w:type="dxa"/>
            <w:vAlign w:val="bottom"/>
          </w:tcPr>
          <w:p>
            <w:pPr>
              <w:spacing w:after="0"/>
              <w:rPr>
                <w:sz w:val="10"/>
                <w:szCs w:val="10"/>
                <w:color w:val="auto"/>
              </w:rPr>
            </w:pPr>
          </w:p>
        </w:tc>
        <w:tc>
          <w:tcPr>
            <w:tcW w:w="840" w:type="dxa"/>
            <w:vAlign w:val="bottom"/>
          </w:tcPr>
          <w:p>
            <w:pPr>
              <w:jc w:val="center"/>
              <w:spacing w:after="0"/>
              <w:rPr>
                <w:sz w:val="20"/>
                <w:szCs w:val="20"/>
                <w:color w:val="auto"/>
              </w:rPr>
            </w:pPr>
            <w:r>
              <w:rPr>
                <w:rFonts w:ascii="Arial" w:cs="Arial" w:eastAsia="Arial" w:hAnsi="Arial"/>
                <w:sz w:val="11"/>
                <w:szCs w:val="11"/>
                <w:b w:val="1"/>
                <w:bCs w:val="1"/>
                <w:color w:val="050505"/>
                <w:w w:val="97"/>
              </w:rPr>
              <w:t>Unexercised</w:t>
            </w:r>
          </w:p>
        </w:tc>
        <w:tc>
          <w:tcPr>
            <w:tcW w:w="140" w:type="dxa"/>
            <w:vAlign w:val="bottom"/>
          </w:tcPr>
          <w:p>
            <w:pPr>
              <w:spacing w:after="0"/>
              <w:rPr>
                <w:sz w:val="10"/>
                <w:szCs w:val="10"/>
                <w:color w:val="auto"/>
              </w:rPr>
            </w:pPr>
          </w:p>
        </w:tc>
        <w:tc>
          <w:tcPr>
            <w:tcW w:w="54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050505"/>
              </w:rPr>
              <w:t>Option</w:t>
            </w:r>
          </w:p>
        </w:tc>
        <w:tc>
          <w:tcPr>
            <w:tcW w:w="660" w:type="dxa"/>
            <w:vAlign w:val="bottom"/>
            <w:gridSpan w:val="2"/>
          </w:tcPr>
          <w:p>
            <w:pPr>
              <w:jc w:val="center"/>
              <w:ind w:right="80"/>
              <w:spacing w:after="0"/>
              <w:rPr>
                <w:sz w:val="20"/>
                <w:szCs w:val="20"/>
                <w:color w:val="auto"/>
              </w:rPr>
            </w:pPr>
            <w:r>
              <w:rPr>
                <w:rFonts w:ascii="Arial" w:cs="Arial" w:eastAsia="Arial" w:hAnsi="Arial"/>
                <w:sz w:val="11"/>
                <w:szCs w:val="11"/>
                <w:b w:val="1"/>
                <w:bCs w:val="1"/>
                <w:color w:val="050505"/>
                <w:w w:val="95"/>
              </w:rPr>
              <w:t>Option</w:t>
            </w:r>
          </w:p>
        </w:tc>
      </w:tr>
      <w:tr>
        <w:trPr>
          <w:trHeight w:val="126"/>
        </w:trPr>
        <w:tc>
          <w:tcPr>
            <w:tcW w:w="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560" w:type="dxa"/>
            <w:vAlign w:val="bottom"/>
            <w:gridSpan w:val="3"/>
          </w:tcPr>
          <w:p>
            <w:pPr>
              <w:jc w:val="center"/>
              <w:ind w:left="154"/>
              <w:spacing w:after="0"/>
              <w:rPr>
                <w:sz w:val="20"/>
                <w:szCs w:val="20"/>
                <w:color w:val="auto"/>
              </w:rPr>
            </w:pPr>
            <w:r>
              <w:rPr>
                <w:rFonts w:ascii="Arial" w:cs="Arial" w:eastAsia="Arial" w:hAnsi="Arial"/>
                <w:sz w:val="11"/>
                <w:szCs w:val="11"/>
                <w:b w:val="1"/>
                <w:bCs w:val="1"/>
                <w:color w:val="050505"/>
                <w:w w:val="98"/>
              </w:rPr>
              <w:t>Commencement</w:t>
            </w:r>
          </w:p>
        </w:tc>
        <w:tc>
          <w:tcPr>
            <w:tcW w:w="600" w:type="dxa"/>
            <w:vAlign w:val="bottom"/>
          </w:tcPr>
          <w:p>
            <w:pPr>
              <w:jc w:val="right"/>
              <w:ind w:right="106"/>
              <w:spacing w:after="0"/>
              <w:rPr>
                <w:sz w:val="20"/>
                <w:szCs w:val="20"/>
                <w:color w:val="auto"/>
              </w:rPr>
            </w:pPr>
            <w:r>
              <w:rPr>
                <w:rFonts w:ascii="Arial" w:cs="Arial" w:eastAsia="Arial" w:hAnsi="Arial"/>
                <w:sz w:val="11"/>
                <w:szCs w:val="11"/>
                <w:b w:val="1"/>
                <w:bCs w:val="1"/>
                <w:color w:val="050505"/>
              </w:rPr>
              <w:t>Grant</w:t>
            </w:r>
          </w:p>
        </w:tc>
        <w:tc>
          <w:tcPr>
            <w:tcW w:w="140" w:type="dxa"/>
            <w:vAlign w:val="bottom"/>
          </w:tcPr>
          <w:p>
            <w:pPr>
              <w:spacing w:after="0"/>
              <w:rPr>
                <w:sz w:val="10"/>
                <w:szCs w:val="10"/>
                <w:color w:val="auto"/>
              </w:rPr>
            </w:pPr>
          </w:p>
        </w:tc>
        <w:tc>
          <w:tcPr>
            <w:tcW w:w="640" w:type="dxa"/>
            <w:vAlign w:val="bottom"/>
          </w:tcPr>
          <w:p>
            <w:pPr>
              <w:jc w:val="center"/>
              <w:spacing w:after="0"/>
              <w:rPr>
                <w:sz w:val="20"/>
                <w:szCs w:val="20"/>
                <w:color w:val="auto"/>
              </w:rPr>
            </w:pPr>
            <w:r>
              <w:rPr>
                <w:rFonts w:ascii="Arial" w:cs="Arial" w:eastAsia="Arial" w:hAnsi="Arial"/>
                <w:sz w:val="11"/>
                <w:szCs w:val="11"/>
                <w:b w:val="1"/>
                <w:bCs w:val="1"/>
                <w:color w:val="050505"/>
                <w:w w:val="96"/>
              </w:rPr>
              <w:t>Options (#)</w:t>
            </w:r>
          </w:p>
        </w:tc>
        <w:tc>
          <w:tcPr>
            <w:tcW w:w="160" w:type="dxa"/>
            <w:vAlign w:val="bottom"/>
          </w:tcPr>
          <w:p>
            <w:pPr>
              <w:spacing w:after="0"/>
              <w:rPr>
                <w:sz w:val="10"/>
                <w:szCs w:val="10"/>
                <w:color w:val="auto"/>
              </w:rPr>
            </w:pPr>
          </w:p>
        </w:tc>
        <w:tc>
          <w:tcPr>
            <w:tcW w:w="720" w:type="dxa"/>
            <w:vAlign w:val="bottom"/>
          </w:tcPr>
          <w:p>
            <w:pPr>
              <w:jc w:val="center"/>
              <w:spacing w:after="0"/>
              <w:rPr>
                <w:sz w:val="20"/>
                <w:szCs w:val="20"/>
                <w:color w:val="auto"/>
              </w:rPr>
            </w:pPr>
            <w:r>
              <w:rPr>
                <w:rFonts w:ascii="Arial" w:cs="Arial" w:eastAsia="Arial" w:hAnsi="Arial"/>
                <w:sz w:val="11"/>
                <w:szCs w:val="11"/>
                <w:b w:val="1"/>
                <w:bCs w:val="1"/>
                <w:color w:val="050505"/>
                <w:w w:val="96"/>
              </w:rPr>
              <w:t>Options (#)</w:t>
            </w:r>
          </w:p>
        </w:tc>
        <w:tc>
          <w:tcPr>
            <w:tcW w:w="160" w:type="dxa"/>
            <w:vAlign w:val="bottom"/>
          </w:tcPr>
          <w:p>
            <w:pPr>
              <w:spacing w:after="0"/>
              <w:rPr>
                <w:sz w:val="10"/>
                <w:szCs w:val="10"/>
                <w:color w:val="auto"/>
              </w:rPr>
            </w:pPr>
          </w:p>
        </w:tc>
        <w:tc>
          <w:tcPr>
            <w:tcW w:w="840" w:type="dxa"/>
            <w:vAlign w:val="bottom"/>
          </w:tcPr>
          <w:p>
            <w:pPr>
              <w:jc w:val="center"/>
              <w:spacing w:after="0"/>
              <w:rPr>
                <w:sz w:val="20"/>
                <w:szCs w:val="20"/>
                <w:color w:val="auto"/>
              </w:rPr>
            </w:pPr>
            <w:r>
              <w:rPr>
                <w:rFonts w:ascii="Arial" w:cs="Arial" w:eastAsia="Arial" w:hAnsi="Arial"/>
                <w:sz w:val="11"/>
                <w:szCs w:val="11"/>
                <w:b w:val="1"/>
                <w:bCs w:val="1"/>
                <w:color w:val="050505"/>
                <w:w w:val="98"/>
              </w:rPr>
              <w:t>Unearned</w:t>
            </w:r>
          </w:p>
        </w:tc>
        <w:tc>
          <w:tcPr>
            <w:tcW w:w="680" w:type="dxa"/>
            <w:vAlign w:val="bottom"/>
            <w:gridSpan w:val="3"/>
          </w:tcPr>
          <w:p>
            <w:pPr>
              <w:jc w:val="right"/>
              <w:ind w:right="100"/>
              <w:spacing w:after="0"/>
              <w:rPr>
                <w:sz w:val="20"/>
                <w:szCs w:val="20"/>
                <w:color w:val="auto"/>
              </w:rPr>
            </w:pPr>
            <w:r>
              <w:rPr>
                <w:rFonts w:ascii="Arial" w:cs="Arial" w:eastAsia="Arial" w:hAnsi="Arial"/>
                <w:sz w:val="11"/>
                <w:szCs w:val="11"/>
                <w:b w:val="1"/>
                <w:bCs w:val="1"/>
                <w:color w:val="050505"/>
              </w:rPr>
              <w:t>Exercise</w:t>
            </w:r>
          </w:p>
        </w:tc>
        <w:tc>
          <w:tcPr>
            <w:tcW w:w="660" w:type="dxa"/>
            <w:vAlign w:val="bottom"/>
            <w:gridSpan w:val="2"/>
          </w:tcPr>
          <w:p>
            <w:pPr>
              <w:jc w:val="center"/>
              <w:ind w:right="80"/>
              <w:spacing w:after="0"/>
              <w:rPr>
                <w:sz w:val="20"/>
                <w:szCs w:val="20"/>
                <w:color w:val="auto"/>
              </w:rPr>
            </w:pPr>
            <w:r>
              <w:rPr>
                <w:rFonts w:ascii="Arial" w:cs="Arial" w:eastAsia="Arial" w:hAnsi="Arial"/>
                <w:sz w:val="11"/>
                <w:szCs w:val="11"/>
                <w:b w:val="1"/>
                <w:bCs w:val="1"/>
                <w:color w:val="050505"/>
              </w:rPr>
              <w:t>Expiration</w:t>
            </w:r>
          </w:p>
        </w:tc>
      </w:tr>
      <w:tr>
        <w:trPr>
          <w:trHeight w:val="139"/>
        </w:trPr>
        <w:tc>
          <w:tcPr>
            <w:tcW w:w="60" w:type="dxa"/>
            <w:vAlign w:val="bottom"/>
          </w:tcPr>
          <w:p>
            <w:pPr>
              <w:spacing w:after="0"/>
              <w:rPr>
                <w:sz w:val="12"/>
                <w:szCs w:val="12"/>
                <w:color w:val="auto"/>
              </w:rPr>
            </w:pPr>
          </w:p>
        </w:tc>
        <w:tc>
          <w:tcPr>
            <w:tcW w:w="300" w:type="dxa"/>
            <w:vAlign w:val="bottom"/>
            <w:tcBorders>
              <w:bottom w:val="single" w:sz="8" w:color="050505"/>
            </w:tcBorders>
          </w:tcPr>
          <w:p>
            <w:pPr>
              <w:spacing w:after="0" w:line="119" w:lineRule="exact"/>
              <w:rPr>
                <w:sz w:val="20"/>
                <w:szCs w:val="20"/>
                <w:color w:val="auto"/>
              </w:rPr>
            </w:pPr>
            <w:r>
              <w:rPr>
                <w:rFonts w:ascii="Arial" w:cs="Arial" w:eastAsia="Arial" w:hAnsi="Arial"/>
                <w:sz w:val="11"/>
                <w:szCs w:val="11"/>
                <w:b w:val="1"/>
                <w:bCs w:val="1"/>
                <w:color w:val="050505"/>
                <w:w w:val="93"/>
              </w:rPr>
              <w:t>Name</w:t>
            </w:r>
          </w:p>
        </w:tc>
        <w:tc>
          <w:tcPr>
            <w:tcW w:w="8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100" w:type="dxa"/>
            <w:vAlign w:val="bottom"/>
            <w:gridSpan w:val="2"/>
          </w:tcPr>
          <w:p>
            <w:pPr>
              <w:jc w:val="center"/>
              <w:ind w:right="194"/>
              <w:spacing w:after="0" w:line="119" w:lineRule="exact"/>
              <w:rPr>
                <w:sz w:val="20"/>
                <w:szCs w:val="20"/>
                <w:color w:val="auto"/>
              </w:rPr>
            </w:pPr>
            <w:r>
              <w:rPr>
                <w:rFonts w:ascii="Arial" w:cs="Arial" w:eastAsia="Arial" w:hAnsi="Arial"/>
                <w:sz w:val="11"/>
                <w:szCs w:val="11"/>
                <w:b w:val="1"/>
                <w:bCs w:val="1"/>
                <w:color w:val="050505"/>
                <w:w w:val="92"/>
              </w:rPr>
              <w:t>Date</w:t>
            </w:r>
          </w:p>
        </w:tc>
        <w:tc>
          <w:tcPr>
            <w:tcW w:w="600" w:type="dxa"/>
            <w:vAlign w:val="bottom"/>
          </w:tcPr>
          <w:p>
            <w:pPr>
              <w:jc w:val="right"/>
              <w:ind w:right="126"/>
              <w:spacing w:after="0" w:line="119" w:lineRule="exact"/>
              <w:rPr>
                <w:sz w:val="20"/>
                <w:szCs w:val="20"/>
                <w:color w:val="auto"/>
              </w:rPr>
            </w:pPr>
            <w:r>
              <w:rPr>
                <w:rFonts w:ascii="Arial" w:cs="Arial" w:eastAsia="Arial" w:hAnsi="Arial"/>
                <w:sz w:val="11"/>
                <w:szCs w:val="11"/>
                <w:b w:val="1"/>
                <w:bCs w:val="1"/>
                <w:color w:val="050505"/>
              </w:rPr>
              <w:t>Date</w:t>
            </w:r>
          </w:p>
        </w:tc>
        <w:tc>
          <w:tcPr>
            <w:tcW w:w="140" w:type="dxa"/>
            <w:vAlign w:val="bottom"/>
          </w:tcPr>
          <w:p>
            <w:pPr>
              <w:spacing w:after="0"/>
              <w:rPr>
                <w:sz w:val="12"/>
                <w:szCs w:val="12"/>
                <w:color w:val="auto"/>
              </w:rPr>
            </w:pPr>
          </w:p>
        </w:tc>
        <w:tc>
          <w:tcPr>
            <w:tcW w:w="640" w:type="dxa"/>
            <w:vAlign w:val="bottom"/>
          </w:tcPr>
          <w:p>
            <w:pPr>
              <w:jc w:val="center"/>
              <w:spacing w:after="0" w:line="119" w:lineRule="exact"/>
              <w:rPr>
                <w:sz w:val="20"/>
                <w:szCs w:val="20"/>
                <w:color w:val="auto"/>
              </w:rPr>
            </w:pPr>
            <w:r>
              <w:rPr>
                <w:rFonts w:ascii="Arial" w:cs="Arial" w:eastAsia="Arial" w:hAnsi="Arial"/>
                <w:sz w:val="11"/>
                <w:szCs w:val="11"/>
                <w:b w:val="1"/>
                <w:bCs w:val="1"/>
                <w:color w:val="050505"/>
                <w:w w:val="98"/>
              </w:rPr>
              <w:t>Exercisable</w:t>
            </w:r>
          </w:p>
        </w:tc>
        <w:tc>
          <w:tcPr>
            <w:tcW w:w="880" w:type="dxa"/>
            <w:vAlign w:val="bottom"/>
            <w:gridSpan w:val="2"/>
          </w:tcPr>
          <w:p>
            <w:pPr>
              <w:jc w:val="right"/>
              <w:spacing w:after="0" w:line="119" w:lineRule="exact"/>
              <w:rPr>
                <w:sz w:val="20"/>
                <w:szCs w:val="20"/>
                <w:color w:val="auto"/>
              </w:rPr>
            </w:pPr>
            <w:r>
              <w:rPr>
                <w:rFonts w:ascii="Arial" w:cs="Arial" w:eastAsia="Arial" w:hAnsi="Arial"/>
                <w:sz w:val="11"/>
                <w:szCs w:val="11"/>
                <w:b w:val="1"/>
                <w:bCs w:val="1"/>
                <w:color w:val="050505"/>
              </w:rPr>
              <w:t>Unexercisable</w:t>
            </w:r>
          </w:p>
        </w:tc>
        <w:tc>
          <w:tcPr>
            <w:tcW w:w="160" w:type="dxa"/>
            <w:vAlign w:val="bottom"/>
          </w:tcPr>
          <w:p>
            <w:pPr>
              <w:spacing w:after="0"/>
              <w:rPr>
                <w:sz w:val="12"/>
                <w:szCs w:val="12"/>
                <w:color w:val="auto"/>
              </w:rPr>
            </w:pPr>
          </w:p>
        </w:tc>
        <w:tc>
          <w:tcPr>
            <w:tcW w:w="840" w:type="dxa"/>
            <w:vAlign w:val="bottom"/>
          </w:tcPr>
          <w:p>
            <w:pPr>
              <w:jc w:val="center"/>
              <w:spacing w:after="0" w:line="119" w:lineRule="exact"/>
              <w:rPr>
                <w:sz w:val="20"/>
                <w:szCs w:val="20"/>
                <w:color w:val="auto"/>
              </w:rPr>
            </w:pPr>
            <w:r>
              <w:rPr>
                <w:rFonts w:ascii="Arial" w:cs="Arial" w:eastAsia="Arial" w:hAnsi="Arial"/>
                <w:sz w:val="11"/>
                <w:szCs w:val="11"/>
                <w:b w:val="1"/>
                <w:bCs w:val="1"/>
                <w:color w:val="050505"/>
                <w:w w:val="99"/>
              </w:rPr>
              <w:t>Options (#)</w:t>
            </w:r>
          </w:p>
        </w:tc>
        <w:tc>
          <w:tcPr>
            <w:tcW w:w="140" w:type="dxa"/>
            <w:vAlign w:val="bottom"/>
          </w:tcPr>
          <w:p>
            <w:pPr>
              <w:spacing w:after="0"/>
              <w:rPr>
                <w:sz w:val="12"/>
                <w:szCs w:val="12"/>
                <w:color w:val="auto"/>
              </w:rPr>
            </w:pPr>
          </w:p>
        </w:tc>
        <w:tc>
          <w:tcPr>
            <w:tcW w:w="540" w:type="dxa"/>
            <w:vAlign w:val="bottom"/>
            <w:gridSpan w:val="2"/>
          </w:tcPr>
          <w:p>
            <w:pPr>
              <w:jc w:val="center"/>
              <w:ind w:right="100"/>
              <w:spacing w:after="0" w:line="119" w:lineRule="exact"/>
              <w:rPr>
                <w:sz w:val="20"/>
                <w:szCs w:val="20"/>
                <w:color w:val="auto"/>
              </w:rPr>
            </w:pPr>
            <w:r>
              <w:rPr>
                <w:rFonts w:ascii="Arial" w:cs="Arial" w:eastAsia="Arial" w:hAnsi="Arial"/>
                <w:sz w:val="11"/>
                <w:szCs w:val="11"/>
                <w:b w:val="1"/>
                <w:bCs w:val="1"/>
                <w:color w:val="050505"/>
                <w:w w:val="99"/>
              </w:rPr>
              <w:t>Price($)</w:t>
            </w:r>
          </w:p>
        </w:tc>
        <w:tc>
          <w:tcPr>
            <w:tcW w:w="660" w:type="dxa"/>
            <w:vAlign w:val="bottom"/>
            <w:gridSpan w:val="2"/>
          </w:tcPr>
          <w:p>
            <w:pPr>
              <w:jc w:val="center"/>
              <w:ind w:right="60"/>
              <w:spacing w:after="0" w:line="119" w:lineRule="exact"/>
              <w:rPr>
                <w:sz w:val="20"/>
                <w:szCs w:val="20"/>
                <w:color w:val="auto"/>
              </w:rPr>
            </w:pPr>
            <w:r>
              <w:rPr>
                <w:rFonts w:ascii="Arial" w:cs="Arial" w:eastAsia="Arial" w:hAnsi="Arial"/>
                <w:sz w:val="11"/>
                <w:szCs w:val="11"/>
                <w:b w:val="1"/>
                <w:bCs w:val="1"/>
                <w:color w:val="050505"/>
              </w:rPr>
              <w:t>Date</w:t>
            </w:r>
          </w:p>
        </w:tc>
      </w:tr>
      <w:tr>
        <w:trPr>
          <w:trHeight w:val="111"/>
        </w:trPr>
        <w:tc>
          <w:tcPr>
            <w:tcW w:w="1200" w:type="dxa"/>
            <w:vAlign w:val="bottom"/>
            <w:tcBorders>
              <w:top w:val="single" w:sz="8" w:color="CCEEFF"/>
            </w:tcBorders>
            <w:gridSpan w:val="3"/>
            <w:shd w:val="clear" w:color="auto" w:fill="CCEEFF"/>
          </w:tcPr>
          <w:p>
            <w:pPr>
              <w:ind w:left="40"/>
              <w:spacing w:after="0" w:line="110" w:lineRule="exact"/>
              <w:rPr>
                <w:sz w:val="20"/>
                <w:szCs w:val="20"/>
                <w:color w:val="auto"/>
              </w:rPr>
            </w:pPr>
            <w:r>
              <w:rPr>
                <w:rFonts w:ascii="Arial" w:cs="Arial" w:eastAsia="Arial" w:hAnsi="Arial"/>
                <w:sz w:val="11"/>
                <w:szCs w:val="11"/>
                <w:color w:val="050505"/>
              </w:rPr>
              <w:t>John Foley</w:t>
            </w:r>
          </w:p>
        </w:tc>
        <w:tc>
          <w:tcPr>
            <w:tcW w:w="460" w:type="dxa"/>
            <w:vAlign w:val="bottom"/>
            <w:tcBorders>
              <w:top w:val="single" w:sz="8" w:color="CCEEFF"/>
            </w:tcBorders>
            <w:shd w:val="clear" w:color="auto" w:fill="CCEEFF"/>
          </w:tcPr>
          <w:p>
            <w:pPr>
              <w:spacing w:after="0"/>
              <w:rPr>
                <w:sz w:val="9"/>
                <w:szCs w:val="9"/>
                <w:color w:val="auto"/>
              </w:rPr>
            </w:pPr>
          </w:p>
        </w:tc>
        <w:tc>
          <w:tcPr>
            <w:tcW w:w="860" w:type="dxa"/>
            <w:vAlign w:val="bottom"/>
            <w:tcBorders>
              <w:top w:val="single" w:sz="8" w:color="auto"/>
            </w:tcBorders>
            <w:shd w:val="clear" w:color="auto" w:fill="CCEEFF"/>
          </w:tcPr>
          <w:p>
            <w:pPr>
              <w:jc w:val="right"/>
              <w:spacing w:after="0" w:line="111" w:lineRule="exact"/>
              <w:rPr>
                <w:sz w:val="20"/>
                <w:szCs w:val="20"/>
                <w:color w:val="auto"/>
              </w:rPr>
            </w:pPr>
            <w:r>
              <w:rPr>
                <w:rFonts w:ascii="Arial" w:cs="Arial" w:eastAsia="Arial" w:hAnsi="Arial"/>
                <w:sz w:val="11"/>
                <w:szCs w:val="11"/>
                <w:color w:val="050505"/>
              </w:rPr>
              <w:t>3/30/2015</w:t>
            </w:r>
          </w:p>
        </w:tc>
        <w:tc>
          <w:tcPr>
            <w:tcW w:w="240" w:type="dxa"/>
            <w:vAlign w:val="bottom"/>
            <w:tcBorders>
              <w:top w:val="single" w:sz="8" w:color="CCEEFF"/>
            </w:tcBorders>
            <w:shd w:val="clear" w:color="auto" w:fill="CCEEFF"/>
          </w:tcPr>
          <w:p>
            <w:pPr>
              <w:jc w:val="right"/>
              <w:ind w:right="94"/>
              <w:spacing w:after="0" w:line="94" w:lineRule="exact"/>
              <w:rPr>
                <w:sz w:val="20"/>
                <w:szCs w:val="20"/>
                <w:color w:val="auto"/>
              </w:rPr>
            </w:pPr>
            <w:r>
              <w:rPr>
                <w:rFonts w:ascii="Arial" w:cs="Arial" w:eastAsia="Arial" w:hAnsi="Arial"/>
                <w:sz w:val="9"/>
                <w:szCs w:val="9"/>
                <w:color w:val="050505"/>
                <w:w w:val="72"/>
              </w:rPr>
              <w:t>(2)</w:t>
            </w:r>
          </w:p>
        </w:tc>
        <w:tc>
          <w:tcPr>
            <w:tcW w:w="600" w:type="dxa"/>
            <w:vAlign w:val="bottom"/>
            <w:tcBorders>
              <w:top w:val="single" w:sz="8" w:color="auto"/>
            </w:tcBorders>
            <w:shd w:val="clear" w:color="auto" w:fill="CCEEFF"/>
          </w:tcPr>
          <w:p>
            <w:pPr>
              <w:jc w:val="right"/>
              <w:spacing w:after="0" w:line="111" w:lineRule="exact"/>
              <w:rPr>
                <w:sz w:val="20"/>
                <w:szCs w:val="20"/>
                <w:color w:val="auto"/>
              </w:rPr>
            </w:pPr>
            <w:r>
              <w:rPr>
                <w:rFonts w:ascii="Arial" w:cs="Arial" w:eastAsia="Arial" w:hAnsi="Arial"/>
                <w:sz w:val="11"/>
                <w:szCs w:val="11"/>
                <w:color w:val="050505"/>
              </w:rPr>
              <w:t>7/13/2015</w:t>
            </w:r>
          </w:p>
        </w:tc>
        <w:tc>
          <w:tcPr>
            <w:tcW w:w="140" w:type="dxa"/>
            <w:vAlign w:val="bottom"/>
            <w:tcBorders>
              <w:top w:val="single" w:sz="8" w:color="CCEEFF"/>
            </w:tcBorders>
            <w:shd w:val="clear" w:color="auto" w:fill="CCEEFF"/>
          </w:tcPr>
          <w:p>
            <w:pPr>
              <w:spacing w:after="0"/>
              <w:rPr>
                <w:sz w:val="9"/>
                <w:szCs w:val="9"/>
                <w:color w:val="auto"/>
              </w:rPr>
            </w:pPr>
          </w:p>
        </w:tc>
        <w:tc>
          <w:tcPr>
            <w:tcW w:w="640" w:type="dxa"/>
            <w:vAlign w:val="bottom"/>
            <w:tcBorders>
              <w:top w:val="single" w:sz="8" w:color="auto"/>
            </w:tcBorders>
            <w:shd w:val="clear" w:color="auto" w:fill="CCEEFF"/>
          </w:tcPr>
          <w:p>
            <w:pPr>
              <w:jc w:val="right"/>
              <w:spacing w:after="0" w:line="111" w:lineRule="exact"/>
              <w:rPr>
                <w:sz w:val="20"/>
                <w:szCs w:val="20"/>
                <w:color w:val="auto"/>
              </w:rPr>
            </w:pPr>
            <w:r>
              <w:rPr>
                <w:rFonts w:ascii="Arial" w:cs="Arial" w:eastAsia="Arial" w:hAnsi="Arial"/>
                <w:sz w:val="11"/>
                <w:szCs w:val="11"/>
                <w:color w:val="050505"/>
              </w:rPr>
              <w:t>1,420,000</w:t>
            </w:r>
          </w:p>
        </w:tc>
        <w:tc>
          <w:tcPr>
            <w:tcW w:w="160" w:type="dxa"/>
            <w:vAlign w:val="bottom"/>
            <w:tcBorders>
              <w:top w:val="single" w:sz="8" w:color="CCEEFF"/>
            </w:tcBorders>
            <w:shd w:val="clear" w:color="auto" w:fill="CCEEFF"/>
          </w:tcPr>
          <w:p>
            <w:pPr>
              <w:spacing w:after="0"/>
              <w:rPr>
                <w:sz w:val="9"/>
                <w:szCs w:val="9"/>
                <w:color w:val="auto"/>
              </w:rPr>
            </w:pPr>
          </w:p>
        </w:tc>
        <w:tc>
          <w:tcPr>
            <w:tcW w:w="720" w:type="dxa"/>
            <w:vAlign w:val="bottom"/>
            <w:tcBorders>
              <w:top w:val="single" w:sz="8" w:color="auto"/>
            </w:tcBorders>
            <w:shd w:val="clear" w:color="auto" w:fill="CCEEFF"/>
          </w:tcPr>
          <w:p>
            <w:pPr>
              <w:jc w:val="right"/>
              <w:spacing w:after="0" w:line="111" w:lineRule="exact"/>
              <w:rPr>
                <w:sz w:val="20"/>
                <w:szCs w:val="20"/>
                <w:color w:val="auto"/>
              </w:rPr>
            </w:pPr>
            <w:r>
              <w:rPr>
                <w:rFonts w:ascii="Arial" w:cs="Arial" w:eastAsia="Arial" w:hAnsi="Arial"/>
                <w:sz w:val="11"/>
                <w:szCs w:val="11"/>
                <w:color w:val="050505"/>
              </w:rPr>
              <w:t>—</w:t>
            </w:r>
          </w:p>
        </w:tc>
        <w:tc>
          <w:tcPr>
            <w:tcW w:w="160" w:type="dxa"/>
            <w:vAlign w:val="bottom"/>
            <w:tcBorders>
              <w:top w:val="single" w:sz="8" w:color="CCEEFF"/>
            </w:tcBorders>
            <w:shd w:val="clear" w:color="auto" w:fill="CCEEFF"/>
          </w:tcPr>
          <w:p>
            <w:pPr>
              <w:spacing w:after="0"/>
              <w:rPr>
                <w:sz w:val="9"/>
                <w:szCs w:val="9"/>
                <w:color w:val="auto"/>
              </w:rPr>
            </w:pPr>
          </w:p>
        </w:tc>
        <w:tc>
          <w:tcPr>
            <w:tcW w:w="840" w:type="dxa"/>
            <w:vAlign w:val="bottom"/>
            <w:tcBorders>
              <w:top w:val="single" w:sz="8" w:color="auto"/>
            </w:tcBorders>
            <w:shd w:val="clear" w:color="auto" w:fill="CCEEFF"/>
          </w:tcPr>
          <w:p>
            <w:pPr>
              <w:jc w:val="right"/>
              <w:spacing w:after="0" w:line="111" w:lineRule="exact"/>
              <w:rPr>
                <w:sz w:val="20"/>
                <w:szCs w:val="20"/>
                <w:color w:val="auto"/>
              </w:rPr>
            </w:pPr>
            <w:r>
              <w:rPr>
                <w:rFonts w:ascii="Arial" w:cs="Arial" w:eastAsia="Arial" w:hAnsi="Arial"/>
                <w:sz w:val="11"/>
                <w:szCs w:val="11"/>
                <w:color w:val="050505"/>
              </w:rPr>
              <w:t>—</w:t>
            </w:r>
          </w:p>
        </w:tc>
        <w:tc>
          <w:tcPr>
            <w:tcW w:w="140" w:type="dxa"/>
            <w:vAlign w:val="bottom"/>
            <w:tcBorders>
              <w:top w:val="single" w:sz="8" w:color="CCEEFF"/>
            </w:tcBorders>
            <w:shd w:val="clear" w:color="auto" w:fill="CCEEFF"/>
          </w:tcPr>
          <w:p>
            <w:pPr>
              <w:spacing w:after="0"/>
              <w:rPr>
                <w:sz w:val="9"/>
                <w:szCs w:val="9"/>
                <w:color w:val="auto"/>
              </w:rPr>
            </w:pPr>
          </w:p>
        </w:tc>
        <w:tc>
          <w:tcPr>
            <w:tcW w:w="440" w:type="dxa"/>
            <w:vAlign w:val="bottom"/>
            <w:tcBorders>
              <w:top w:val="single" w:sz="8" w:color="auto"/>
            </w:tcBorders>
            <w:shd w:val="clear" w:color="auto" w:fill="CCEEFF"/>
          </w:tcPr>
          <w:p>
            <w:pPr>
              <w:jc w:val="right"/>
              <w:spacing w:after="0" w:line="111" w:lineRule="exact"/>
              <w:rPr>
                <w:sz w:val="20"/>
                <w:szCs w:val="20"/>
                <w:color w:val="auto"/>
              </w:rPr>
            </w:pPr>
            <w:r>
              <w:rPr>
                <w:rFonts w:ascii="Arial" w:cs="Arial" w:eastAsia="Arial" w:hAnsi="Arial"/>
                <w:sz w:val="11"/>
                <w:szCs w:val="11"/>
                <w:color w:val="050505"/>
              </w:rPr>
              <w:t>0.19</w:t>
            </w:r>
          </w:p>
        </w:tc>
        <w:tc>
          <w:tcPr>
            <w:tcW w:w="100" w:type="dxa"/>
            <w:vAlign w:val="bottom"/>
            <w:tcBorders>
              <w:top w:val="single" w:sz="8" w:color="CCEEFF"/>
            </w:tcBorders>
            <w:shd w:val="clear" w:color="auto" w:fill="CCEEFF"/>
          </w:tcPr>
          <w:p>
            <w:pPr>
              <w:spacing w:after="0"/>
              <w:rPr>
                <w:sz w:val="9"/>
                <w:szCs w:val="9"/>
                <w:color w:val="auto"/>
              </w:rPr>
            </w:pPr>
          </w:p>
        </w:tc>
        <w:tc>
          <w:tcPr>
            <w:tcW w:w="600" w:type="dxa"/>
            <w:vAlign w:val="bottom"/>
            <w:tcBorders>
              <w:top w:val="single" w:sz="8" w:color="auto"/>
            </w:tcBorders>
            <w:shd w:val="clear" w:color="auto" w:fill="CCEEFF"/>
          </w:tcPr>
          <w:p>
            <w:pPr>
              <w:jc w:val="right"/>
              <w:spacing w:after="0" w:line="111" w:lineRule="exact"/>
              <w:rPr>
                <w:sz w:val="20"/>
                <w:szCs w:val="20"/>
                <w:color w:val="auto"/>
              </w:rPr>
            </w:pPr>
            <w:r>
              <w:rPr>
                <w:rFonts w:ascii="Arial" w:cs="Arial" w:eastAsia="Arial" w:hAnsi="Arial"/>
                <w:sz w:val="11"/>
                <w:szCs w:val="11"/>
                <w:color w:val="050505"/>
              </w:rPr>
              <w:t>7/12/2025</w:t>
            </w:r>
          </w:p>
        </w:tc>
        <w:tc>
          <w:tcPr>
            <w:tcW w:w="60" w:type="dxa"/>
            <w:vAlign w:val="bottom"/>
            <w:tcBorders>
              <w:top w:val="single" w:sz="8" w:color="CCEEFF"/>
            </w:tcBorders>
            <w:shd w:val="clear" w:color="auto" w:fill="CCEEFF"/>
          </w:tcPr>
          <w:p>
            <w:pPr>
              <w:spacing w:after="0"/>
              <w:rPr>
                <w:sz w:val="9"/>
                <w:szCs w:val="9"/>
                <w:color w:val="auto"/>
              </w:rPr>
            </w:pPr>
          </w:p>
        </w:tc>
      </w:tr>
      <w:tr>
        <w:trPr>
          <w:trHeight w:val="126"/>
        </w:trPr>
        <w:tc>
          <w:tcPr>
            <w:tcW w:w="6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1560" w:type="dxa"/>
            <w:vAlign w:val="bottom"/>
            <w:gridSpan w:val="3"/>
            <w:shd w:val="clear" w:color="auto" w:fill="CCEEFF"/>
          </w:tcPr>
          <w:p>
            <w:pPr>
              <w:jc w:val="right"/>
              <w:ind w:right="94"/>
              <w:spacing w:after="0" w:line="126" w:lineRule="exact"/>
              <w:rPr>
                <w:sz w:val="20"/>
                <w:szCs w:val="20"/>
                <w:color w:val="auto"/>
              </w:rPr>
            </w:pPr>
            <w:r>
              <w:rPr>
                <w:rFonts w:ascii="Arial" w:cs="Arial" w:eastAsia="Arial" w:hAnsi="Arial"/>
                <w:sz w:val="9"/>
                <w:szCs w:val="9"/>
                <w:color w:val="050505"/>
              </w:rPr>
              <w:t>1/1/2016</w:t>
            </w:r>
            <w:r>
              <w:rPr>
                <w:rFonts w:ascii="Arial" w:cs="Arial" w:eastAsia="Arial" w:hAnsi="Arial"/>
                <w:sz w:val="14"/>
                <w:szCs w:val="14"/>
                <w:color w:val="050505"/>
                <w:vertAlign w:val="superscript"/>
              </w:rPr>
              <w:t>(3)</w:t>
            </w:r>
          </w:p>
        </w:tc>
        <w:tc>
          <w:tcPr>
            <w:tcW w:w="600" w:type="dxa"/>
            <w:vAlign w:val="bottom"/>
            <w:shd w:val="clear" w:color="auto" w:fill="CCEEFF"/>
          </w:tcPr>
          <w:p>
            <w:pPr>
              <w:jc w:val="right"/>
              <w:spacing w:after="0"/>
              <w:rPr>
                <w:sz w:val="20"/>
                <w:szCs w:val="20"/>
                <w:color w:val="auto"/>
              </w:rPr>
            </w:pPr>
            <w:r>
              <w:rPr>
                <w:rFonts w:ascii="Arial" w:cs="Arial" w:eastAsia="Arial" w:hAnsi="Arial"/>
                <w:sz w:val="11"/>
                <w:szCs w:val="11"/>
                <w:color w:val="050505"/>
              </w:rPr>
              <w:t>4/20/2016</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050505"/>
              </w:rPr>
              <w:t>1,533,336</w:t>
            </w:r>
          </w:p>
        </w:tc>
        <w:tc>
          <w:tcPr>
            <w:tcW w:w="160" w:type="dxa"/>
            <w:vAlign w:val="bottom"/>
            <w:shd w:val="clear" w:color="auto" w:fill="CCEEFF"/>
          </w:tcPr>
          <w:p>
            <w:pPr>
              <w:spacing w:after="0"/>
              <w:rPr>
                <w:sz w:val="10"/>
                <w:szCs w:val="10"/>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050505"/>
              </w:rPr>
              <w:t>—</w:t>
            </w:r>
          </w:p>
        </w:tc>
        <w:tc>
          <w:tcPr>
            <w:tcW w:w="160" w:type="dxa"/>
            <w:vAlign w:val="bottom"/>
            <w:shd w:val="clear" w:color="auto" w:fill="CCEEFF"/>
          </w:tcPr>
          <w:p>
            <w:pPr>
              <w:spacing w:after="0"/>
              <w:rPr>
                <w:sz w:val="10"/>
                <w:szCs w:val="1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1"/>
                <w:szCs w:val="11"/>
                <w:color w:val="050505"/>
              </w:rPr>
              <w:t>—</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050505"/>
              </w:rPr>
              <w:t>1.66</w:t>
            </w:r>
          </w:p>
        </w:tc>
        <w:tc>
          <w:tcPr>
            <w:tcW w:w="100" w:type="dxa"/>
            <w:vAlign w:val="bottom"/>
            <w:shd w:val="clear" w:color="auto" w:fill="CCEEFF"/>
          </w:tcPr>
          <w:p>
            <w:pPr>
              <w:spacing w:after="0"/>
              <w:rPr>
                <w:sz w:val="10"/>
                <w:szCs w:val="10"/>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1"/>
                <w:szCs w:val="11"/>
                <w:color w:val="050505"/>
              </w:rPr>
              <w:t>4/19/2026</w:t>
            </w:r>
          </w:p>
        </w:tc>
        <w:tc>
          <w:tcPr>
            <w:tcW w:w="60" w:type="dxa"/>
            <w:vAlign w:val="bottom"/>
            <w:shd w:val="clear" w:color="auto" w:fill="CCEEFF"/>
          </w:tcPr>
          <w:p>
            <w:pPr>
              <w:spacing w:after="0"/>
              <w:rPr>
                <w:sz w:val="10"/>
                <w:szCs w:val="10"/>
                <w:color w:val="auto"/>
              </w:rPr>
            </w:pPr>
          </w:p>
        </w:tc>
      </w:tr>
      <w:tr>
        <w:trPr>
          <w:trHeight w:val="126"/>
        </w:trPr>
        <w:tc>
          <w:tcPr>
            <w:tcW w:w="6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100" w:type="dxa"/>
            <w:vAlign w:val="bottom"/>
            <w:gridSpan w:val="2"/>
            <w:shd w:val="clear" w:color="auto" w:fill="CCEEFF"/>
          </w:tcPr>
          <w:p>
            <w:pPr>
              <w:jc w:val="right"/>
              <w:ind w:right="94"/>
              <w:spacing w:after="0"/>
              <w:rPr>
                <w:sz w:val="20"/>
                <w:szCs w:val="20"/>
                <w:color w:val="auto"/>
              </w:rPr>
            </w:pPr>
            <w:r>
              <w:rPr>
                <w:rFonts w:ascii="Arial" w:cs="Arial" w:eastAsia="Arial" w:hAnsi="Arial"/>
                <w:sz w:val="11"/>
                <w:szCs w:val="11"/>
                <w:color w:val="050505"/>
              </w:rPr>
              <w:t>—</w:t>
            </w:r>
            <w:r>
              <w:rPr>
                <w:rFonts w:ascii="Arial" w:cs="Arial" w:eastAsia="Arial" w:hAnsi="Arial"/>
                <w:sz w:val="9"/>
                <w:szCs w:val="9"/>
                <w:color w:val="050505"/>
              </w:rPr>
              <w:t>(4)</w:t>
            </w:r>
          </w:p>
        </w:tc>
        <w:tc>
          <w:tcPr>
            <w:tcW w:w="600" w:type="dxa"/>
            <w:vAlign w:val="bottom"/>
            <w:shd w:val="clear" w:color="auto" w:fill="CCEEFF"/>
          </w:tcPr>
          <w:p>
            <w:pPr>
              <w:jc w:val="right"/>
              <w:spacing w:after="0"/>
              <w:rPr>
                <w:sz w:val="20"/>
                <w:szCs w:val="20"/>
                <w:color w:val="auto"/>
              </w:rPr>
            </w:pPr>
            <w:r>
              <w:rPr>
                <w:rFonts w:ascii="Arial" w:cs="Arial" w:eastAsia="Arial" w:hAnsi="Arial"/>
                <w:sz w:val="11"/>
                <w:szCs w:val="11"/>
                <w:color w:val="050505"/>
              </w:rPr>
              <w:t>4/20/2016</w:t>
            </w:r>
          </w:p>
        </w:tc>
        <w:tc>
          <w:tcPr>
            <w:tcW w:w="140" w:type="dxa"/>
            <w:vAlign w:val="bottom"/>
            <w:shd w:val="clear" w:color="auto" w:fill="CCEEFF"/>
          </w:tcPr>
          <w:p>
            <w:pPr>
              <w:spacing w:after="0"/>
              <w:rPr>
                <w:sz w:val="10"/>
                <w:szCs w:val="10"/>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1"/>
                <w:szCs w:val="11"/>
                <w:color w:val="050505"/>
              </w:rPr>
              <w:t>—</w:t>
            </w:r>
          </w:p>
        </w:tc>
        <w:tc>
          <w:tcPr>
            <w:tcW w:w="160" w:type="dxa"/>
            <w:vAlign w:val="bottom"/>
            <w:shd w:val="clear" w:color="auto" w:fill="CCEEFF"/>
          </w:tcPr>
          <w:p>
            <w:pPr>
              <w:spacing w:after="0"/>
              <w:rPr>
                <w:sz w:val="10"/>
                <w:szCs w:val="10"/>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050505"/>
              </w:rPr>
              <w:t>—</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050505"/>
              </w:rPr>
              <w:t>3,066,664</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050505"/>
              </w:rPr>
              <w:t>1.66</w:t>
            </w:r>
          </w:p>
        </w:tc>
        <w:tc>
          <w:tcPr>
            <w:tcW w:w="100" w:type="dxa"/>
            <w:vAlign w:val="bottom"/>
            <w:shd w:val="clear" w:color="auto" w:fill="CCEEFF"/>
          </w:tcPr>
          <w:p>
            <w:pPr>
              <w:spacing w:after="0"/>
              <w:rPr>
                <w:sz w:val="10"/>
                <w:szCs w:val="10"/>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1"/>
                <w:szCs w:val="11"/>
                <w:color w:val="050505"/>
              </w:rPr>
              <w:t>4/19/2026</w:t>
            </w:r>
          </w:p>
        </w:tc>
        <w:tc>
          <w:tcPr>
            <w:tcW w:w="60" w:type="dxa"/>
            <w:vAlign w:val="bottom"/>
            <w:shd w:val="clear" w:color="auto" w:fill="CCEEFF"/>
          </w:tcPr>
          <w:p>
            <w:pPr>
              <w:spacing w:after="0"/>
              <w:rPr>
                <w:sz w:val="10"/>
                <w:szCs w:val="10"/>
                <w:color w:val="auto"/>
              </w:rPr>
            </w:pPr>
          </w:p>
        </w:tc>
      </w:tr>
      <w:tr>
        <w:trPr>
          <w:trHeight w:val="126"/>
        </w:trPr>
        <w:tc>
          <w:tcPr>
            <w:tcW w:w="6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1560" w:type="dxa"/>
            <w:vAlign w:val="bottom"/>
            <w:gridSpan w:val="3"/>
            <w:shd w:val="clear" w:color="auto" w:fill="CCEEFF"/>
          </w:tcPr>
          <w:p>
            <w:pPr>
              <w:jc w:val="right"/>
              <w:ind w:right="94"/>
              <w:spacing w:after="0" w:line="126" w:lineRule="exact"/>
              <w:rPr>
                <w:sz w:val="20"/>
                <w:szCs w:val="20"/>
                <w:color w:val="auto"/>
              </w:rPr>
            </w:pPr>
            <w:r>
              <w:rPr>
                <w:rFonts w:ascii="Arial" w:cs="Arial" w:eastAsia="Arial" w:hAnsi="Arial"/>
                <w:sz w:val="9"/>
                <w:szCs w:val="9"/>
                <w:color w:val="050505"/>
              </w:rPr>
              <w:t>8/25/2017</w:t>
            </w:r>
            <w:r>
              <w:rPr>
                <w:rFonts w:ascii="Arial" w:cs="Arial" w:eastAsia="Arial" w:hAnsi="Arial"/>
                <w:sz w:val="14"/>
                <w:szCs w:val="14"/>
                <w:color w:val="050505"/>
                <w:vertAlign w:val="superscript"/>
              </w:rPr>
              <w:t>(3)</w:t>
            </w:r>
          </w:p>
        </w:tc>
        <w:tc>
          <w:tcPr>
            <w:tcW w:w="600" w:type="dxa"/>
            <w:vAlign w:val="bottom"/>
            <w:shd w:val="clear" w:color="auto" w:fill="CCEEFF"/>
          </w:tcPr>
          <w:p>
            <w:pPr>
              <w:jc w:val="right"/>
              <w:spacing w:after="0"/>
              <w:rPr>
                <w:sz w:val="20"/>
                <w:szCs w:val="20"/>
                <w:color w:val="auto"/>
              </w:rPr>
            </w:pPr>
            <w:r>
              <w:rPr>
                <w:rFonts w:ascii="Arial" w:cs="Arial" w:eastAsia="Arial" w:hAnsi="Arial"/>
                <w:sz w:val="11"/>
                <w:szCs w:val="11"/>
                <w:color w:val="050505"/>
              </w:rPr>
              <w:t>10/13/2017</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050505"/>
              </w:rPr>
              <w:t>1,400,000</w:t>
            </w:r>
          </w:p>
        </w:tc>
        <w:tc>
          <w:tcPr>
            <w:tcW w:w="160" w:type="dxa"/>
            <w:vAlign w:val="bottom"/>
            <w:shd w:val="clear" w:color="auto" w:fill="CCEEFF"/>
          </w:tcPr>
          <w:p>
            <w:pPr>
              <w:spacing w:after="0"/>
              <w:rPr>
                <w:sz w:val="10"/>
                <w:szCs w:val="10"/>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050505"/>
              </w:rPr>
              <w:t>—</w:t>
            </w:r>
          </w:p>
        </w:tc>
        <w:tc>
          <w:tcPr>
            <w:tcW w:w="160" w:type="dxa"/>
            <w:vAlign w:val="bottom"/>
            <w:shd w:val="clear" w:color="auto" w:fill="CCEEFF"/>
          </w:tcPr>
          <w:p>
            <w:pPr>
              <w:spacing w:after="0"/>
              <w:rPr>
                <w:sz w:val="10"/>
                <w:szCs w:val="1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1"/>
                <w:szCs w:val="11"/>
                <w:color w:val="050505"/>
              </w:rPr>
              <w:t>—</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050505"/>
              </w:rPr>
              <w:t>2.89</w:t>
            </w:r>
          </w:p>
        </w:tc>
        <w:tc>
          <w:tcPr>
            <w:tcW w:w="100" w:type="dxa"/>
            <w:vAlign w:val="bottom"/>
            <w:shd w:val="clear" w:color="auto" w:fill="CCEEFF"/>
          </w:tcPr>
          <w:p>
            <w:pPr>
              <w:spacing w:after="0"/>
              <w:rPr>
                <w:sz w:val="10"/>
                <w:szCs w:val="10"/>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1"/>
                <w:szCs w:val="11"/>
                <w:color w:val="050505"/>
              </w:rPr>
              <w:t>10/12/2027</w:t>
            </w:r>
          </w:p>
        </w:tc>
        <w:tc>
          <w:tcPr>
            <w:tcW w:w="60" w:type="dxa"/>
            <w:vAlign w:val="bottom"/>
            <w:shd w:val="clear" w:color="auto" w:fill="CCEEFF"/>
          </w:tcPr>
          <w:p>
            <w:pPr>
              <w:spacing w:after="0"/>
              <w:rPr>
                <w:sz w:val="10"/>
                <w:szCs w:val="10"/>
                <w:color w:val="auto"/>
              </w:rPr>
            </w:pPr>
          </w:p>
        </w:tc>
      </w:tr>
      <w:tr>
        <w:trPr>
          <w:trHeight w:val="126"/>
        </w:trPr>
        <w:tc>
          <w:tcPr>
            <w:tcW w:w="6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1560" w:type="dxa"/>
            <w:vAlign w:val="bottom"/>
            <w:gridSpan w:val="3"/>
            <w:shd w:val="clear" w:color="auto" w:fill="CCEEFF"/>
          </w:tcPr>
          <w:p>
            <w:pPr>
              <w:jc w:val="right"/>
              <w:ind w:right="94"/>
              <w:spacing w:after="0" w:line="126" w:lineRule="exact"/>
              <w:rPr>
                <w:sz w:val="20"/>
                <w:szCs w:val="20"/>
                <w:color w:val="auto"/>
              </w:rPr>
            </w:pPr>
            <w:r>
              <w:rPr>
                <w:rFonts w:ascii="Arial" w:cs="Arial" w:eastAsia="Arial" w:hAnsi="Arial"/>
                <w:sz w:val="9"/>
                <w:szCs w:val="9"/>
                <w:color w:val="050505"/>
              </w:rPr>
              <w:t>3/15/2018</w:t>
            </w:r>
            <w:r>
              <w:rPr>
                <w:rFonts w:ascii="Arial" w:cs="Arial" w:eastAsia="Arial" w:hAnsi="Arial"/>
                <w:sz w:val="14"/>
                <w:szCs w:val="14"/>
                <w:color w:val="050505"/>
                <w:vertAlign w:val="superscript"/>
              </w:rPr>
              <w:t>(3)</w:t>
            </w:r>
          </w:p>
        </w:tc>
        <w:tc>
          <w:tcPr>
            <w:tcW w:w="600" w:type="dxa"/>
            <w:vAlign w:val="bottom"/>
            <w:shd w:val="clear" w:color="auto" w:fill="CCEEFF"/>
          </w:tcPr>
          <w:p>
            <w:pPr>
              <w:jc w:val="right"/>
              <w:spacing w:after="0"/>
              <w:rPr>
                <w:sz w:val="20"/>
                <w:szCs w:val="20"/>
                <w:color w:val="auto"/>
              </w:rPr>
            </w:pPr>
            <w:r>
              <w:rPr>
                <w:rFonts w:ascii="Arial" w:cs="Arial" w:eastAsia="Arial" w:hAnsi="Arial"/>
                <w:sz w:val="11"/>
                <w:szCs w:val="11"/>
                <w:color w:val="050505"/>
              </w:rPr>
              <w:t>4/2/2018</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050505"/>
              </w:rPr>
              <w:t>1,200,000</w:t>
            </w:r>
          </w:p>
        </w:tc>
        <w:tc>
          <w:tcPr>
            <w:tcW w:w="160" w:type="dxa"/>
            <w:vAlign w:val="bottom"/>
            <w:shd w:val="clear" w:color="auto" w:fill="CCEEFF"/>
          </w:tcPr>
          <w:p>
            <w:pPr>
              <w:spacing w:after="0"/>
              <w:rPr>
                <w:sz w:val="10"/>
                <w:szCs w:val="10"/>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050505"/>
              </w:rPr>
              <w:t>—</w:t>
            </w:r>
          </w:p>
        </w:tc>
        <w:tc>
          <w:tcPr>
            <w:tcW w:w="160" w:type="dxa"/>
            <w:vAlign w:val="bottom"/>
            <w:shd w:val="clear" w:color="auto" w:fill="CCEEFF"/>
          </w:tcPr>
          <w:p>
            <w:pPr>
              <w:spacing w:after="0"/>
              <w:rPr>
                <w:sz w:val="10"/>
                <w:szCs w:val="1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1"/>
                <w:szCs w:val="11"/>
                <w:color w:val="050505"/>
              </w:rPr>
              <w:t>—</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050505"/>
              </w:rPr>
              <w:t>3.28</w:t>
            </w:r>
          </w:p>
        </w:tc>
        <w:tc>
          <w:tcPr>
            <w:tcW w:w="100" w:type="dxa"/>
            <w:vAlign w:val="bottom"/>
            <w:shd w:val="clear" w:color="auto" w:fill="CCEEFF"/>
          </w:tcPr>
          <w:p>
            <w:pPr>
              <w:spacing w:after="0"/>
              <w:rPr>
                <w:sz w:val="10"/>
                <w:szCs w:val="10"/>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1"/>
                <w:szCs w:val="11"/>
                <w:color w:val="050505"/>
              </w:rPr>
              <w:t>4/1/2028</w:t>
            </w:r>
          </w:p>
        </w:tc>
        <w:tc>
          <w:tcPr>
            <w:tcW w:w="60" w:type="dxa"/>
            <w:vAlign w:val="bottom"/>
            <w:shd w:val="clear" w:color="auto" w:fill="CCEEFF"/>
          </w:tcPr>
          <w:p>
            <w:pPr>
              <w:spacing w:after="0"/>
              <w:rPr>
                <w:sz w:val="10"/>
                <w:szCs w:val="10"/>
                <w:color w:val="auto"/>
              </w:rPr>
            </w:pPr>
          </w:p>
        </w:tc>
      </w:tr>
      <w:tr>
        <w:trPr>
          <w:trHeight w:val="137"/>
        </w:trPr>
        <w:tc>
          <w:tcPr>
            <w:tcW w:w="6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560" w:type="dxa"/>
            <w:vAlign w:val="bottom"/>
            <w:gridSpan w:val="3"/>
            <w:shd w:val="clear" w:color="auto" w:fill="CCEEFF"/>
          </w:tcPr>
          <w:p>
            <w:pPr>
              <w:jc w:val="right"/>
              <w:ind w:right="94"/>
              <w:spacing w:after="0" w:line="137" w:lineRule="exact"/>
              <w:rPr>
                <w:sz w:val="20"/>
                <w:szCs w:val="20"/>
                <w:color w:val="auto"/>
              </w:rPr>
            </w:pPr>
            <w:r>
              <w:rPr>
                <w:rFonts w:ascii="Arial" w:cs="Arial" w:eastAsia="Arial" w:hAnsi="Arial"/>
                <w:sz w:val="9"/>
                <w:szCs w:val="9"/>
                <w:color w:val="050505"/>
              </w:rPr>
              <w:t>1/17/2019</w:t>
            </w:r>
            <w:r>
              <w:rPr>
                <w:rFonts w:ascii="Arial" w:cs="Arial" w:eastAsia="Arial" w:hAnsi="Arial"/>
                <w:sz w:val="15"/>
                <w:szCs w:val="15"/>
                <w:color w:val="050505"/>
                <w:vertAlign w:val="superscript"/>
              </w:rPr>
              <w:t>(3)</w:t>
            </w:r>
          </w:p>
        </w:tc>
        <w:tc>
          <w:tcPr>
            <w:tcW w:w="600" w:type="dxa"/>
            <w:vAlign w:val="bottom"/>
            <w:shd w:val="clear" w:color="auto" w:fill="CCEEFF"/>
          </w:tcPr>
          <w:p>
            <w:pPr>
              <w:jc w:val="right"/>
              <w:spacing w:after="0"/>
              <w:rPr>
                <w:sz w:val="20"/>
                <w:szCs w:val="20"/>
                <w:color w:val="auto"/>
              </w:rPr>
            </w:pPr>
            <w:r>
              <w:rPr>
                <w:rFonts w:ascii="Arial" w:cs="Arial" w:eastAsia="Arial" w:hAnsi="Arial"/>
                <w:sz w:val="11"/>
                <w:szCs w:val="11"/>
                <w:color w:val="050505"/>
              </w:rPr>
              <w:t>1/17/2019</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050505"/>
              </w:rPr>
              <w:t>3,100,000</w:t>
            </w:r>
          </w:p>
        </w:tc>
        <w:tc>
          <w:tcPr>
            <w:tcW w:w="16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050505"/>
              </w:rPr>
              <w:t>—</w:t>
            </w:r>
          </w:p>
        </w:tc>
        <w:tc>
          <w:tcPr>
            <w:tcW w:w="160" w:type="dxa"/>
            <w:vAlign w:val="bottom"/>
            <w:shd w:val="clear" w:color="auto" w:fill="CCEEFF"/>
          </w:tcPr>
          <w:p>
            <w:pPr>
              <w:spacing w:after="0"/>
              <w:rPr>
                <w:sz w:val="11"/>
                <w:szCs w:val="11"/>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1"/>
                <w:szCs w:val="11"/>
                <w:color w:val="050505"/>
              </w:rPr>
              <w:t>—</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050505"/>
              </w:rPr>
              <w:t>8.82</w:t>
            </w: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1"/>
                <w:szCs w:val="11"/>
                <w:color w:val="050505"/>
              </w:rPr>
              <w:t>1/16/2029</w:t>
            </w:r>
          </w:p>
        </w:tc>
        <w:tc>
          <w:tcPr>
            <w:tcW w:w="60" w:type="dxa"/>
            <w:vAlign w:val="bottom"/>
            <w:shd w:val="clear" w:color="auto" w:fill="CCEEFF"/>
          </w:tcPr>
          <w:p>
            <w:pPr>
              <w:spacing w:after="0"/>
              <w:rPr>
                <w:sz w:val="11"/>
                <w:szCs w:val="11"/>
                <w:color w:val="auto"/>
              </w:rPr>
            </w:pPr>
          </w:p>
        </w:tc>
      </w:tr>
      <w:tr>
        <w:trPr>
          <w:trHeight w:val="124"/>
        </w:trPr>
        <w:tc>
          <w:tcPr>
            <w:tcW w:w="1200" w:type="dxa"/>
            <w:vAlign w:val="bottom"/>
            <w:gridSpan w:val="3"/>
          </w:tcPr>
          <w:p>
            <w:pPr>
              <w:ind w:left="40"/>
              <w:spacing w:after="0" w:line="124" w:lineRule="exact"/>
              <w:rPr>
                <w:sz w:val="20"/>
                <w:szCs w:val="20"/>
                <w:color w:val="auto"/>
              </w:rPr>
            </w:pPr>
            <w:r>
              <w:rPr>
                <w:rFonts w:ascii="Arial" w:cs="Arial" w:eastAsia="Arial" w:hAnsi="Arial"/>
                <w:sz w:val="11"/>
                <w:szCs w:val="11"/>
                <w:color w:val="050505"/>
              </w:rPr>
              <w:t>William Lynch</w:t>
            </w:r>
          </w:p>
        </w:tc>
        <w:tc>
          <w:tcPr>
            <w:tcW w:w="1560" w:type="dxa"/>
            <w:vAlign w:val="bottom"/>
            <w:gridSpan w:val="3"/>
          </w:tcPr>
          <w:p>
            <w:pPr>
              <w:jc w:val="right"/>
              <w:ind w:right="94"/>
              <w:spacing w:after="0" w:line="124" w:lineRule="exact"/>
              <w:rPr>
                <w:sz w:val="20"/>
                <w:szCs w:val="20"/>
                <w:color w:val="auto"/>
              </w:rPr>
            </w:pPr>
            <w:r>
              <w:rPr>
                <w:rFonts w:ascii="Arial" w:cs="Arial" w:eastAsia="Arial" w:hAnsi="Arial"/>
                <w:sz w:val="9"/>
                <w:szCs w:val="9"/>
                <w:color w:val="050505"/>
              </w:rPr>
              <w:t>2/9/2017</w:t>
            </w:r>
            <w:r>
              <w:rPr>
                <w:rFonts w:ascii="Arial" w:cs="Arial" w:eastAsia="Arial" w:hAnsi="Arial"/>
                <w:sz w:val="14"/>
                <w:szCs w:val="14"/>
                <w:color w:val="050505"/>
                <w:vertAlign w:val="superscript"/>
              </w:rPr>
              <w:t>(2)</w:t>
            </w:r>
          </w:p>
        </w:tc>
        <w:tc>
          <w:tcPr>
            <w:tcW w:w="600" w:type="dxa"/>
            <w:vAlign w:val="bottom"/>
          </w:tcPr>
          <w:p>
            <w:pPr>
              <w:jc w:val="right"/>
              <w:spacing w:after="0" w:line="124" w:lineRule="exact"/>
              <w:rPr>
                <w:sz w:val="20"/>
                <w:szCs w:val="20"/>
                <w:color w:val="auto"/>
              </w:rPr>
            </w:pPr>
            <w:r>
              <w:rPr>
                <w:rFonts w:ascii="Arial" w:cs="Arial" w:eastAsia="Arial" w:hAnsi="Arial"/>
                <w:sz w:val="11"/>
                <w:szCs w:val="11"/>
                <w:color w:val="050505"/>
              </w:rPr>
              <w:t>8/8/2017</w:t>
            </w:r>
          </w:p>
        </w:tc>
        <w:tc>
          <w:tcPr>
            <w:tcW w:w="780" w:type="dxa"/>
            <w:vAlign w:val="bottom"/>
            <w:gridSpan w:val="2"/>
          </w:tcPr>
          <w:p>
            <w:pPr>
              <w:jc w:val="right"/>
              <w:spacing w:after="0" w:line="124" w:lineRule="exact"/>
              <w:rPr>
                <w:sz w:val="20"/>
                <w:szCs w:val="20"/>
                <w:color w:val="auto"/>
              </w:rPr>
            </w:pPr>
            <w:r>
              <w:rPr>
                <w:rFonts w:ascii="Arial" w:cs="Arial" w:eastAsia="Arial" w:hAnsi="Arial"/>
                <w:sz w:val="11"/>
                <w:szCs w:val="11"/>
                <w:color w:val="050505"/>
              </w:rPr>
              <w:t>847,716</w:t>
            </w:r>
          </w:p>
        </w:tc>
        <w:tc>
          <w:tcPr>
            <w:tcW w:w="160" w:type="dxa"/>
            <w:vAlign w:val="bottom"/>
          </w:tcPr>
          <w:p>
            <w:pPr>
              <w:spacing w:after="0"/>
              <w:rPr>
                <w:sz w:val="10"/>
                <w:szCs w:val="10"/>
                <w:color w:val="auto"/>
              </w:rPr>
            </w:pPr>
          </w:p>
        </w:tc>
        <w:tc>
          <w:tcPr>
            <w:tcW w:w="720" w:type="dxa"/>
            <w:vAlign w:val="bottom"/>
          </w:tcPr>
          <w:p>
            <w:pPr>
              <w:jc w:val="right"/>
              <w:spacing w:after="0" w:line="124" w:lineRule="exact"/>
              <w:rPr>
                <w:sz w:val="20"/>
                <w:szCs w:val="20"/>
                <w:color w:val="auto"/>
              </w:rPr>
            </w:pPr>
            <w:r>
              <w:rPr>
                <w:rFonts w:ascii="Arial" w:cs="Arial" w:eastAsia="Arial" w:hAnsi="Arial"/>
                <w:sz w:val="11"/>
                <w:szCs w:val="11"/>
                <w:color w:val="050505"/>
              </w:rPr>
              <w:t>—</w:t>
            </w:r>
          </w:p>
        </w:tc>
        <w:tc>
          <w:tcPr>
            <w:tcW w:w="160" w:type="dxa"/>
            <w:vAlign w:val="bottom"/>
          </w:tcPr>
          <w:p>
            <w:pPr>
              <w:spacing w:after="0"/>
              <w:rPr>
                <w:sz w:val="10"/>
                <w:szCs w:val="10"/>
                <w:color w:val="auto"/>
              </w:rPr>
            </w:pPr>
          </w:p>
        </w:tc>
        <w:tc>
          <w:tcPr>
            <w:tcW w:w="840" w:type="dxa"/>
            <w:vAlign w:val="bottom"/>
          </w:tcPr>
          <w:p>
            <w:pPr>
              <w:jc w:val="right"/>
              <w:spacing w:after="0" w:line="124" w:lineRule="exact"/>
              <w:rPr>
                <w:sz w:val="20"/>
                <w:szCs w:val="20"/>
                <w:color w:val="auto"/>
              </w:rPr>
            </w:pPr>
            <w:r>
              <w:rPr>
                <w:rFonts w:ascii="Arial" w:cs="Arial" w:eastAsia="Arial" w:hAnsi="Arial"/>
                <w:sz w:val="11"/>
                <w:szCs w:val="11"/>
                <w:color w:val="050505"/>
              </w:rPr>
              <w:t>—</w:t>
            </w:r>
          </w:p>
        </w:tc>
        <w:tc>
          <w:tcPr>
            <w:tcW w:w="580" w:type="dxa"/>
            <w:vAlign w:val="bottom"/>
            <w:gridSpan w:val="2"/>
          </w:tcPr>
          <w:p>
            <w:pPr>
              <w:jc w:val="right"/>
              <w:spacing w:after="0" w:line="124" w:lineRule="exact"/>
              <w:rPr>
                <w:sz w:val="20"/>
                <w:szCs w:val="20"/>
                <w:color w:val="auto"/>
              </w:rPr>
            </w:pPr>
            <w:r>
              <w:rPr>
                <w:rFonts w:ascii="Arial" w:cs="Arial" w:eastAsia="Arial" w:hAnsi="Arial"/>
                <w:sz w:val="11"/>
                <w:szCs w:val="11"/>
                <w:color w:val="050505"/>
              </w:rPr>
              <w:t>2.89</w:t>
            </w:r>
          </w:p>
        </w:tc>
        <w:tc>
          <w:tcPr>
            <w:tcW w:w="100" w:type="dxa"/>
            <w:vAlign w:val="bottom"/>
          </w:tcPr>
          <w:p>
            <w:pPr>
              <w:spacing w:after="0"/>
              <w:rPr>
                <w:sz w:val="10"/>
                <w:szCs w:val="10"/>
                <w:color w:val="auto"/>
              </w:rPr>
            </w:pPr>
          </w:p>
        </w:tc>
        <w:tc>
          <w:tcPr>
            <w:tcW w:w="600" w:type="dxa"/>
            <w:vAlign w:val="bottom"/>
          </w:tcPr>
          <w:p>
            <w:pPr>
              <w:jc w:val="right"/>
              <w:spacing w:after="0" w:line="124" w:lineRule="exact"/>
              <w:rPr>
                <w:sz w:val="20"/>
                <w:szCs w:val="20"/>
                <w:color w:val="auto"/>
              </w:rPr>
            </w:pPr>
            <w:r>
              <w:rPr>
                <w:rFonts w:ascii="Arial" w:cs="Arial" w:eastAsia="Arial" w:hAnsi="Arial"/>
                <w:sz w:val="11"/>
                <w:szCs w:val="11"/>
                <w:color w:val="050505"/>
              </w:rPr>
              <w:t>8/7/2027</w:t>
            </w:r>
          </w:p>
        </w:tc>
        <w:tc>
          <w:tcPr>
            <w:tcW w:w="60" w:type="dxa"/>
            <w:vAlign w:val="bottom"/>
          </w:tcPr>
          <w:p>
            <w:pPr>
              <w:spacing w:after="0"/>
              <w:rPr>
                <w:sz w:val="10"/>
                <w:szCs w:val="10"/>
                <w:color w:val="auto"/>
              </w:rPr>
            </w:pPr>
          </w:p>
        </w:tc>
      </w:tr>
      <w:tr>
        <w:trPr>
          <w:trHeight w:val="126"/>
        </w:trPr>
        <w:tc>
          <w:tcPr>
            <w:tcW w:w="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560" w:type="dxa"/>
            <w:vAlign w:val="bottom"/>
            <w:gridSpan w:val="3"/>
          </w:tcPr>
          <w:p>
            <w:pPr>
              <w:jc w:val="right"/>
              <w:ind w:right="94"/>
              <w:spacing w:after="0" w:line="126" w:lineRule="exact"/>
              <w:rPr>
                <w:sz w:val="20"/>
                <w:szCs w:val="20"/>
                <w:color w:val="auto"/>
              </w:rPr>
            </w:pPr>
            <w:r>
              <w:rPr>
                <w:rFonts w:ascii="Arial" w:cs="Arial" w:eastAsia="Arial" w:hAnsi="Arial"/>
                <w:sz w:val="9"/>
                <w:szCs w:val="9"/>
                <w:color w:val="050505"/>
              </w:rPr>
              <w:t>3/15/2018</w:t>
            </w:r>
            <w:r>
              <w:rPr>
                <w:rFonts w:ascii="Arial" w:cs="Arial" w:eastAsia="Arial" w:hAnsi="Arial"/>
                <w:sz w:val="14"/>
                <w:szCs w:val="14"/>
                <w:color w:val="050505"/>
                <w:vertAlign w:val="superscript"/>
              </w:rPr>
              <w:t>(3)</w:t>
            </w:r>
          </w:p>
        </w:tc>
        <w:tc>
          <w:tcPr>
            <w:tcW w:w="600" w:type="dxa"/>
            <w:vAlign w:val="bottom"/>
          </w:tcPr>
          <w:p>
            <w:pPr>
              <w:jc w:val="right"/>
              <w:spacing w:after="0"/>
              <w:rPr>
                <w:sz w:val="20"/>
                <w:szCs w:val="20"/>
                <w:color w:val="auto"/>
              </w:rPr>
            </w:pPr>
            <w:r>
              <w:rPr>
                <w:rFonts w:ascii="Arial" w:cs="Arial" w:eastAsia="Arial" w:hAnsi="Arial"/>
                <w:sz w:val="11"/>
                <w:szCs w:val="11"/>
                <w:color w:val="050505"/>
              </w:rPr>
              <w:t>4/2/2018</w:t>
            </w:r>
          </w:p>
        </w:tc>
        <w:tc>
          <w:tcPr>
            <w:tcW w:w="780" w:type="dxa"/>
            <w:vAlign w:val="bottom"/>
            <w:gridSpan w:val="2"/>
          </w:tcPr>
          <w:p>
            <w:pPr>
              <w:jc w:val="right"/>
              <w:spacing w:after="0"/>
              <w:rPr>
                <w:sz w:val="20"/>
                <w:szCs w:val="20"/>
                <w:color w:val="auto"/>
              </w:rPr>
            </w:pPr>
            <w:r>
              <w:rPr>
                <w:rFonts w:ascii="Arial" w:cs="Arial" w:eastAsia="Arial" w:hAnsi="Arial"/>
                <w:sz w:val="11"/>
                <w:szCs w:val="11"/>
                <w:color w:val="050505"/>
              </w:rPr>
              <w:t>800,000</w:t>
            </w:r>
          </w:p>
        </w:tc>
        <w:tc>
          <w:tcPr>
            <w:tcW w:w="160" w:type="dxa"/>
            <w:vAlign w:val="bottom"/>
          </w:tcPr>
          <w:p>
            <w:pPr>
              <w:spacing w:after="0"/>
              <w:rPr>
                <w:sz w:val="10"/>
                <w:szCs w:val="10"/>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050505"/>
              </w:rPr>
              <w:t>—</w:t>
            </w:r>
          </w:p>
        </w:tc>
        <w:tc>
          <w:tcPr>
            <w:tcW w:w="160" w:type="dxa"/>
            <w:vAlign w:val="bottom"/>
          </w:tcPr>
          <w:p>
            <w:pPr>
              <w:spacing w:after="0"/>
              <w:rPr>
                <w:sz w:val="10"/>
                <w:szCs w:val="10"/>
                <w:color w:val="auto"/>
              </w:rPr>
            </w:pPr>
          </w:p>
        </w:tc>
        <w:tc>
          <w:tcPr>
            <w:tcW w:w="840" w:type="dxa"/>
            <w:vAlign w:val="bottom"/>
          </w:tcPr>
          <w:p>
            <w:pPr>
              <w:jc w:val="right"/>
              <w:spacing w:after="0"/>
              <w:rPr>
                <w:sz w:val="20"/>
                <w:szCs w:val="20"/>
                <w:color w:val="auto"/>
              </w:rPr>
            </w:pPr>
            <w:r>
              <w:rPr>
                <w:rFonts w:ascii="Arial" w:cs="Arial" w:eastAsia="Arial" w:hAnsi="Arial"/>
                <w:sz w:val="11"/>
                <w:szCs w:val="11"/>
                <w:color w:val="050505"/>
              </w:rPr>
              <w:t>—</w:t>
            </w:r>
          </w:p>
        </w:tc>
        <w:tc>
          <w:tcPr>
            <w:tcW w:w="580" w:type="dxa"/>
            <w:vAlign w:val="bottom"/>
            <w:gridSpan w:val="2"/>
          </w:tcPr>
          <w:p>
            <w:pPr>
              <w:jc w:val="right"/>
              <w:spacing w:after="0"/>
              <w:rPr>
                <w:sz w:val="20"/>
                <w:szCs w:val="20"/>
                <w:color w:val="auto"/>
              </w:rPr>
            </w:pPr>
            <w:r>
              <w:rPr>
                <w:rFonts w:ascii="Arial" w:cs="Arial" w:eastAsia="Arial" w:hAnsi="Arial"/>
                <w:sz w:val="11"/>
                <w:szCs w:val="11"/>
                <w:color w:val="050505"/>
              </w:rPr>
              <w:t>3.28</w:t>
            </w:r>
          </w:p>
        </w:tc>
        <w:tc>
          <w:tcPr>
            <w:tcW w:w="100" w:type="dxa"/>
            <w:vAlign w:val="bottom"/>
          </w:tcPr>
          <w:p>
            <w:pPr>
              <w:spacing w:after="0"/>
              <w:rPr>
                <w:sz w:val="10"/>
                <w:szCs w:val="10"/>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050505"/>
              </w:rPr>
              <w:t>4/1/2028</w:t>
            </w:r>
          </w:p>
        </w:tc>
        <w:tc>
          <w:tcPr>
            <w:tcW w:w="60" w:type="dxa"/>
            <w:vAlign w:val="bottom"/>
          </w:tcPr>
          <w:p>
            <w:pPr>
              <w:spacing w:after="0"/>
              <w:rPr>
                <w:sz w:val="10"/>
                <w:szCs w:val="10"/>
                <w:color w:val="auto"/>
              </w:rPr>
            </w:pPr>
          </w:p>
        </w:tc>
      </w:tr>
      <w:tr>
        <w:trPr>
          <w:trHeight w:val="137"/>
        </w:trPr>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560" w:type="dxa"/>
            <w:vAlign w:val="bottom"/>
            <w:gridSpan w:val="3"/>
          </w:tcPr>
          <w:p>
            <w:pPr>
              <w:jc w:val="right"/>
              <w:ind w:right="94"/>
              <w:spacing w:after="0" w:line="137" w:lineRule="exact"/>
              <w:rPr>
                <w:sz w:val="20"/>
                <w:szCs w:val="20"/>
                <w:color w:val="auto"/>
              </w:rPr>
            </w:pPr>
            <w:r>
              <w:rPr>
                <w:rFonts w:ascii="Arial" w:cs="Arial" w:eastAsia="Arial" w:hAnsi="Arial"/>
                <w:sz w:val="9"/>
                <w:szCs w:val="9"/>
                <w:color w:val="050505"/>
              </w:rPr>
              <w:t>1/17/2019</w:t>
            </w:r>
            <w:r>
              <w:rPr>
                <w:rFonts w:ascii="Arial" w:cs="Arial" w:eastAsia="Arial" w:hAnsi="Arial"/>
                <w:sz w:val="15"/>
                <w:szCs w:val="15"/>
                <w:color w:val="050505"/>
                <w:vertAlign w:val="superscript"/>
              </w:rPr>
              <w:t>(3)</w:t>
            </w:r>
          </w:p>
        </w:tc>
        <w:tc>
          <w:tcPr>
            <w:tcW w:w="600" w:type="dxa"/>
            <w:vAlign w:val="bottom"/>
          </w:tcPr>
          <w:p>
            <w:pPr>
              <w:jc w:val="right"/>
              <w:spacing w:after="0"/>
              <w:rPr>
                <w:sz w:val="20"/>
                <w:szCs w:val="20"/>
                <w:color w:val="auto"/>
              </w:rPr>
            </w:pPr>
            <w:r>
              <w:rPr>
                <w:rFonts w:ascii="Arial" w:cs="Arial" w:eastAsia="Arial" w:hAnsi="Arial"/>
                <w:sz w:val="11"/>
                <w:szCs w:val="11"/>
                <w:color w:val="050505"/>
              </w:rPr>
              <w:t>1/17/2019</w:t>
            </w:r>
          </w:p>
        </w:tc>
        <w:tc>
          <w:tcPr>
            <w:tcW w:w="780" w:type="dxa"/>
            <w:vAlign w:val="bottom"/>
            <w:gridSpan w:val="2"/>
          </w:tcPr>
          <w:p>
            <w:pPr>
              <w:jc w:val="right"/>
              <w:spacing w:after="0"/>
              <w:rPr>
                <w:sz w:val="20"/>
                <w:szCs w:val="20"/>
                <w:color w:val="auto"/>
              </w:rPr>
            </w:pPr>
            <w:r>
              <w:rPr>
                <w:rFonts w:ascii="Arial" w:cs="Arial" w:eastAsia="Arial" w:hAnsi="Arial"/>
                <w:sz w:val="11"/>
                <w:szCs w:val="11"/>
                <w:color w:val="050505"/>
              </w:rPr>
              <w:t>3,100,000</w:t>
            </w:r>
          </w:p>
        </w:tc>
        <w:tc>
          <w:tcPr>
            <w:tcW w:w="160" w:type="dxa"/>
            <w:vAlign w:val="bottom"/>
          </w:tcPr>
          <w:p>
            <w:pPr>
              <w:spacing w:after="0"/>
              <w:rPr>
                <w:sz w:val="11"/>
                <w:szCs w:val="11"/>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050505"/>
              </w:rPr>
              <w:t>—</w:t>
            </w:r>
          </w:p>
        </w:tc>
        <w:tc>
          <w:tcPr>
            <w:tcW w:w="160" w:type="dxa"/>
            <w:vAlign w:val="bottom"/>
          </w:tcPr>
          <w:p>
            <w:pPr>
              <w:spacing w:after="0"/>
              <w:rPr>
                <w:sz w:val="11"/>
                <w:szCs w:val="11"/>
                <w:color w:val="auto"/>
              </w:rPr>
            </w:pPr>
          </w:p>
        </w:tc>
        <w:tc>
          <w:tcPr>
            <w:tcW w:w="840" w:type="dxa"/>
            <w:vAlign w:val="bottom"/>
          </w:tcPr>
          <w:p>
            <w:pPr>
              <w:jc w:val="right"/>
              <w:spacing w:after="0"/>
              <w:rPr>
                <w:sz w:val="20"/>
                <w:szCs w:val="20"/>
                <w:color w:val="auto"/>
              </w:rPr>
            </w:pPr>
            <w:r>
              <w:rPr>
                <w:rFonts w:ascii="Arial" w:cs="Arial" w:eastAsia="Arial" w:hAnsi="Arial"/>
                <w:sz w:val="11"/>
                <w:szCs w:val="11"/>
                <w:color w:val="050505"/>
              </w:rPr>
              <w:t>—</w:t>
            </w:r>
          </w:p>
        </w:tc>
        <w:tc>
          <w:tcPr>
            <w:tcW w:w="580" w:type="dxa"/>
            <w:vAlign w:val="bottom"/>
            <w:gridSpan w:val="2"/>
          </w:tcPr>
          <w:p>
            <w:pPr>
              <w:jc w:val="right"/>
              <w:spacing w:after="0"/>
              <w:rPr>
                <w:sz w:val="20"/>
                <w:szCs w:val="20"/>
                <w:color w:val="auto"/>
              </w:rPr>
            </w:pPr>
            <w:r>
              <w:rPr>
                <w:rFonts w:ascii="Arial" w:cs="Arial" w:eastAsia="Arial" w:hAnsi="Arial"/>
                <w:sz w:val="11"/>
                <w:szCs w:val="11"/>
                <w:color w:val="050505"/>
              </w:rPr>
              <w:t>8.82</w:t>
            </w: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050505"/>
              </w:rPr>
              <w:t>1/16/2029</w:t>
            </w:r>
          </w:p>
        </w:tc>
        <w:tc>
          <w:tcPr>
            <w:tcW w:w="60" w:type="dxa"/>
            <w:vAlign w:val="bottom"/>
          </w:tcPr>
          <w:p>
            <w:pPr>
              <w:spacing w:after="0"/>
              <w:rPr>
                <w:sz w:val="11"/>
                <w:szCs w:val="11"/>
                <w:color w:val="auto"/>
              </w:rPr>
            </w:pPr>
          </w:p>
        </w:tc>
      </w:tr>
      <w:tr>
        <w:trPr>
          <w:trHeight w:val="124"/>
        </w:trPr>
        <w:tc>
          <w:tcPr>
            <w:tcW w:w="1200" w:type="dxa"/>
            <w:vAlign w:val="bottom"/>
            <w:gridSpan w:val="3"/>
            <w:shd w:val="clear" w:color="auto" w:fill="CCEEFF"/>
          </w:tcPr>
          <w:p>
            <w:pPr>
              <w:ind w:left="40"/>
              <w:spacing w:after="0" w:line="124" w:lineRule="exact"/>
              <w:rPr>
                <w:sz w:val="20"/>
                <w:szCs w:val="20"/>
                <w:color w:val="auto"/>
              </w:rPr>
            </w:pPr>
            <w:r>
              <w:rPr>
                <w:rFonts w:ascii="Arial" w:cs="Arial" w:eastAsia="Arial" w:hAnsi="Arial"/>
                <w:sz w:val="11"/>
                <w:szCs w:val="11"/>
                <w:color w:val="050505"/>
              </w:rPr>
              <w:t>Jill Woodworth</w:t>
            </w:r>
          </w:p>
        </w:tc>
        <w:tc>
          <w:tcPr>
            <w:tcW w:w="1560" w:type="dxa"/>
            <w:vAlign w:val="bottom"/>
            <w:gridSpan w:val="3"/>
            <w:shd w:val="clear" w:color="auto" w:fill="CCEEFF"/>
          </w:tcPr>
          <w:p>
            <w:pPr>
              <w:jc w:val="right"/>
              <w:ind w:right="94"/>
              <w:spacing w:after="0" w:line="124" w:lineRule="exact"/>
              <w:rPr>
                <w:sz w:val="20"/>
                <w:szCs w:val="20"/>
                <w:color w:val="auto"/>
              </w:rPr>
            </w:pPr>
            <w:r>
              <w:rPr>
                <w:rFonts w:ascii="Arial" w:cs="Arial" w:eastAsia="Arial" w:hAnsi="Arial"/>
                <w:sz w:val="9"/>
                <w:szCs w:val="9"/>
                <w:color w:val="050505"/>
              </w:rPr>
              <w:t>4/23/2018</w:t>
            </w:r>
            <w:r>
              <w:rPr>
                <w:rFonts w:ascii="Arial" w:cs="Arial" w:eastAsia="Arial" w:hAnsi="Arial"/>
                <w:sz w:val="14"/>
                <w:szCs w:val="14"/>
                <w:color w:val="050505"/>
                <w:vertAlign w:val="superscript"/>
              </w:rPr>
              <w:t>(2)</w:t>
            </w:r>
          </w:p>
        </w:tc>
        <w:tc>
          <w:tcPr>
            <w:tcW w:w="600" w:type="dxa"/>
            <w:vAlign w:val="bottom"/>
            <w:shd w:val="clear" w:color="auto" w:fill="CCEEFF"/>
          </w:tcPr>
          <w:p>
            <w:pPr>
              <w:jc w:val="right"/>
              <w:spacing w:after="0" w:line="124" w:lineRule="exact"/>
              <w:rPr>
                <w:sz w:val="20"/>
                <w:szCs w:val="20"/>
                <w:color w:val="auto"/>
              </w:rPr>
            </w:pPr>
            <w:r>
              <w:rPr>
                <w:rFonts w:ascii="Arial" w:cs="Arial" w:eastAsia="Arial" w:hAnsi="Arial"/>
                <w:sz w:val="11"/>
                <w:szCs w:val="11"/>
                <w:color w:val="050505"/>
              </w:rPr>
              <w:t>4/2/2018</w:t>
            </w:r>
          </w:p>
        </w:tc>
        <w:tc>
          <w:tcPr>
            <w:tcW w:w="780" w:type="dxa"/>
            <w:vAlign w:val="bottom"/>
            <w:gridSpan w:val="2"/>
            <w:shd w:val="clear" w:color="auto" w:fill="CCEEFF"/>
          </w:tcPr>
          <w:p>
            <w:pPr>
              <w:jc w:val="right"/>
              <w:spacing w:after="0" w:line="124" w:lineRule="exact"/>
              <w:rPr>
                <w:sz w:val="20"/>
                <w:szCs w:val="20"/>
                <w:color w:val="auto"/>
              </w:rPr>
            </w:pPr>
            <w:r>
              <w:rPr>
                <w:rFonts w:ascii="Arial" w:cs="Arial" w:eastAsia="Arial" w:hAnsi="Arial"/>
                <w:sz w:val="11"/>
                <w:szCs w:val="11"/>
                <w:color w:val="050505"/>
              </w:rPr>
              <w:t>2,000,000</w:t>
            </w:r>
          </w:p>
        </w:tc>
        <w:tc>
          <w:tcPr>
            <w:tcW w:w="160" w:type="dxa"/>
            <w:vAlign w:val="bottom"/>
            <w:shd w:val="clear" w:color="auto" w:fill="CCEEFF"/>
          </w:tcPr>
          <w:p>
            <w:pPr>
              <w:spacing w:after="0"/>
              <w:rPr>
                <w:sz w:val="10"/>
                <w:szCs w:val="10"/>
                <w:color w:val="auto"/>
              </w:rPr>
            </w:pPr>
          </w:p>
        </w:tc>
        <w:tc>
          <w:tcPr>
            <w:tcW w:w="720" w:type="dxa"/>
            <w:vAlign w:val="bottom"/>
            <w:shd w:val="clear" w:color="auto" w:fill="CCEEFF"/>
          </w:tcPr>
          <w:p>
            <w:pPr>
              <w:jc w:val="right"/>
              <w:spacing w:after="0" w:line="124" w:lineRule="exact"/>
              <w:rPr>
                <w:sz w:val="20"/>
                <w:szCs w:val="20"/>
                <w:color w:val="auto"/>
              </w:rPr>
            </w:pPr>
            <w:r>
              <w:rPr>
                <w:rFonts w:ascii="Arial" w:cs="Arial" w:eastAsia="Arial" w:hAnsi="Arial"/>
                <w:sz w:val="11"/>
                <w:szCs w:val="11"/>
                <w:color w:val="050505"/>
              </w:rPr>
              <w:t>—</w:t>
            </w:r>
          </w:p>
        </w:tc>
        <w:tc>
          <w:tcPr>
            <w:tcW w:w="160" w:type="dxa"/>
            <w:vAlign w:val="bottom"/>
            <w:shd w:val="clear" w:color="auto" w:fill="CCEEFF"/>
          </w:tcPr>
          <w:p>
            <w:pPr>
              <w:spacing w:after="0"/>
              <w:rPr>
                <w:sz w:val="10"/>
                <w:szCs w:val="10"/>
                <w:color w:val="auto"/>
              </w:rPr>
            </w:pPr>
          </w:p>
        </w:tc>
        <w:tc>
          <w:tcPr>
            <w:tcW w:w="840" w:type="dxa"/>
            <w:vAlign w:val="bottom"/>
            <w:shd w:val="clear" w:color="auto" w:fill="CCEEFF"/>
          </w:tcPr>
          <w:p>
            <w:pPr>
              <w:jc w:val="right"/>
              <w:spacing w:after="0" w:line="124" w:lineRule="exact"/>
              <w:rPr>
                <w:sz w:val="20"/>
                <w:szCs w:val="20"/>
                <w:color w:val="auto"/>
              </w:rPr>
            </w:pPr>
            <w:r>
              <w:rPr>
                <w:rFonts w:ascii="Arial" w:cs="Arial" w:eastAsia="Arial" w:hAnsi="Arial"/>
                <w:sz w:val="11"/>
                <w:szCs w:val="11"/>
                <w:color w:val="050505"/>
              </w:rPr>
              <w:t>—</w:t>
            </w:r>
          </w:p>
        </w:tc>
        <w:tc>
          <w:tcPr>
            <w:tcW w:w="580" w:type="dxa"/>
            <w:vAlign w:val="bottom"/>
            <w:gridSpan w:val="2"/>
            <w:shd w:val="clear" w:color="auto" w:fill="CCEEFF"/>
          </w:tcPr>
          <w:p>
            <w:pPr>
              <w:jc w:val="right"/>
              <w:spacing w:after="0" w:line="124" w:lineRule="exact"/>
              <w:rPr>
                <w:sz w:val="20"/>
                <w:szCs w:val="20"/>
                <w:color w:val="auto"/>
              </w:rPr>
            </w:pPr>
            <w:r>
              <w:rPr>
                <w:rFonts w:ascii="Arial" w:cs="Arial" w:eastAsia="Arial" w:hAnsi="Arial"/>
                <w:sz w:val="11"/>
                <w:szCs w:val="11"/>
                <w:color w:val="050505"/>
              </w:rPr>
              <w:t>3.28</w:t>
            </w:r>
          </w:p>
        </w:tc>
        <w:tc>
          <w:tcPr>
            <w:tcW w:w="100" w:type="dxa"/>
            <w:vAlign w:val="bottom"/>
            <w:shd w:val="clear" w:color="auto" w:fill="CCEEFF"/>
          </w:tcPr>
          <w:p>
            <w:pPr>
              <w:spacing w:after="0"/>
              <w:rPr>
                <w:sz w:val="10"/>
                <w:szCs w:val="10"/>
                <w:color w:val="auto"/>
              </w:rPr>
            </w:pPr>
          </w:p>
        </w:tc>
        <w:tc>
          <w:tcPr>
            <w:tcW w:w="600" w:type="dxa"/>
            <w:vAlign w:val="bottom"/>
            <w:shd w:val="clear" w:color="auto" w:fill="CCEEFF"/>
          </w:tcPr>
          <w:p>
            <w:pPr>
              <w:jc w:val="right"/>
              <w:spacing w:after="0" w:line="124" w:lineRule="exact"/>
              <w:rPr>
                <w:sz w:val="20"/>
                <w:szCs w:val="20"/>
                <w:color w:val="auto"/>
              </w:rPr>
            </w:pPr>
            <w:r>
              <w:rPr>
                <w:rFonts w:ascii="Arial" w:cs="Arial" w:eastAsia="Arial" w:hAnsi="Arial"/>
                <w:sz w:val="11"/>
                <w:szCs w:val="11"/>
                <w:color w:val="050505"/>
              </w:rPr>
              <w:t>4/1/2028</w:t>
            </w:r>
          </w:p>
        </w:tc>
        <w:tc>
          <w:tcPr>
            <w:tcW w:w="60" w:type="dxa"/>
            <w:vAlign w:val="bottom"/>
            <w:shd w:val="clear" w:color="auto" w:fill="CCEEFF"/>
          </w:tcPr>
          <w:p>
            <w:pPr>
              <w:spacing w:after="0"/>
              <w:rPr>
                <w:sz w:val="10"/>
                <w:szCs w:val="10"/>
                <w:color w:val="auto"/>
              </w:rPr>
            </w:pPr>
          </w:p>
        </w:tc>
      </w:tr>
      <w:tr>
        <w:trPr>
          <w:trHeight w:val="137"/>
        </w:trPr>
        <w:tc>
          <w:tcPr>
            <w:tcW w:w="6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560" w:type="dxa"/>
            <w:vAlign w:val="bottom"/>
            <w:gridSpan w:val="3"/>
            <w:shd w:val="clear" w:color="auto" w:fill="CCEEFF"/>
          </w:tcPr>
          <w:p>
            <w:pPr>
              <w:jc w:val="right"/>
              <w:ind w:right="94"/>
              <w:spacing w:after="0" w:line="137" w:lineRule="exact"/>
              <w:rPr>
                <w:sz w:val="20"/>
                <w:szCs w:val="20"/>
                <w:color w:val="auto"/>
              </w:rPr>
            </w:pPr>
            <w:r>
              <w:rPr>
                <w:rFonts w:ascii="Arial" w:cs="Arial" w:eastAsia="Arial" w:hAnsi="Arial"/>
                <w:sz w:val="9"/>
                <w:szCs w:val="9"/>
                <w:color w:val="050505"/>
              </w:rPr>
              <w:t>1/17/2019</w:t>
            </w:r>
            <w:r>
              <w:rPr>
                <w:rFonts w:ascii="Arial" w:cs="Arial" w:eastAsia="Arial" w:hAnsi="Arial"/>
                <w:sz w:val="15"/>
                <w:szCs w:val="15"/>
                <w:color w:val="050505"/>
                <w:vertAlign w:val="superscript"/>
              </w:rPr>
              <w:t>(3)</w:t>
            </w:r>
          </w:p>
        </w:tc>
        <w:tc>
          <w:tcPr>
            <w:tcW w:w="600" w:type="dxa"/>
            <w:vAlign w:val="bottom"/>
            <w:shd w:val="clear" w:color="auto" w:fill="CCEEFF"/>
          </w:tcPr>
          <w:p>
            <w:pPr>
              <w:jc w:val="right"/>
              <w:spacing w:after="0"/>
              <w:rPr>
                <w:sz w:val="20"/>
                <w:szCs w:val="20"/>
                <w:color w:val="auto"/>
              </w:rPr>
            </w:pPr>
            <w:r>
              <w:rPr>
                <w:rFonts w:ascii="Arial" w:cs="Arial" w:eastAsia="Arial" w:hAnsi="Arial"/>
                <w:sz w:val="11"/>
                <w:szCs w:val="11"/>
                <w:color w:val="050505"/>
              </w:rPr>
              <w:t>1/17/2019</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050505"/>
              </w:rPr>
              <w:t>1,500,000</w:t>
            </w:r>
          </w:p>
        </w:tc>
        <w:tc>
          <w:tcPr>
            <w:tcW w:w="16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050505"/>
              </w:rPr>
              <w:t>—</w:t>
            </w:r>
          </w:p>
        </w:tc>
        <w:tc>
          <w:tcPr>
            <w:tcW w:w="160" w:type="dxa"/>
            <w:vAlign w:val="bottom"/>
            <w:shd w:val="clear" w:color="auto" w:fill="CCEEFF"/>
          </w:tcPr>
          <w:p>
            <w:pPr>
              <w:spacing w:after="0"/>
              <w:rPr>
                <w:sz w:val="11"/>
                <w:szCs w:val="11"/>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1"/>
                <w:szCs w:val="11"/>
                <w:color w:val="050505"/>
              </w:rPr>
              <w:t>—</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050505"/>
              </w:rPr>
              <w:t>8.82</w:t>
            </w: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1"/>
                <w:szCs w:val="11"/>
                <w:color w:val="050505"/>
              </w:rPr>
              <w:t>1/16/2029</w:t>
            </w:r>
          </w:p>
        </w:tc>
        <w:tc>
          <w:tcPr>
            <w:tcW w:w="60" w:type="dxa"/>
            <w:vAlign w:val="bottom"/>
            <w:shd w:val="clear" w:color="auto" w:fill="CCEEFF"/>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1310640</wp:posOffset>
            </wp:positionH>
            <wp:positionV relativeFrom="paragraph">
              <wp:posOffset>57150</wp:posOffset>
            </wp:positionV>
            <wp:extent cx="1212215" cy="571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1212215" cy="5715"/>
                    </a:xfrm>
                    <a:prstGeom prst="rect">
                      <a:avLst/>
                    </a:prstGeom>
                    <a:noFill/>
                  </pic:spPr>
                </pic:pic>
              </a:graphicData>
            </a:graphic>
          </wp:anchor>
        </w:drawing>
      </w:r>
    </w:p>
    <w:p>
      <w:pPr>
        <w:spacing w:after="0" w:line="102" w:lineRule="exact"/>
        <w:rPr>
          <w:sz w:val="20"/>
          <w:szCs w:val="20"/>
          <w:color w:val="auto"/>
        </w:rPr>
      </w:pPr>
    </w:p>
    <w:p>
      <w:pPr>
        <w:ind w:left="2280" w:hanging="221"/>
        <w:spacing w:after="0"/>
        <w:tabs>
          <w:tab w:leader="none" w:pos="2280" w:val="left"/>
        </w:tabs>
        <w:numPr>
          <w:ilvl w:val="0"/>
          <w:numId w:val="83"/>
        </w:numPr>
        <w:rPr>
          <w:rFonts w:ascii="Arial" w:cs="Arial" w:eastAsia="Arial" w:hAnsi="Arial"/>
          <w:sz w:val="8"/>
          <w:szCs w:val="8"/>
          <w:color w:val="050505"/>
        </w:rPr>
      </w:pPr>
      <w:r>
        <w:rPr>
          <w:rFonts w:ascii="Arial" w:cs="Arial" w:eastAsia="Arial" w:hAnsi="Arial"/>
          <w:sz w:val="8"/>
          <w:szCs w:val="8"/>
          <w:color w:val="050505"/>
        </w:rPr>
        <w:t>All of the outstanding stock option awards were granted under the 2015 Plan and are for shares of Class B common stock.</w:t>
      </w:r>
    </w:p>
    <w:p>
      <w:pPr>
        <w:spacing w:after="0" w:line="43" w:lineRule="exact"/>
        <w:rPr>
          <w:rFonts w:ascii="Arial" w:cs="Arial" w:eastAsia="Arial" w:hAnsi="Arial"/>
          <w:sz w:val="8"/>
          <w:szCs w:val="8"/>
          <w:color w:val="050505"/>
        </w:rPr>
      </w:pPr>
    </w:p>
    <w:p>
      <w:pPr>
        <w:ind w:left="2280" w:right="839" w:hanging="221"/>
        <w:spacing w:after="0" w:line="256" w:lineRule="auto"/>
        <w:tabs>
          <w:tab w:leader="none" w:pos="2280" w:val="left"/>
        </w:tabs>
        <w:numPr>
          <w:ilvl w:val="0"/>
          <w:numId w:val="83"/>
        </w:numPr>
        <w:rPr>
          <w:rFonts w:ascii="Arial" w:cs="Arial" w:eastAsia="Arial" w:hAnsi="Arial"/>
          <w:sz w:val="8"/>
          <w:szCs w:val="8"/>
          <w:color w:val="050505"/>
        </w:rPr>
      </w:pPr>
      <w:r>
        <w:rPr>
          <w:rFonts w:ascii="Arial" w:cs="Arial" w:eastAsia="Arial" w:hAnsi="Arial"/>
          <w:sz w:val="8"/>
          <w:szCs w:val="8"/>
          <w:color w:val="050505"/>
        </w:rPr>
        <w:t>Vests with respect to 1/4th of the shares of our Class B common stock underlying the stock option on the one-year anniversary of the vesting commencement date and the remaining 3/4th of the shares underlying the option vest in equal monthly installments over three years, in each case subject to continued service.</w:t>
      </w:r>
    </w:p>
    <w:p>
      <w:pPr>
        <w:spacing w:after="0" w:line="28" w:lineRule="exact"/>
        <w:rPr>
          <w:rFonts w:ascii="Arial" w:cs="Arial" w:eastAsia="Arial" w:hAnsi="Arial"/>
          <w:sz w:val="8"/>
          <w:szCs w:val="8"/>
          <w:color w:val="050505"/>
        </w:rPr>
      </w:pPr>
    </w:p>
    <w:p>
      <w:pPr>
        <w:ind w:left="2280" w:hanging="221"/>
        <w:spacing w:after="0"/>
        <w:tabs>
          <w:tab w:leader="none" w:pos="2280" w:val="left"/>
        </w:tabs>
        <w:numPr>
          <w:ilvl w:val="0"/>
          <w:numId w:val="83"/>
        </w:numPr>
        <w:rPr>
          <w:rFonts w:ascii="Arial" w:cs="Arial" w:eastAsia="Arial" w:hAnsi="Arial"/>
          <w:sz w:val="8"/>
          <w:szCs w:val="8"/>
          <w:color w:val="050505"/>
        </w:rPr>
      </w:pPr>
      <w:r>
        <w:rPr>
          <w:rFonts w:ascii="Arial" w:cs="Arial" w:eastAsia="Arial" w:hAnsi="Arial"/>
          <w:sz w:val="8"/>
          <w:szCs w:val="8"/>
          <w:color w:val="050505"/>
        </w:rPr>
        <w:t>Vests monthly at the rate of 1/48th of our Class B common stock underlying the stock option following the vesting commencement date, in each case subject to continued service.</w:t>
      </w:r>
    </w:p>
    <w:p>
      <w:pPr>
        <w:spacing w:after="0" w:line="43" w:lineRule="exact"/>
        <w:rPr>
          <w:rFonts w:ascii="Arial" w:cs="Arial" w:eastAsia="Arial" w:hAnsi="Arial"/>
          <w:sz w:val="8"/>
          <w:szCs w:val="8"/>
          <w:color w:val="050505"/>
        </w:rPr>
      </w:pPr>
    </w:p>
    <w:p>
      <w:pPr>
        <w:jc w:val="both"/>
        <w:ind w:left="2280" w:right="839" w:hanging="221"/>
        <w:spacing w:after="0" w:line="245" w:lineRule="auto"/>
        <w:tabs>
          <w:tab w:leader="none" w:pos="2280" w:val="left"/>
        </w:tabs>
        <w:numPr>
          <w:ilvl w:val="0"/>
          <w:numId w:val="83"/>
        </w:numPr>
        <w:rPr>
          <w:rFonts w:ascii="Arial" w:cs="Arial" w:eastAsia="Arial" w:hAnsi="Arial"/>
          <w:sz w:val="8"/>
          <w:szCs w:val="8"/>
          <w:color w:val="050505"/>
        </w:rPr>
      </w:pPr>
      <w:r>
        <w:rPr>
          <w:rFonts w:ascii="Arial" w:cs="Arial" w:eastAsia="Arial" w:hAnsi="Arial"/>
          <w:sz w:val="8"/>
          <w:szCs w:val="8"/>
          <w:color w:val="050505"/>
        </w:rPr>
        <w:t>Subject to milestone vesting: (a) 50% of the shares of our Class B common stock underlying the stock option will accelerate and vest upon a liquidity event (as defined in the stock option award agreement, which includes an initial public offering) valuing us at $450,000,000 or greater but less than $750,000,000 and (b) 100% of the shares will accelerate and vest upon a liquidity event valuing us at $750,000,000 or greater.</w:t>
      </w:r>
    </w:p>
    <w:p>
      <w:pPr>
        <w:spacing w:after="0" w:line="198" w:lineRule="exact"/>
        <w:rPr>
          <w:sz w:val="20"/>
          <w:szCs w:val="20"/>
          <w:color w:val="auto"/>
        </w:rPr>
      </w:pPr>
    </w:p>
    <w:p>
      <w:pPr>
        <w:ind w:left="2060"/>
        <w:spacing w:after="0"/>
        <w:rPr>
          <w:sz w:val="20"/>
          <w:szCs w:val="20"/>
          <w:color w:val="auto"/>
        </w:rPr>
      </w:pPr>
      <w:r>
        <w:rPr>
          <w:rFonts w:ascii="Arial" w:cs="Arial" w:eastAsia="Arial" w:hAnsi="Arial"/>
          <w:sz w:val="11"/>
          <w:szCs w:val="11"/>
          <w:b w:val="1"/>
          <w:bCs w:val="1"/>
          <w:u w:val="single" w:color="auto"/>
          <w:color w:val="auto"/>
        </w:rPr>
        <w:t>Employee Benefit Plans</w:t>
      </w:r>
    </w:p>
    <w:p>
      <w:pPr>
        <w:spacing w:after="0" w:line="12" w:lineRule="exact"/>
        <w:rPr>
          <w:sz w:val="20"/>
          <w:szCs w:val="20"/>
          <w:color w:val="auto"/>
        </w:rPr>
      </w:pPr>
    </w:p>
    <w:p>
      <w:pPr>
        <w:jc w:val="both"/>
        <w:ind w:left="2060" w:right="839"/>
        <w:spacing w:after="0" w:line="241" w:lineRule="auto"/>
        <w:rPr>
          <w:sz w:val="20"/>
          <w:szCs w:val="20"/>
          <w:color w:val="auto"/>
        </w:rPr>
      </w:pPr>
      <w:r>
        <w:rPr>
          <w:rFonts w:ascii="Arial" w:cs="Arial" w:eastAsia="Arial" w:hAnsi="Arial"/>
          <w:sz w:val="11"/>
          <w:szCs w:val="11"/>
          <w:color w:val="050505"/>
        </w:rPr>
        <w:t>We believe that our ability to grant equity-based awards is a valuable compensation tool that enables us to attract, retain, and motivate our employees, consultants, and directors by aligning their financial interests with those of our stockholders. The principal features of our equity incentive plans are summarized below. These summaries are qualified in their entirety by reference to the actual text of the plans, which are filed as exhibits to the registration statement of which this prospectus is a part.</w:t>
      </w:r>
    </w:p>
    <w:p>
      <w:pPr>
        <w:spacing w:after="0" w:line="128" w:lineRule="exact"/>
        <w:rPr>
          <w:sz w:val="20"/>
          <w:szCs w:val="20"/>
          <w:color w:val="auto"/>
        </w:rPr>
      </w:pPr>
    </w:p>
    <w:p>
      <w:pPr>
        <w:ind w:left="2060"/>
        <w:spacing w:after="0"/>
        <w:rPr>
          <w:sz w:val="20"/>
          <w:szCs w:val="20"/>
          <w:color w:val="auto"/>
        </w:rPr>
      </w:pPr>
      <w:r>
        <w:rPr>
          <w:rFonts w:ascii="Arial" w:cs="Arial" w:eastAsia="Arial" w:hAnsi="Arial"/>
          <w:sz w:val="11"/>
          <w:szCs w:val="11"/>
          <w:b w:val="1"/>
          <w:bCs w:val="1"/>
          <w:i w:val="1"/>
          <w:iCs w:val="1"/>
          <w:color w:val="auto"/>
        </w:rPr>
        <w:t>2015 Stock Plan</w:t>
      </w:r>
    </w:p>
    <w:p>
      <w:pPr>
        <w:spacing w:after="0" w:line="12" w:lineRule="exact"/>
        <w:rPr>
          <w:sz w:val="20"/>
          <w:szCs w:val="20"/>
          <w:color w:val="auto"/>
        </w:rPr>
      </w:pPr>
    </w:p>
    <w:p>
      <w:pPr>
        <w:jc w:val="both"/>
        <w:ind w:left="2060" w:right="839"/>
        <w:spacing w:after="0" w:line="242" w:lineRule="auto"/>
        <w:rPr>
          <w:sz w:val="20"/>
          <w:szCs w:val="20"/>
          <w:color w:val="auto"/>
        </w:rPr>
      </w:pPr>
      <w:r>
        <w:rPr>
          <w:rFonts w:ascii="Arial" w:cs="Arial" w:eastAsia="Arial" w:hAnsi="Arial"/>
          <w:sz w:val="11"/>
          <w:szCs w:val="11"/>
          <w:color w:val="050505"/>
        </w:rPr>
        <w:t>Our board of directors adopted our 2015 Plan in April 2015, which was subsequently approved by our stockholders. Our board of directors, or a committee thereof appointed by our board of directors, administers the 2015 Plan and the awards granted thereunder. Awards under our 2015 Plan are for shares of our Class B common stock.</w:t>
      </w:r>
    </w:p>
    <w:p>
      <w:pPr>
        <w:spacing w:after="0" w:line="140" w:lineRule="exact"/>
        <w:rPr>
          <w:sz w:val="20"/>
          <w:szCs w:val="20"/>
          <w:color w:val="auto"/>
        </w:rPr>
      </w:pPr>
    </w:p>
    <w:p>
      <w:pPr>
        <w:jc w:val="both"/>
        <w:ind w:left="2060" w:right="839"/>
        <w:spacing w:after="0" w:line="241" w:lineRule="auto"/>
        <w:rPr>
          <w:sz w:val="20"/>
          <w:szCs w:val="20"/>
          <w:color w:val="auto"/>
        </w:rPr>
      </w:pPr>
      <w:r>
        <w:rPr>
          <w:rFonts w:ascii="Arial" w:cs="Arial" w:eastAsia="Arial" w:hAnsi="Arial"/>
          <w:sz w:val="11"/>
          <w:szCs w:val="11"/>
          <w:color w:val="050505"/>
        </w:rPr>
        <w:t>The 2015 Plan provided for the grant of both incentive stock options, which qualify for favorable tax treatment to their recipients under Section 422 of the Code, and nonqualified stock options, as well as for the issuance of restricted stock awards, or RSAs. We have granted incentive stock options only to our employees. We have granted nonqualified stock options and RSAs to our employees, directors, and consultants. We refer to such employees, directors, or consultants who receive an award under our 2015 Plan as participants.</w:t>
      </w:r>
    </w:p>
    <w:p>
      <w:pPr>
        <w:spacing w:after="0" w:line="140" w:lineRule="exact"/>
        <w:rPr>
          <w:sz w:val="20"/>
          <w:szCs w:val="20"/>
          <w:color w:val="auto"/>
        </w:rPr>
      </w:pPr>
    </w:p>
    <w:p>
      <w:pPr>
        <w:jc w:val="both"/>
        <w:ind w:left="2060" w:right="839"/>
        <w:spacing w:after="0" w:line="241" w:lineRule="auto"/>
        <w:rPr>
          <w:sz w:val="20"/>
          <w:szCs w:val="20"/>
          <w:color w:val="auto"/>
        </w:rPr>
      </w:pPr>
      <w:r>
        <w:rPr>
          <w:rFonts w:ascii="Arial" w:cs="Arial" w:eastAsia="Arial" w:hAnsi="Arial"/>
          <w:sz w:val="11"/>
          <w:szCs w:val="11"/>
          <w:color w:val="050505"/>
        </w:rPr>
        <w:t>The exercise price of each stock option must have been at least equal to the fair market value of our common stock on the date of grant. The maximum permitted term of options granted under our 2015 Plan is ten years. Options generally vest subject to continued service, and will cease to vest on the date a participant ceases to provide services to us and all then unvested options will be forfeited. Our board of directors, or a committee thereof, may provide for options to be exercised</w:t>
      </w:r>
    </w:p>
    <w:p>
      <w:pPr>
        <w:spacing w:after="0" w:line="95" w:lineRule="exact"/>
        <w:rPr>
          <w:sz w:val="20"/>
          <w:szCs w:val="20"/>
          <w:color w:val="auto"/>
        </w:rPr>
      </w:pPr>
    </w:p>
    <w:p>
      <w:pPr>
        <w:ind w:left="5640"/>
        <w:spacing w:after="0"/>
        <w:rPr>
          <w:sz w:val="20"/>
          <w:szCs w:val="20"/>
          <w:color w:val="auto"/>
        </w:rPr>
      </w:pPr>
      <w:r>
        <w:rPr>
          <w:rFonts w:ascii="Arial" w:cs="Arial" w:eastAsia="Arial" w:hAnsi="Arial"/>
          <w:sz w:val="11"/>
          <w:szCs w:val="11"/>
          <w:color w:val="050505"/>
        </w:rPr>
        <w:t>123</w:t>
      </w:r>
    </w:p>
    <w:p>
      <w:pPr>
        <w:sectPr>
          <w:pgSz w:w="11900" w:h="16838" w:orient="portrait"/>
          <w:cols w:equalWidth="0" w:num="1">
            <w:col w:w="10239"/>
          </w:cols>
          <w:pgMar w:left="220" w:top="354" w:right="1440" w:bottom="1440" w:gutter="0" w:footer="0" w:header="0"/>
        </w:sectPr>
      </w:pPr>
    </w:p>
    <w:bookmarkStart w:id="133" w:name="page134"/>
    <w:bookmarkEnd w:id="133"/>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hyperlink w:anchor="page5">
        <w:r>
          <w:rPr>
            <w:rFonts w:ascii="Arial" w:cs="Arial" w:eastAsia="Arial" w:hAnsi="Arial"/>
            <w:sz w:val="12"/>
            <w:szCs w:val="12"/>
            <w:b w:val="1"/>
            <w:bCs w:val="1"/>
            <w:u w:val="single" w:color="auto"/>
            <w:color w:val="0000EE"/>
          </w:rPr>
          <w:t>Table of Contents</w:t>
        </w:r>
      </w:hyperlink>
    </w:p>
    <w:p>
      <w:pPr>
        <w:spacing w:after="0" w:line="216" w:lineRule="exact"/>
        <w:rPr>
          <w:sz w:val="20"/>
          <w:szCs w:val="20"/>
          <w:color w:val="auto"/>
        </w:rPr>
      </w:pPr>
    </w:p>
    <w:p>
      <w:pPr>
        <w:jc w:val="both"/>
        <w:ind w:left="2060" w:right="839"/>
        <w:spacing w:after="0" w:line="273" w:lineRule="auto"/>
        <w:rPr>
          <w:sz w:val="20"/>
          <w:szCs w:val="20"/>
          <w:color w:val="auto"/>
        </w:rPr>
      </w:pPr>
      <w:r>
        <w:rPr>
          <w:rFonts w:ascii="Arial" w:cs="Arial" w:eastAsia="Arial" w:hAnsi="Arial"/>
          <w:sz w:val="10"/>
          <w:szCs w:val="10"/>
          <w:color w:val="050505"/>
        </w:rPr>
        <w:t>only as they vest or to be immediately exercisable with any shares issued on exercise being subject to our right of repurchase that lapses as the shares vest. Stock options granted under the 2015 Plan generally may be exercised, to the extent vested as of the date of termination, for a period of three months after the termination of the optionee’s service to us, for a period of six months in the case of disability, for a period of 12 months in the case of death or such longer or shorter period as our compensation committee may provide, but in any event no later than the expiration date of the stock option.</w:t>
      </w:r>
    </w:p>
    <w:p>
      <w:pPr>
        <w:spacing w:after="0" w:line="125" w:lineRule="exact"/>
        <w:rPr>
          <w:sz w:val="20"/>
          <w:szCs w:val="20"/>
          <w:color w:val="auto"/>
        </w:rPr>
      </w:pPr>
    </w:p>
    <w:p>
      <w:pPr>
        <w:jc w:val="both"/>
        <w:ind w:left="2060" w:right="839"/>
        <w:spacing w:after="0" w:line="242" w:lineRule="auto"/>
        <w:rPr>
          <w:sz w:val="20"/>
          <w:szCs w:val="20"/>
          <w:color w:val="auto"/>
        </w:rPr>
      </w:pPr>
      <w:r>
        <w:rPr>
          <w:rFonts w:ascii="Arial" w:cs="Arial" w:eastAsia="Arial" w:hAnsi="Arial"/>
          <w:sz w:val="11"/>
          <w:szCs w:val="11"/>
          <w:color w:val="050505"/>
        </w:rPr>
        <w:t>An RSA is an offer by us to sell shares subject to restrictions, which may vest based on time or achievement of performance conditions. The price, if any, of an RSA was determined by our board of directors, or a committee thereof. Unless otherwise determined at the time of award, vesting will cease on the date the participant ceases to provide services to us and unvested shares will be forfeited to or repurchased by us.</w:t>
      </w:r>
    </w:p>
    <w:p>
      <w:pPr>
        <w:spacing w:after="0" w:line="140" w:lineRule="exact"/>
        <w:rPr>
          <w:sz w:val="20"/>
          <w:szCs w:val="20"/>
          <w:color w:val="auto"/>
        </w:rPr>
      </w:pPr>
    </w:p>
    <w:p>
      <w:pPr>
        <w:jc w:val="both"/>
        <w:ind w:left="2060" w:right="839"/>
        <w:spacing w:after="0" w:line="263" w:lineRule="auto"/>
        <w:rPr>
          <w:sz w:val="20"/>
          <w:szCs w:val="20"/>
          <w:color w:val="auto"/>
        </w:rPr>
      </w:pPr>
      <w:r>
        <w:rPr>
          <w:rFonts w:ascii="Arial" w:cs="Arial" w:eastAsia="Arial" w:hAnsi="Arial"/>
          <w:sz w:val="10"/>
          <w:szCs w:val="10"/>
          <w:color w:val="050505"/>
        </w:rPr>
        <w:t>In the event there is a specified type of change in our capital structure without our receipt of consideration, such as a stock split, appropriate adjustments will be made as set forth in the 2015 Plan. In the event of a merger or consolidation, or in the event of a sale of all or substantially all of our assets, outstanding awards under our 2015 Plan shall be subject to the agreement evidencing the transaction (or, in the event the transaction does not include such an agreement, as determined by our board of directors), which need not treat all outstanding awards in an identical manner, and may include one or more of the following: (1) the continuation of the outstanding awards; (2) the assumption of the outstanding awards by the surviving corporation or its parent; (3) the substitution by the surviving corporation or its parent of new options for the outstanding options and new RSAs for the outstanding RSAs;</w:t>
      </w:r>
    </w:p>
    <w:p>
      <w:pPr>
        <w:jc w:val="both"/>
        <w:ind w:left="2060" w:right="839" w:hanging="1"/>
        <w:spacing w:after="0" w:line="263" w:lineRule="auto"/>
        <w:tabs>
          <w:tab w:leader="none" w:pos="2222" w:val="left"/>
        </w:tabs>
        <w:numPr>
          <w:ilvl w:val="0"/>
          <w:numId w:val="84"/>
        </w:numPr>
        <w:rPr>
          <w:rFonts w:ascii="Arial" w:cs="Arial" w:eastAsia="Arial" w:hAnsi="Arial"/>
          <w:sz w:val="10"/>
          <w:szCs w:val="10"/>
          <w:color w:val="050505"/>
        </w:rPr>
      </w:pPr>
      <w:r>
        <w:rPr>
          <w:rFonts w:ascii="Arial" w:cs="Arial" w:eastAsia="Arial" w:hAnsi="Arial"/>
          <w:sz w:val="10"/>
          <w:szCs w:val="10"/>
          <w:color w:val="050505"/>
        </w:rPr>
        <w:t>the cancellation of vested stock options or RSAs in exchange for a payment equal to the value of the per share consideration payable to holders of our common stock in the transaction and, in respect of options, less the option’s exercise price (this payment may be zero if the option or RSA has no value);</w:t>
      </w:r>
    </w:p>
    <w:p>
      <w:pPr>
        <w:jc w:val="both"/>
        <w:ind w:left="2060" w:right="839" w:hanging="1"/>
        <w:spacing w:after="0" w:line="241" w:lineRule="auto"/>
        <w:tabs>
          <w:tab w:leader="none" w:pos="2255" w:val="left"/>
        </w:tabs>
        <w:numPr>
          <w:ilvl w:val="0"/>
          <w:numId w:val="84"/>
        </w:numPr>
        <w:rPr>
          <w:rFonts w:ascii="Arial" w:cs="Arial" w:eastAsia="Arial" w:hAnsi="Arial"/>
          <w:sz w:val="11"/>
          <w:szCs w:val="11"/>
          <w:color w:val="050505"/>
        </w:rPr>
      </w:pPr>
      <w:r>
        <w:rPr>
          <w:rFonts w:ascii="Arial" w:cs="Arial" w:eastAsia="Arial" w:hAnsi="Arial"/>
          <w:sz w:val="11"/>
          <w:szCs w:val="11"/>
          <w:color w:val="050505"/>
        </w:rPr>
        <w:t>the cancellation of the outstanding awards for no consideration; (6) the suspension of the right to exercise options for a limited period if administratively necessary; or (7) the termination of early exercise rights so that outstanding awards may only be exercised for vested shares after the transaction. Our board of directors has discretion to accelerate, in whole or part, the vesting and exercisability of an option or other award in connection with a corporate transaction as described above.</w:t>
      </w:r>
    </w:p>
    <w:p>
      <w:pPr>
        <w:spacing w:after="0" w:line="140" w:lineRule="exact"/>
        <w:rPr>
          <w:sz w:val="20"/>
          <w:szCs w:val="20"/>
          <w:color w:val="auto"/>
        </w:rPr>
      </w:pPr>
    </w:p>
    <w:p>
      <w:pPr>
        <w:jc w:val="both"/>
        <w:ind w:left="2060" w:right="839"/>
        <w:spacing w:after="0" w:line="267" w:lineRule="auto"/>
        <w:rPr>
          <w:sz w:val="20"/>
          <w:szCs w:val="20"/>
          <w:color w:val="auto"/>
        </w:rPr>
      </w:pPr>
      <w:r>
        <w:rPr>
          <w:rFonts w:ascii="Arial" w:cs="Arial" w:eastAsia="Arial" w:hAnsi="Arial"/>
          <w:sz w:val="10"/>
          <w:szCs w:val="10"/>
          <w:color w:val="050505"/>
        </w:rPr>
        <w:t>As of June 30, 2019, we had reserved 84,008,954 shares of our Class B common stock for issuance under our 2015 Plan. As of June 30, 2019, options to purchase 64,602,124 shares had been granted and remained outstanding and 9,085,593 shares remained available for future grant. The stock options outstanding as of June 30, 2019 had a weighted-average exercise price of $6.71 per share. We also granted options to purchase 883,550 shares under the 2015 Plan subsequent to June 30, 2019, with a weighted-average exercise price of $23.40 per share. Our 2019 Plan (described below) became effective upon the date immediately prior to the effective date of the registration statement of which this prospectus forms a part. As a result, we will not grant any additional equity awards under the 2015 Plan following that date, and the 2015 Plan has terminated. However, any outstanding stock options will remain outstanding, subject to the terms of our 2015 Plan and the applicable stock option agreements evidencing such awards, until such outstanding awards are exercised, or until they terminate or expire by their terms. Upon the effectiveness of our 2019 Plan, the shares reserved but not issued or subject to outstanding awards under our 2015 Plan became available for grant and issuance under our 2019 Plan as Class A common stock.</w:t>
      </w:r>
    </w:p>
    <w:p>
      <w:pPr>
        <w:spacing w:after="0" w:line="116" w:lineRule="exact"/>
        <w:rPr>
          <w:sz w:val="20"/>
          <w:szCs w:val="20"/>
          <w:color w:val="auto"/>
        </w:rPr>
      </w:pPr>
    </w:p>
    <w:p>
      <w:pPr>
        <w:ind w:left="2060"/>
        <w:spacing w:after="0"/>
        <w:rPr>
          <w:sz w:val="20"/>
          <w:szCs w:val="20"/>
          <w:color w:val="auto"/>
        </w:rPr>
      </w:pPr>
      <w:r>
        <w:rPr>
          <w:rFonts w:ascii="Arial" w:cs="Arial" w:eastAsia="Arial" w:hAnsi="Arial"/>
          <w:sz w:val="11"/>
          <w:szCs w:val="11"/>
          <w:b w:val="1"/>
          <w:bCs w:val="1"/>
          <w:i w:val="1"/>
          <w:iCs w:val="1"/>
          <w:color w:val="auto"/>
        </w:rPr>
        <w:t>2019 Equity Incentive Plan</w:t>
      </w:r>
    </w:p>
    <w:p>
      <w:pPr>
        <w:spacing w:after="0" w:line="12" w:lineRule="exact"/>
        <w:rPr>
          <w:sz w:val="20"/>
          <w:szCs w:val="20"/>
          <w:color w:val="auto"/>
        </w:rPr>
      </w:pPr>
    </w:p>
    <w:p>
      <w:pPr>
        <w:jc w:val="both"/>
        <w:ind w:left="2060" w:right="839"/>
        <w:spacing w:after="0" w:line="242" w:lineRule="auto"/>
        <w:rPr>
          <w:sz w:val="20"/>
          <w:szCs w:val="20"/>
          <w:color w:val="auto"/>
        </w:rPr>
      </w:pPr>
      <w:r>
        <w:rPr>
          <w:rFonts w:ascii="Arial" w:cs="Arial" w:eastAsia="Arial" w:hAnsi="Arial"/>
          <w:sz w:val="11"/>
          <w:szCs w:val="11"/>
          <w:color w:val="050505"/>
        </w:rPr>
        <w:t>In August 2019, our board of directors adopted our 2019 Plan, which was subsequently approved by our stockholders in September 2019. The 2019 Plan became effective on the date immediately prior to the effective date of the registration statement of which this prospectus forms a part and serves as the successor to our 2015 Plan. Our board of directors has delegated its authority to administer the 2019 Plan to our compensation committee.</w:t>
      </w:r>
    </w:p>
    <w:p>
      <w:pPr>
        <w:spacing w:after="0" w:line="140" w:lineRule="exact"/>
        <w:rPr>
          <w:sz w:val="20"/>
          <w:szCs w:val="20"/>
          <w:color w:val="auto"/>
        </w:rPr>
      </w:pPr>
    </w:p>
    <w:p>
      <w:pPr>
        <w:jc w:val="both"/>
        <w:ind w:left="2060" w:right="839"/>
        <w:spacing w:after="0" w:line="241" w:lineRule="auto"/>
        <w:rPr>
          <w:sz w:val="20"/>
          <w:szCs w:val="20"/>
          <w:color w:val="auto"/>
        </w:rPr>
      </w:pPr>
      <w:r>
        <w:rPr>
          <w:rFonts w:ascii="Arial" w:cs="Arial" w:eastAsia="Arial" w:hAnsi="Arial"/>
          <w:sz w:val="11"/>
          <w:szCs w:val="11"/>
          <w:color w:val="050505"/>
        </w:rPr>
        <w:t>Our 2019 Plan provides for the award of both incentive stock options, which are intended to qualify for favorable tax treatment under Section 422 of the Code, and nonqualified stock options, as well as for RSAs, stock appreciation rights, or SARs, restricted stock units, or RSUs, performance awards, and stock bonuses. We may grant incentive stock options only to our employees. We may grant all other types of awards to our employees, directors, and consultants. We refer to employees, directors, or consultants who receive an award under our 2019 Plan as participants.</w:t>
      </w:r>
    </w:p>
    <w:p>
      <w:pPr>
        <w:spacing w:after="0" w:line="140" w:lineRule="exact"/>
        <w:rPr>
          <w:sz w:val="20"/>
          <w:szCs w:val="20"/>
          <w:color w:val="auto"/>
        </w:rPr>
      </w:pPr>
    </w:p>
    <w:p>
      <w:pPr>
        <w:jc w:val="both"/>
        <w:ind w:left="2060" w:right="839"/>
        <w:spacing w:after="0" w:line="245" w:lineRule="auto"/>
        <w:rPr>
          <w:sz w:val="20"/>
          <w:szCs w:val="20"/>
          <w:color w:val="auto"/>
        </w:rPr>
      </w:pPr>
      <w:r>
        <w:rPr>
          <w:rFonts w:ascii="Arial" w:cs="Arial" w:eastAsia="Arial" w:hAnsi="Arial"/>
          <w:sz w:val="11"/>
          <w:szCs w:val="11"/>
          <w:color w:val="050505"/>
        </w:rPr>
        <w:t>We reserved 40,986,767 shares of our Class A common stock to be issued under our 2019 Plan. The number of shares reserved for issuance under our 2019 Plan will increase automatically on July 1 of each of 2020 through 2029 by the</w:t>
      </w:r>
    </w:p>
    <w:p>
      <w:pPr>
        <w:spacing w:after="0" w:line="93" w:lineRule="exact"/>
        <w:rPr>
          <w:sz w:val="20"/>
          <w:szCs w:val="20"/>
          <w:color w:val="auto"/>
        </w:rPr>
      </w:pPr>
    </w:p>
    <w:p>
      <w:pPr>
        <w:ind w:left="5640"/>
        <w:spacing w:after="0"/>
        <w:rPr>
          <w:sz w:val="20"/>
          <w:szCs w:val="20"/>
          <w:color w:val="auto"/>
        </w:rPr>
      </w:pPr>
      <w:r>
        <w:rPr>
          <w:rFonts w:ascii="Arial" w:cs="Arial" w:eastAsia="Arial" w:hAnsi="Arial"/>
          <w:sz w:val="11"/>
          <w:szCs w:val="11"/>
          <w:color w:val="050505"/>
        </w:rPr>
        <w:t>124</w:t>
      </w:r>
    </w:p>
    <w:p>
      <w:pPr>
        <w:sectPr>
          <w:pgSz w:w="11900" w:h="16838" w:orient="portrait"/>
          <w:cols w:equalWidth="0" w:num="1">
            <w:col w:w="10239"/>
          </w:cols>
          <w:pgMar w:left="220" w:top="354" w:right="1440" w:bottom="1440" w:gutter="0" w:footer="0" w:header="0"/>
        </w:sectPr>
      </w:pPr>
    </w:p>
    <w:bookmarkStart w:id="134" w:name="page135"/>
    <w:bookmarkEnd w:id="134"/>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hyperlink w:anchor="page5">
        <w:r>
          <w:rPr>
            <w:rFonts w:ascii="Arial" w:cs="Arial" w:eastAsia="Arial" w:hAnsi="Arial"/>
            <w:sz w:val="12"/>
            <w:szCs w:val="12"/>
            <w:b w:val="1"/>
            <w:bCs w:val="1"/>
            <w:u w:val="single" w:color="auto"/>
            <w:color w:val="0000EE"/>
          </w:rPr>
          <w:t>Table of Contents</w:t>
        </w:r>
      </w:hyperlink>
    </w:p>
    <w:p>
      <w:pPr>
        <w:spacing w:after="0" w:line="216" w:lineRule="exact"/>
        <w:rPr>
          <w:sz w:val="20"/>
          <w:szCs w:val="20"/>
          <w:color w:val="auto"/>
        </w:rPr>
      </w:pPr>
    </w:p>
    <w:p>
      <w:pPr>
        <w:jc w:val="both"/>
        <w:ind w:left="2060" w:right="839"/>
        <w:spacing w:after="0" w:line="241" w:lineRule="auto"/>
        <w:rPr>
          <w:sz w:val="20"/>
          <w:szCs w:val="20"/>
          <w:color w:val="auto"/>
        </w:rPr>
      </w:pPr>
      <w:r>
        <w:rPr>
          <w:rFonts w:ascii="Arial" w:cs="Arial" w:eastAsia="Arial" w:hAnsi="Arial"/>
          <w:sz w:val="11"/>
          <w:szCs w:val="11"/>
          <w:color w:val="050505"/>
        </w:rPr>
        <w:t>number of shares of our Class A common stock equal to 5% of the total outstanding shares of all of our classes of common stock as of the immediately preceding June 30. However, our board of directors may reduce the amount of the increase in any particular year. In addition, the following shares are available for grant and issuance under our 2019 Plan as shares of our Class A common stock (and any shares of our Class B common stock from our 2015 Plan that become available for grant under our 2019 Plan will be issued as Class A common stock):</w:t>
      </w:r>
    </w:p>
    <w:p>
      <w:pPr>
        <w:spacing w:after="0" w:line="158" w:lineRule="exact"/>
        <w:rPr>
          <w:sz w:val="20"/>
          <w:szCs w:val="20"/>
          <w:color w:val="auto"/>
        </w:rPr>
      </w:pPr>
    </w:p>
    <w:p>
      <w:pPr>
        <w:ind w:left="2420" w:right="839" w:hanging="217"/>
        <w:spacing w:after="0" w:line="245" w:lineRule="auto"/>
        <w:tabs>
          <w:tab w:leader="none" w:pos="2420" w:val="left"/>
        </w:tabs>
        <w:numPr>
          <w:ilvl w:val="0"/>
          <w:numId w:val="85"/>
        </w:numPr>
        <w:rPr>
          <w:rFonts w:ascii="Arial" w:cs="Arial" w:eastAsia="Arial" w:hAnsi="Arial"/>
          <w:sz w:val="11"/>
          <w:szCs w:val="11"/>
          <w:color w:val="F7323F"/>
        </w:rPr>
      </w:pPr>
      <w:r>
        <w:rPr>
          <w:rFonts w:ascii="Arial" w:cs="Arial" w:eastAsia="Arial" w:hAnsi="Arial"/>
          <w:sz w:val="11"/>
          <w:szCs w:val="11"/>
          <w:color w:val="050505"/>
        </w:rPr>
        <w:t>shares subject to issuance upon exercise of any stock option or SAR granted under our 2019 Plan but which cease to be subject to the stock option or SAR for any reason other than exercise of stock options or SARs;</w:t>
      </w:r>
    </w:p>
    <w:p>
      <w:pPr>
        <w:spacing w:after="0" w:line="38" w:lineRule="exact"/>
        <w:rPr>
          <w:rFonts w:ascii="Arial" w:cs="Arial" w:eastAsia="Arial" w:hAnsi="Arial"/>
          <w:sz w:val="11"/>
          <w:szCs w:val="11"/>
          <w:color w:val="F7323F"/>
        </w:rPr>
      </w:pPr>
    </w:p>
    <w:p>
      <w:pPr>
        <w:ind w:left="2420" w:hanging="217"/>
        <w:spacing w:after="0"/>
        <w:tabs>
          <w:tab w:leader="none" w:pos="2420" w:val="left"/>
        </w:tabs>
        <w:numPr>
          <w:ilvl w:val="0"/>
          <w:numId w:val="85"/>
        </w:numPr>
        <w:rPr>
          <w:rFonts w:ascii="Arial" w:cs="Arial" w:eastAsia="Arial" w:hAnsi="Arial"/>
          <w:sz w:val="11"/>
          <w:szCs w:val="11"/>
          <w:color w:val="F7323F"/>
        </w:rPr>
      </w:pPr>
      <w:r>
        <w:rPr>
          <w:rFonts w:ascii="Arial" w:cs="Arial" w:eastAsia="Arial" w:hAnsi="Arial"/>
          <w:sz w:val="11"/>
          <w:szCs w:val="11"/>
          <w:color w:val="050505"/>
        </w:rPr>
        <w:t>shares subject to awards granted under our 2019 Plan that are forfeited or are repurchased by us at the original issue price;</w:t>
      </w:r>
    </w:p>
    <w:p>
      <w:pPr>
        <w:spacing w:after="0" w:line="44" w:lineRule="exact"/>
        <w:rPr>
          <w:rFonts w:ascii="Arial" w:cs="Arial" w:eastAsia="Arial" w:hAnsi="Arial"/>
          <w:sz w:val="11"/>
          <w:szCs w:val="11"/>
          <w:color w:val="F7323F"/>
        </w:rPr>
      </w:pPr>
    </w:p>
    <w:p>
      <w:pPr>
        <w:ind w:left="2420" w:hanging="217"/>
        <w:spacing w:after="0"/>
        <w:tabs>
          <w:tab w:leader="none" w:pos="2420" w:val="left"/>
        </w:tabs>
        <w:numPr>
          <w:ilvl w:val="0"/>
          <w:numId w:val="85"/>
        </w:numPr>
        <w:rPr>
          <w:rFonts w:ascii="Arial" w:cs="Arial" w:eastAsia="Arial" w:hAnsi="Arial"/>
          <w:sz w:val="11"/>
          <w:szCs w:val="11"/>
          <w:color w:val="F7323F"/>
        </w:rPr>
      </w:pPr>
      <w:r>
        <w:rPr>
          <w:rFonts w:ascii="Arial" w:cs="Arial" w:eastAsia="Arial" w:hAnsi="Arial"/>
          <w:sz w:val="11"/>
          <w:szCs w:val="11"/>
          <w:color w:val="050505"/>
        </w:rPr>
        <w:t>shares subject to awards granted under our 2019 Plan that otherwise terminate without such shares being issued;</w:t>
      </w:r>
    </w:p>
    <w:p>
      <w:pPr>
        <w:spacing w:after="0" w:line="44" w:lineRule="exact"/>
        <w:rPr>
          <w:rFonts w:ascii="Arial" w:cs="Arial" w:eastAsia="Arial" w:hAnsi="Arial"/>
          <w:sz w:val="11"/>
          <w:szCs w:val="11"/>
          <w:color w:val="F7323F"/>
        </w:rPr>
      </w:pPr>
    </w:p>
    <w:p>
      <w:pPr>
        <w:jc w:val="both"/>
        <w:ind w:left="2420" w:right="839" w:hanging="217"/>
        <w:spacing w:after="0" w:line="242" w:lineRule="auto"/>
        <w:tabs>
          <w:tab w:leader="none" w:pos="2420" w:val="left"/>
        </w:tabs>
        <w:numPr>
          <w:ilvl w:val="0"/>
          <w:numId w:val="85"/>
        </w:numPr>
        <w:rPr>
          <w:rFonts w:ascii="Arial" w:cs="Arial" w:eastAsia="Arial" w:hAnsi="Arial"/>
          <w:sz w:val="11"/>
          <w:szCs w:val="11"/>
          <w:color w:val="F7323F"/>
        </w:rPr>
      </w:pPr>
      <w:r>
        <w:rPr>
          <w:rFonts w:ascii="Arial" w:cs="Arial" w:eastAsia="Arial" w:hAnsi="Arial"/>
          <w:sz w:val="11"/>
          <w:szCs w:val="11"/>
          <w:color w:val="050505"/>
        </w:rPr>
        <w:t>shares surrendered, cancelled, or exchanged for cash or a different award (or combination thereof, but to the extent an award under the 2019 Plan is paid out in cash rather than shares, such cash payment will not result in reducing the number of shares available for issuance under the 2019 Plan);</w:t>
      </w:r>
    </w:p>
    <w:p>
      <w:pPr>
        <w:spacing w:after="0" w:line="40" w:lineRule="exact"/>
        <w:rPr>
          <w:rFonts w:ascii="Arial" w:cs="Arial" w:eastAsia="Arial" w:hAnsi="Arial"/>
          <w:sz w:val="11"/>
          <w:szCs w:val="11"/>
          <w:color w:val="F7323F"/>
        </w:rPr>
      </w:pPr>
    </w:p>
    <w:p>
      <w:pPr>
        <w:ind w:left="2420" w:hanging="217"/>
        <w:spacing w:after="0"/>
        <w:tabs>
          <w:tab w:leader="none" w:pos="2420" w:val="left"/>
        </w:tabs>
        <w:numPr>
          <w:ilvl w:val="0"/>
          <w:numId w:val="85"/>
        </w:numPr>
        <w:rPr>
          <w:rFonts w:ascii="Arial" w:cs="Arial" w:eastAsia="Arial" w:hAnsi="Arial"/>
          <w:sz w:val="11"/>
          <w:szCs w:val="11"/>
          <w:color w:val="F7323F"/>
        </w:rPr>
      </w:pPr>
      <w:r>
        <w:rPr>
          <w:rFonts w:ascii="Arial" w:cs="Arial" w:eastAsia="Arial" w:hAnsi="Arial"/>
          <w:sz w:val="11"/>
          <w:szCs w:val="11"/>
          <w:color w:val="050505"/>
        </w:rPr>
        <w:t>any reserved shares not issued or subject to outstanding grants under our 2015 Plan on the effective date of our 2019 Plan;</w:t>
      </w:r>
    </w:p>
    <w:p>
      <w:pPr>
        <w:spacing w:after="0" w:line="44" w:lineRule="exact"/>
        <w:rPr>
          <w:rFonts w:ascii="Arial" w:cs="Arial" w:eastAsia="Arial" w:hAnsi="Arial"/>
          <w:sz w:val="11"/>
          <w:szCs w:val="11"/>
          <w:color w:val="F7323F"/>
        </w:rPr>
      </w:pPr>
    </w:p>
    <w:p>
      <w:pPr>
        <w:ind w:left="2420" w:right="839" w:hanging="217"/>
        <w:spacing w:after="0" w:line="245" w:lineRule="auto"/>
        <w:tabs>
          <w:tab w:leader="none" w:pos="2420" w:val="left"/>
        </w:tabs>
        <w:numPr>
          <w:ilvl w:val="0"/>
          <w:numId w:val="85"/>
        </w:numPr>
        <w:rPr>
          <w:rFonts w:ascii="Arial" w:cs="Arial" w:eastAsia="Arial" w:hAnsi="Arial"/>
          <w:sz w:val="11"/>
          <w:szCs w:val="11"/>
          <w:color w:val="F7323F"/>
        </w:rPr>
      </w:pPr>
      <w:r>
        <w:rPr>
          <w:rFonts w:ascii="Arial" w:cs="Arial" w:eastAsia="Arial" w:hAnsi="Arial"/>
          <w:sz w:val="11"/>
          <w:szCs w:val="11"/>
          <w:color w:val="050505"/>
        </w:rPr>
        <w:t>shares that are subject to stock options or other awards granted under our 2015 Plan that cease to be subject to such options or other awards by forfeiture or otherwise after the effective date of our 2019 Plan;</w:t>
      </w:r>
    </w:p>
    <w:p>
      <w:pPr>
        <w:spacing w:after="0" w:line="38" w:lineRule="exact"/>
        <w:rPr>
          <w:rFonts w:ascii="Arial" w:cs="Arial" w:eastAsia="Arial" w:hAnsi="Arial"/>
          <w:sz w:val="11"/>
          <w:szCs w:val="11"/>
          <w:color w:val="F7323F"/>
        </w:rPr>
      </w:pPr>
    </w:p>
    <w:p>
      <w:pPr>
        <w:ind w:left="2420" w:right="839" w:hanging="217"/>
        <w:spacing w:after="0" w:line="245" w:lineRule="auto"/>
        <w:tabs>
          <w:tab w:leader="none" w:pos="2420" w:val="left"/>
        </w:tabs>
        <w:numPr>
          <w:ilvl w:val="0"/>
          <w:numId w:val="85"/>
        </w:numPr>
        <w:rPr>
          <w:rFonts w:ascii="Arial" w:cs="Arial" w:eastAsia="Arial" w:hAnsi="Arial"/>
          <w:sz w:val="11"/>
          <w:szCs w:val="11"/>
          <w:color w:val="F7323F"/>
        </w:rPr>
      </w:pPr>
      <w:r>
        <w:rPr>
          <w:rFonts w:ascii="Arial" w:cs="Arial" w:eastAsia="Arial" w:hAnsi="Arial"/>
          <w:sz w:val="11"/>
          <w:szCs w:val="11"/>
          <w:color w:val="050505"/>
        </w:rPr>
        <w:t>shares issued under our 2015 Plan before the effective date of our 2019 Plan pursuant to the exercise of stock options that are forfeited after the effective date of our 2019 Plan;</w:t>
      </w:r>
    </w:p>
    <w:p>
      <w:pPr>
        <w:spacing w:after="0" w:line="38" w:lineRule="exact"/>
        <w:rPr>
          <w:rFonts w:ascii="Arial" w:cs="Arial" w:eastAsia="Arial" w:hAnsi="Arial"/>
          <w:sz w:val="11"/>
          <w:szCs w:val="11"/>
          <w:color w:val="F7323F"/>
        </w:rPr>
      </w:pPr>
    </w:p>
    <w:p>
      <w:pPr>
        <w:ind w:left="2420" w:hanging="217"/>
        <w:spacing w:after="0"/>
        <w:tabs>
          <w:tab w:leader="none" w:pos="2420" w:val="left"/>
        </w:tabs>
        <w:numPr>
          <w:ilvl w:val="0"/>
          <w:numId w:val="85"/>
        </w:numPr>
        <w:rPr>
          <w:rFonts w:ascii="Arial" w:cs="Arial" w:eastAsia="Arial" w:hAnsi="Arial"/>
          <w:sz w:val="11"/>
          <w:szCs w:val="11"/>
          <w:color w:val="F7323F"/>
        </w:rPr>
      </w:pPr>
      <w:r>
        <w:rPr>
          <w:rFonts w:ascii="Arial" w:cs="Arial" w:eastAsia="Arial" w:hAnsi="Arial"/>
          <w:sz w:val="11"/>
          <w:szCs w:val="11"/>
          <w:color w:val="050505"/>
        </w:rPr>
        <w:t>shares issued under our 2015 Plan that are repurchased by us at the original issue price; and</w:t>
      </w:r>
    </w:p>
    <w:p>
      <w:pPr>
        <w:spacing w:after="0" w:line="44" w:lineRule="exact"/>
        <w:rPr>
          <w:rFonts w:ascii="Arial" w:cs="Arial" w:eastAsia="Arial" w:hAnsi="Arial"/>
          <w:sz w:val="11"/>
          <w:szCs w:val="11"/>
          <w:color w:val="F7323F"/>
        </w:rPr>
      </w:pPr>
    </w:p>
    <w:p>
      <w:pPr>
        <w:ind w:left="2420" w:right="839" w:hanging="217"/>
        <w:spacing w:after="0" w:line="245" w:lineRule="auto"/>
        <w:tabs>
          <w:tab w:leader="none" w:pos="2420" w:val="left"/>
        </w:tabs>
        <w:numPr>
          <w:ilvl w:val="0"/>
          <w:numId w:val="85"/>
        </w:numPr>
        <w:rPr>
          <w:rFonts w:ascii="Arial" w:cs="Arial" w:eastAsia="Arial" w:hAnsi="Arial"/>
          <w:sz w:val="11"/>
          <w:szCs w:val="11"/>
          <w:color w:val="F7323F"/>
        </w:rPr>
      </w:pPr>
      <w:r>
        <w:rPr>
          <w:rFonts w:ascii="Arial" w:cs="Arial" w:eastAsia="Arial" w:hAnsi="Arial"/>
          <w:sz w:val="11"/>
          <w:szCs w:val="11"/>
          <w:color w:val="050505"/>
        </w:rPr>
        <w:t>shares subject to stock options or other awards that are used to pay the exercise price of a stock option or withheld to satisfy the tax withholding obligations related to any award.</w:t>
      </w:r>
    </w:p>
    <w:p>
      <w:pPr>
        <w:spacing w:after="0" w:line="138" w:lineRule="exact"/>
        <w:rPr>
          <w:sz w:val="20"/>
          <w:szCs w:val="20"/>
          <w:color w:val="auto"/>
        </w:rPr>
      </w:pPr>
    </w:p>
    <w:p>
      <w:pPr>
        <w:ind w:left="2060"/>
        <w:spacing w:after="0"/>
        <w:rPr>
          <w:sz w:val="20"/>
          <w:szCs w:val="20"/>
          <w:color w:val="auto"/>
        </w:rPr>
      </w:pPr>
      <w:r>
        <w:rPr>
          <w:rFonts w:ascii="Arial" w:cs="Arial" w:eastAsia="Arial" w:hAnsi="Arial"/>
          <w:sz w:val="10"/>
          <w:szCs w:val="10"/>
          <w:color w:val="050505"/>
        </w:rPr>
        <w:t>No more than 150,000,000 shares of our Class A common stock may be issued pursuant to the exercise of incentive stock options under the 2019 Plan.</w:t>
      </w:r>
    </w:p>
    <w:p>
      <w:pPr>
        <w:spacing w:after="0" w:line="155" w:lineRule="exact"/>
        <w:rPr>
          <w:sz w:val="20"/>
          <w:szCs w:val="20"/>
          <w:color w:val="auto"/>
        </w:rPr>
      </w:pPr>
    </w:p>
    <w:p>
      <w:pPr>
        <w:jc w:val="both"/>
        <w:ind w:left="2060" w:right="839"/>
        <w:spacing w:after="0"/>
        <w:rPr>
          <w:sz w:val="20"/>
          <w:szCs w:val="20"/>
          <w:color w:val="auto"/>
        </w:rPr>
      </w:pPr>
      <w:r>
        <w:rPr>
          <w:rFonts w:ascii="Arial" w:cs="Arial" w:eastAsia="Arial" w:hAnsi="Arial"/>
          <w:sz w:val="11"/>
          <w:szCs w:val="11"/>
          <w:color w:val="050505"/>
        </w:rPr>
        <w:t>The exercise price of each stock option must be at least equal to the fair market value of our common stock on the date of grant. The maximum permitted term of options granted under our 2019 Plan is ten years. The compensation committee may provide for options to be exercised only as they vest or to be immediately exercisable with any shares issued on exercise being subject to our right of repurchase that lapses as the shares vest. Stock options granted under the 2019 Plan generally may be exercised, to the extent vested as of the date of termination, for a period of three months after the termination of the optionee’s service to us, for a period of 12 months in the case of death or disability, or such longer or shorter period as our compensation committee may provide, but in any event no later than the expiration date of the stock option. Stock options generally terminate immediately upon termination of employment for cause.</w:t>
      </w:r>
    </w:p>
    <w:p>
      <w:pPr>
        <w:spacing w:after="0" w:line="141" w:lineRule="exact"/>
        <w:rPr>
          <w:sz w:val="20"/>
          <w:szCs w:val="20"/>
          <w:color w:val="auto"/>
        </w:rPr>
      </w:pPr>
    </w:p>
    <w:p>
      <w:pPr>
        <w:jc w:val="both"/>
        <w:ind w:left="2060" w:right="839"/>
        <w:spacing w:after="0" w:line="241" w:lineRule="auto"/>
        <w:rPr>
          <w:sz w:val="20"/>
          <w:szCs w:val="20"/>
          <w:color w:val="auto"/>
        </w:rPr>
      </w:pPr>
      <w:r>
        <w:rPr>
          <w:rFonts w:ascii="Arial" w:cs="Arial" w:eastAsia="Arial" w:hAnsi="Arial"/>
          <w:sz w:val="11"/>
          <w:szCs w:val="11"/>
          <w:color w:val="050505"/>
        </w:rPr>
        <w:t>An RSA is an offer by us to sell shares of our Class A common stock subject to restrictions, which may vest subject to continued service and/or the achievement of performance conditions. The price, if any, of an RSA will be determined by the compensation committee. Unless otherwise determined by the compensation committee at the time of award, vesting will cease on the date the holder of the RSA no longer provides services to us and unvested shares will be forfeited to or repurchased by us.</w:t>
      </w:r>
    </w:p>
    <w:p>
      <w:pPr>
        <w:spacing w:after="0" w:line="140" w:lineRule="exact"/>
        <w:rPr>
          <w:sz w:val="20"/>
          <w:szCs w:val="20"/>
          <w:color w:val="auto"/>
        </w:rPr>
      </w:pPr>
    </w:p>
    <w:p>
      <w:pPr>
        <w:jc w:val="both"/>
        <w:ind w:left="2060" w:right="839"/>
        <w:spacing w:after="0" w:line="241" w:lineRule="auto"/>
        <w:rPr>
          <w:sz w:val="20"/>
          <w:szCs w:val="20"/>
          <w:color w:val="auto"/>
        </w:rPr>
      </w:pPr>
      <w:r>
        <w:rPr>
          <w:rFonts w:ascii="Arial" w:cs="Arial" w:eastAsia="Arial" w:hAnsi="Arial"/>
          <w:sz w:val="11"/>
          <w:szCs w:val="11"/>
          <w:color w:val="050505"/>
        </w:rPr>
        <w:t>SARs provide for a payment, or payments, in cash or shares of our Class A common stock, to the holder based upon the difference between the fair market value of our Class A common stock on the date of exercise and the stated exercise price at grant. SARs may vest subject to continued service and/or the achievement of performance conditions; provided that no SAR will be exercisable after the expiration of 10 years from the date the SAR is granted.</w:t>
      </w:r>
    </w:p>
    <w:p>
      <w:pPr>
        <w:spacing w:after="0" w:line="140" w:lineRule="exact"/>
        <w:rPr>
          <w:sz w:val="20"/>
          <w:szCs w:val="20"/>
          <w:color w:val="auto"/>
        </w:rPr>
      </w:pPr>
    </w:p>
    <w:p>
      <w:pPr>
        <w:jc w:val="both"/>
        <w:ind w:left="2060" w:right="839"/>
        <w:spacing w:after="0" w:line="242" w:lineRule="auto"/>
        <w:rPr>
          <w:sz w:val="20"/>
          <w:szCs w:val="20"/>
          <w:color w:val="auto"/>
        </w:rPr>
      </w:pPr>
      <w:r>
        <w:rPr>
          <w:rFonts w:ascii="Arial" w:cs="Arial" w:eastAsia="Arial" w:hAnsi="Arial"/>
          <w:sz w:val="11"/>
          <w:szCs w:val="11"/>
          <w:color w:val="050505"/>
        </w:rPr>
        <w:t>RSUs represent the right to receive shares of our Class A common stock at a specified date in the future, subject to continued service and/or the achievement of performance conditions. If an RSU has not been forfeited, then on the date specified in the RSU agreement, we will deliver to the holder of the RSU whole shares of our Class A common stock, cash, or a combination of our Class A common stock and cash.</w:t>
      </w:r>
    </w:p>
    <w:p>
      <w:pPr>
        <w:spacing w:after="0" w:line="95" w:lineRule="exact"/>
        <w:rPr>
          <w:sz w:val="20"/>
          <w:szCs w:val="20"/>
          <w:color w:val="auto"/>
        </w:rPr>
      </w:pPr>
    </w:p>
    <w:p>
      <w:pPr>
        <w:ind w:left="5640"/>
        <w:spacing w:after="0"/>
        <w:rPr>
          <w:sz w:val="20"/>
          <w:szCs w:val="20"/>
          <w:color w:val="auto"/>
        </w:rPr>
      </w:pPr>
      <w:r>
        <w:rPr>
          <w:rFonts w:ascii="Arial" w:cs="Arial" w:eastAsia="Arial" w:hAnsi="Arial"/>
          <w:sz w:val="11"/>
          <w:szCs w:val="11"/>
          <w:color w:val="050505"/>
        </w:rPr>
        <w:t>125</w:t>
      </w:r>
    </w:p>
    <w:p>
      <w:pPr>
        <w:sectPr>
          <w:pgSz w:w="11900" w:h="16838" w:orient="portrait"/>
          <w:cols w:equalWidth="0" w:num="1">
            <w:col w:w="10239"/>
          </w:cols>
          <w:pgMar w:left="220" w:top="354" w:right="1440" w:bottom="1440" w:gutter="0" w:footer="0" w:header="0"/>
        </w:sectPr>
      </w:pPr>
    </w:p>
    <w:bookmarkStart w:id="135" w:name="page136"/>
    <w:bookmarkEnd w:id="135"/>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hyperlink w:anchor="page5">
        <w:r>
          <w:rPr>
            <w:rFonts w:ascii="Arial" w:cs="Arial" w:eastAsia="Arial" w:hAnsi="Arial"/>
            <w:sz w:val="12"/>
            <w:szCs w:val="12"/>
            <w:b w:val="1"/>
            <w:bCs w:val="1"/>
            <w:u w:val="single" w:color="auto"/>
            <w:color w:val="0000EE"/>
          </w:rPr>
          <w:t>Table of Contents</w:t>
        </w:r>
      </w:hyperlink>
    </w:p>
    <w:p>
      <w:pPr>
        <w:spacing w:after="0" w:line="216" w:lineRule="exact"/>
        <w:rPr>
          <w:sz w:val="20"/>
          <w:szCs w:val="20"/>
          <w:color w:val="auto"/>
        </w:rPr>
      </w:pPr>
    </w:p>
    <w:p>
      <w:pPr>
        <w:jc w:val="both"/>
        <w:ind w:left="2060" w:right="839"/>
        <w:spacing w:after="0" w:line="245" w:lineRule="auto"/>
        <w:rPr>
          <w:sz w:val="20"/>
          <w:szCs w:val="20"/>
          <w:color w:val="auto"/>
        </w:rPr>
      </w:pPr>
      <w:r>
        <w:rPr>
          <w:rFonts w:ascii="Arial" w:cs="Arial" w:eastAsia="Arial" w:hAnsi="Arial"/>
          <w:sz w:val="11"/>
          <w:szCs w:val="11"/>
          <w:color w:val="050505"/>
        </w:rPr>
        <w:t>Performance awards cover shares of our Class A common stock and may be settled upon achievement of the pre-established performance conditions as provided in the 2019 Plan in cash, by issuance of the underlying shares, other property, or any combination of the foregoing.</w:t>
      </w:r>
    </w:p>
    <w:p>
      <w:pPr>
        <w:spacing w:after="0" w:line="138" w:lineRule="exact"/>
        <w:rPr>
          <w:sz w:val="20"/>
          <w:szCs w:val="20"/>
          <w:color w:val="auto"/>
        </w:rPr>
      </w:pPr>
    </w:p>
    <w:p>
      <w:pPr>
        <w:jc w:val="both"/>
        <w:ind w:left="2060" w:right="839"/>
        <w:spacing w:after="0" w:line="294" w:lineRule="auto"/>
        <w:rPr>
          <w:sz w:val="20"/>
          <w:szCs w:val="20"/>
          <w:color w:val="auto"/>
        </w:rPr>
      </w:pPr>
      <w:r>
        <w:rPr>
          <w:rFonts w:ascii="Arial" w:cs="Arial" w:eastAsia="Arial" w:hAnsi="Arial"/>
          <w:sz w:val="10"/>
          <w:szCs w:val="10"/>
          <w:color w:val="050505"/>
        </w:rPr>
        <w:t>Stock bonuses may be granted as additional compensation for service or performance, and may be settled in the form of cash, Class A common stock, or a combination thereof, and may be subject to restrictions, which may vest subject to continued service and/or the achievement of performance conditions.</w:t>
      </w:r>
    </w:p>
    <w:p>
      <w:pPr>
        <w:spacing w:after="0" w:line="115" w:lineRule="exact"/>
        <w:rPr>
          <w:sz w:val="20"/>
          <w:szCs w:val="20"/>
          <w:color w:val="auto"/>
        </w:rPr>
      </w:pPr>
    </w:p>
    <w:p>
      <w:pPr>
        <w:jc w:val="both"/>
        <w:ind w:left="2060" w:right="839"/>
        <w:spacing w:after="0"/>
        <w:rPr>
          <w:sz w:val="20"/>
          <w:szCs w:val="20"/>
          <w:color w:val="auto"/>
        </w:rPr>
      </w:pPr>
      <w:r>
        <w:rPr>
          <w:rFonts w:ascii="Arial" w:cs="Arial" w:eastAsia="Arial" w:hAnsi="Arial"/>
          <w:sz w:val="11"/>
          <w:szCs w:val="11"/>
          <w:color w:val="050505"/>
        </w:rPr>
        <w:t>In the event of a change in the number of outstanding shares of our Class A common stock without consideration by reason of a stock dividend, extraordinary dividend or distribution, recapitalization, stock split, reverse stock split, subdivision, combination, consolidation, reclassification, spin-off, or similar change in our capital structure, appropriate proportional adjustments will be made to the number of shares reserved for issuance under our 2019 Plan; the exercise prices, number, and class of shares subject to outstanding options or SARs; the number and class of shares subject to other outstanding awards; and any applicable maximum award limits with respect to incentive stock options.</w:t>
      </w:r>
    </w:p>
    <w:p>
      <w:pPr>
        <w:spacing w:after="0" w:line="142" w:lineRule="exact"/>
        <w:rPr>
          <w:sz w:val="20"/>
          <w:szCs w:val="20"/>
          <w:color w:val="auto"/>
        </w:rPr>
      </w:pPr>
    </w:p>
    <w:p>
      <w:pPr>
        <w:jc w:val="both"/>
        <w:ind w:left="2060" w:right="839"/>
        <w:spacing w:after="0"/>
        <w:rPr>
          <w:sz w:val="20"/>
          <w:szCs w:val="20"/>
          <w:color w:val="auto"/>
        </w:rPr>
      </w:pPr>
      <w:r>
        <w:rPr>
          <w:rFonts w:ascii="Arial" w:cs="Arial" w:eastAsia="Arial" w:hAnsi="Arial"/>
          <w:sz w:val="11"/>
          <w:szCs w:val="11"/>
          <w:color w:val="050505"/>
        </w:rPr>
        <w:t>In the event of a corporate transaction which constitutes a change of control, any or all outstanding awards may be (1) continued by the company, if the company is the successor entity; (2) assumed or substituted by the successor corporation, or a parent or subsidiary of the successor corporation, for substantially equivalent awards (including, but not limited to a payment in cash or other right to acquire the same consideration paid to stockholders of the company upon a change of control). In the event a successor corporation refuses to assume or substitute outstanding awards, then such awards will become fully vested and, as applicable, exercisable, immediately prior to the consummation of the proposed change of control. For purposes of the foregoing, any awards subject to outstanding performance-based criteria that are not assumed will be deemed earned and vested at 100% of target level unless otherwise indicated in an applicable award agreement. Notwithstanding the foregoing, in the event of a change in control, any outstanding awards granted to our non-employee directors under the 2019 Plan will become vested and exercisable, as applicable, prior to the consummation of the change in control.</w:t>
      </w:r>
    </w:p>
    <w:p>
      <w:pPr>
        <w:spacing w:after="0" w:line="141" w:lineRule="exact"/>
        <w:rPr>
          <w:sz w:val="20"/>
          <w:szCs w:val="20"/>
          <w:color w:val="auto"/>
        </w:rPr>
      </w:pPr>
    </w:p>
    <w:p>
      <w:pPr>
        <w:jc w:val="both"/>
        <w:ind w:left="2060" w:right="839"/>
        <w:spacing w:after="0"/>
        <w:rPr>
          <w:sz w:val="20"/>
          <w:szCs w:val="20"/>
          <w:color w:val="auto"/>
        </w:rPr>
      </w:pPr>
      <w:r>
        <w:rPr>
          <w:rFonts w:ascii="Arial" w:cs="Arial" w:eastAsia="Arial" w:hAnsi="Arial"/>
          <w:sz w:val="11"/>
          <w:szCs w:val="11"/>
          <w:color w:val="050505"/>
        </w:rPr>
        <w:t>A corporate transaction generally includes (1) a “person” becoming the “beneficial owner” of our securities representing more than 50% of our total voting power; (2) the consummation of our sale or disposition of all or substantially all of our assets; (3) the consummation of our merger or consolidation with any other corporation, except where we retain at least 50% of our total voting power; (4) any other transaction which qualifies as a “corporate transaction” under Section 424(a) of the Code wherein our stockholders give up all of their equity interest in us; or (5) a change in our effective control that occurs on the date that a majority of members of our board is replaced during any 12-month period by members whose appointment or election is not endorsed by a majority of the members of our board of directors prior to the date of the appointment or election.</w:t>
      </w:r>
    </w:p>
    <w:p>
      <w:pPr>
        <w:spacing w:after="0" w:line="142" w:lineRule="exact"/>
        <w:rPr>
          <w:sz w:val="20"/>
          <w:szCs w:val="20"/>
          <w:color w:val="auto"/>
        </w:rPr>
      </w:pPr>
    </w:p>
    <w:p>
      <w:pPr>
        <w:jc w:val="both"/>
        <w:ind w:left="2060" w:right="839"/>
        <w:spacing w:after="0" w:line="245" w:lineRule="auto"/>
        <w:rPr>
          <w:sz w:val="20"/>
          <w:szCs w:val="20"/>
          <w:color w:val="auto"/>
        </w:rPr>
      </w:pPr>
      <w:r>
        <w:rPr>
          <w:rFonts w:ascii="Arial" w:cs="Arial" w:eastAsia="Arial" w:hAnsi="Arial"/>
          <w:sz w:val="11"/>
          <w:szCs w:val="11"/>
          <w:color w:val="050505"/>
        </w:rPr>
        <w:t>All awards will be subject to clawback or recoupment pursuant to any compensation clawback or recoupment policy adopted by our board of directors or required by law during the term of service of the award holder, to the extent set forth in such policy or applicable agreement.</w:t>
      </w:r>
    </w:p>
    <w:p>
      <w:pPr>
        <w:spacing w:after="0" w:line="138" w:lineRule="exact"/>
        <w:rPr>
          <w:sz w:val="20"/>
          <w:szCs w:val="20"/>
          <w:color w:val="auto"/>
        </w:rPr>
      </w:pPr>
    </w:p>
    <w:p>
      <w:pPr>
        <w:jc w:val="both"/>
        <w:ind w:left="2060" w:right="839"/>
        <w:spacing w:after="0" w:line="278" w:lineRule="auto"/>
        <w:rPr>
          <w:sz w:val="20"/>
          <w:szCs w:val="20"/>
          <w:color w:val="auto"/>
        </w:rPr>
      </w:pPr>
      <w:r>
        <w:rPr>
          <w:rFonts w:ascii="Arial" w:cs="Arial" w:eastAsia="Arial" w:hAnsi="Arial"/>
          <w:sz w:val="10"/>
          <w:szCs w:val="10"/>
          <w:color w:val="050505"/>
        </w:rPr>
        <w:t>Our 2019 Plan will terminate ten years from the date our board of directors approved the plan, unless it is terminated earlier by our board of directors. Our board of directors may amend or terminate our 2019 Plan at any time, subject to stockholder approval as may be required by applicable law or listing rules. No termination or amendment of the 2019 Plan may adversely affect any then-outstanding award without the consent of the affected participant.</w:t>
      </w:r>
    </w:p>
    <w:p>
      <w:pPr>
        <w:spacing w:after="0" w:line="111" w:lineRule="exact"/>
        <w:rPr>
          <w:sz w:val="20"/>
          <w:szCs w:val="20"/>
          <w:color w:val="auto"/>
        </w:rPr>
      </w:pPr>
    </w:p>
    <w:p>
      <w:pPr>
        <w:ind w:left="2060"/>
        <w:spacing w:after="0"/>
        <w:rPr>
          <w:sz w:val="20"/>
          <w:szCs w:val="20"/>
          <w:color w:val="auto"/>
        </w:rPr>
      </w:pPr>
      <w:r>
        <w:rPr>
          <w:rFonts w:ascii="Arial" w:cs="Arial" w:eastAsia="Arial" w:hAnsi="Arial"/>
          <w:sz w:val="11"/>
          <w:szCs w:val="11"/>
          <w:b w:val="1"/>
          <w:bCs w:val="1"/>
          <w:i w:val="1"/>
          <w:iCs w:val="1"/>
          <w:color w:val="auto"/>
        </w:rPr>
        <w:t>2019 Employee Stock Purchase Plan</w:t>
      </w:r>
    </w:p>
    <w:p>
      <w:pPr>
        <w:spacing w:after="0" w:line="12" w:lineRule="exact"/>
        <w:rPr>
          <w:sz w:val="20"/>
          <w:szCs w:val="20"/>
          <w:color w:val="auto"/>
        </w:rPr>
      </w:pPr>
    </w:p>
    <w:p>
      <w:pPr>
        <w:jc w:val="both"/>
        <w:ind w:left="2060" w:right="839"/>
        <w:spacing w:after="0"/>
        <w:rPr>
          <w:sz w:val="20"/>
          <w:szCs w:val="20"/>
          <w:color w:val="auto"/>
        </w:rPr>
      </w:pPr>
      <w:r>
        <w:rPr>
          <w:rFonts w:ascii="Arial" w:cs="Arial" w:eastAsia="Arial" w:hAnsi="Arial"/>
          <w:sz w:val="11"/>
          <w:szCs w:val="11"/>
          <w:color w:val="050505"/>
        </w:rPr>
        <w:t>In August 2019, our board of directors adopted our 2019 ESPP, which was subsequently approved by our stockholders in September 2019. The 2019 ESPP became effective on the effective date of the registration statement of which this prospectus forms a part. We have adopted the 2019 ESPP in order to enable eligible employees to purchase shares of our Class A common stock at a discount following the date of this offering. Our 2019 ESPP is intended to qualify as an employee stock purchase plan under Section 423 of the Code. We initially reserved 5,600,000 shares of our Class A common stock for issuance under our 2019 ESPP. The number of shares reserved for issuance under our 2019 ESPP will increase automatically on July 1 of each of 2020 through 2029 by the number of shares equal to 1% of the total outstanding shares of all of our classes of common stock as of the immediately preceding June 30, provided that no more than</w:t>
      </w:r>
    </w:p>
    <w:p>
      <w:pPr>
        <w:spacing w:after="0" w:line="96" w:lineRule="exact"/>
        <w:rPr>
          <w:sz w:val="20"/>
          <w:szCs w:val="20"/>
          <w:color w:val="auto"/>
        </w:rPr>
      </w:pPr>
    </w:p>
    <w:p>
      <w:pPr>
        <w:ind w:left="5640"/>
        <w:spacing w:after="0"/>
        <w:rPr>
          <w:sz w:val="20"/>
          <w:szCs w:val="20"/>
          <w:color w:val="auto"/>
        </w:rPr>
      </w:pPr>
      <w:r>
        <w:rPr>
          <w:rFonts w:ascii="Arial" w:cs="Arial" w:eastAsia="Arial" w:hAnsi="Arial"/>
          <w:sz w:val="11"/>
          <w:szCs w:val="11"/>
          <w:color w:val="050505"/>
        </w:rPr>
        <w:t>126</w:t>
      </w:r>
    </w:p>
    <w:p>
      <w:pPr>
        <w:sectPr>
          <w:pgSz w:w="11900" w:h="16838" w:orient="portrait"/>
          <w:cols w:equalWidth="0" w:num="1">
            <w:col w:w="10239"/>
          </w:cols>
          <w:pgMar w:left="220" w:top="354" w:right="1440" w:bottom="1440" w:gutter="0" w:footer="0" w:header="0"/>
        </w:sectPr>
      </w:pPr>
    </w:p>
    <w:bookmarkStart w:id="136" w:name="page137"/>
    <w:bookmarkEnd w:id="136"/>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hyperlink w:anchor="page5">
        <w:r>
          <w:rPr>
            <w:rFonts w:ascii="Arial" w:cs="Arial" w:eastAsia="Arial" w:hAnsi="Arial"/>
            <w:sz w:val="12"/>
            <w:szCs w:val="12"/>
            <w:b w:val="1"/>
            <w:bCs w:val="1"/>
            <w:u w:val="single" w:color="auto"/>
            <w:color w:val="0000EE"/>
          </w:rPr>
          <w:t>Table of Contents</w:t>
        </w:r>
      </w:hyperlink>
    </w:p>
    <w:p>
      <w:pPr>
        <w:spacing w:after="0" w:line="216" w:lineRule="exact"/>
        <w:rPr>
          <w:sz w:val="20"/>
          <w:szCs w:val="20"/>
          <w:color w:val="auto"/>
        </w:rPr>
      </w:pPr>
    </w:p>
    <w:p>
      <w:pPr>
        <w:jc w:val="both"/>
        <w:ind w:left="2060" w:right="839"/>
        <w:spacing w:after="0" w:line="245" w:lineRule="auto"/>
        <w:rPr>
          <w:sz w:val="20"/>
          <w:szCs w:val="20"/>
          <w:color w:val="auto"/>
        </w:rPr>
      </w:pPr>
      <w:r>
        <w:rPr>
          <w:rFonts w:ascii="Arial" w:cs="Arial" w:eastAsia="Arial" w:hAnsi="Arial"/>
          <w:sz w:val="11"/>
          <w:szCs w:val="11"/>
          <w:color w:val="050505"/>
        </w:rPr>
        <w:t>50,000,000 shares may be issued over the term of the 2019 ESPP. However, our board of directors may reduce the amount of the increase in any particular year.</w:t>
      </w:r>
    </w:p>
    <w:p>
      <w:pPr>
        <w:spacing w:after="0" w:line="138" w:lineRule="exact"/>
        <w:rPr>
          <w:sz w:val="20"/>
          <w:szCs w:val="20"/>
          <w:color w:val="auto"/>
        </w:rPr>
      </w:pPr>
    </w:p>
    <w:p>
      <w:pPr>
        <w:jc w:val="both"/>
        <w:ind w:left="2060" w:right="839"/>
        <w:spacing w:after="0"/>
        <w:rPr>
          <w:sz w:val="20"/>
          <w:szCs w:val="20"/>
          <w:color w:val="auto"/>
        </w:rPr>
      </w:pPr>
      <w:r>
        <w:rPr>
          <w:rFonts w:ascii="Arial" w:cs="Arial" w:eastAsia="Arial" w:hAnsi="Arial"/>
          <w:sz w:val="11"/>
          <w:szCs w:val="11"/>
          <w:color w:val="050505"/>
        </w:rPr>
        <w:t>Our board of directors has delegated its authority to administer the 2019 ESPP to our compensation committee. Employees eligible to participate in any offering pursuant to the 2019 ESPP generally include any employee that is employed by us or certain of our designated subsidiaries at the beginning of the offering period, provided that the committee may exclude employees who fail to meet certain service-based or other requirements to the extent permitted by law. Under our 2019 ESPP, eligible employees are able to acquire shares of our Class A common stock by accumulating funds through payroll deductions. Generally, our eligible employees are able to select a rate of payroll deduction between 1% and 15% of their base cash compensation. Our board of directors has the authority to amend or terminate our 2019 ESPP, provided that except in certain circumstances such amendment or termination may not materially impair any outstanding purchase rights without the holder’s consent. Our 2019 ESPP will terminate on the tenth anniversary of its effective date, unless it is terminated earlier by our board of directors.</w:t>
      </w:r>
    </w:p>
    <w:p>
      <w:pPr>
        <w:spacing w:after="0" w:line="141" w:lineRule="exact"/>
        <w:rPr>
          <w:sz w:val="20"/>
          <w:szCs w:val="20"/>
          <w:color w:val="auto"/>
        </w:rPr>
      </w:pPr>
    </w:p>
    <w:p>
      <w:pPr>
        <w:jc w:val="both"/>
        <w:ind w:left="2060" w:right="839"/>
        <w:spacing w:after="0" w:line="242" w:lineRule="auto"/>
        <w:rPr>
          <w:sz w:val="20"/>
          <w:szCs w:val="20"/>
          <w:color w:val="auto"/>
        </w:rPr>
      </w:pPr>
      <w:r>
        <w:rPr>
          <w:rFonts w:ascii="Arial" w:cs="Arial" w:eastAsia="Arial" w:hAnsi="Arial"/>
          <w:sz w:val="11"/>
          <w:szCs w:val="11"/>
          <w:color w:val="050505"/>
        </w:rPr>
        <w:t>The 2019 ESPP is administered through a series of offering periods, which in no event may be longer than 27 months. Each offering period may itself consistent of one or more purchase periods. Unless otherwise determined by the board of directors or compensation committee, the company currently intends to establish offering periods of 24-months, each consisting of four six-month purchase periods.</w:t>
      </w:r>
    </w:p>
    <w:p>
      <w:pPr>
        <w:spacing w:after="0" w:line="140" w:lineRule="exact"/>
        <w:rPr>
          <w:sz w:val="20"/>
          <w:szCs w:val="20"/>
          <w:color w:val="auto"/>
        </w:rPr>
      </w:pPr>
    </w:p>
    <w:p>
      <w:pPr>
        <w:jc w:val="both"/>
        <w:ind w:left="2060" w:right="839"/>
        <w:spacing w:after="0" w:line="242" w:lineRule="auto"/>
        <w:rPr>
          <w:sz w:val="20"/>
          <w:szCs w:val="20"/>
          <w:color w:val="auto"/>
        </w:rPr>
      </w:pPr>
      <w:r>
        <w:rPr>
          <w:rFonts w:ascii="Arial" w:cs="Arial" w:eastAsia="Arial" w:hAnsi="Arial"/>
          <w:sz w:val="11"/>
          <w:szCs w:val="11"/>
          <w:color w:val="050505"/>
        </w:rPr>
        <w:t>The purchase price for shares of our Class A common stock purchased under our 2019 ESPP is 85% of the lesser of the fair market value of our Class A common stock on (1) the first business day of the applicable offering period and (2) the last business day of each purchase period in the applicable offering period, but in no event less than the par value of a share.</w:t>
      </w:r>
    </w:p>
    <w:p>
      <w:pPr>
        <w:spacing w:after="0" w:line="140" w:lineRule="exact"/>
        <w:rPr>
          <w:sz w:val="20"/>
          <w:szCs w:val="20"/>
          <w:color w:val="auto"/>
        </w:rPr>
      </w:pPr>
    </w:p>
    <w:p>
      <w:pPr>
        <w:jc w:val="both"/>
        <w:ind w:left="2060" w:right="839"/>
        <w:spacing w:after="0" w:line="273" w:lineRule="auto"/>
        <w:rPr>
          <w:sz w:val="20"/>
          <w:szCs w:val="20"/>
          <w:color w:val="auto"/>
        </w:rPr>
      </w:pPr>
      <w:r>
        <w:rPr>
          <w:rFonts w:ascii="Arial" w:cs="Arial" w:eastAsia="Arial" w:hAnsi="Arial"/>
          <w:sz w:val="10"/>
          <w:szCs w:val="10"/>
          <w:color w:val="050505"/>
        </w:rPr>
        <w:t>No participant has the right to purchase shares of our Class A common stock in an amount, when aggregated with purchase rights under all our employee stock purchase plans that are also in effect in the same calendar year, that have a fair market value of more than $25,000, determined as of the first day of the applicable purchase period, for each calendar year in which that right is outstanding. In addition, no participant will be permitted to purchase more than 2,500 shares of our Class A common stock during any one purchase period, or a lesser amount determined by our compensation committee.</w:t>
      </w:r>
    </w:p>
    <w:p>
      <w:pPr>
        <w:spacing w:after="0" w:line="125" w:lineRule="exact"/>
        <w:rPr>
          <w:sz w:val="20"/>
          <w:szCs w:val="20"/>
          <w:color w:val="auto"/>
        </w:rPr>
      </w:pPr>
    </w:p>
    <w:p>
      <w:pPr>
        <w:jc w:val="both"/>
        <w:ind w:left="2060" w:right="839"/>
        <w:spacing w:after="0" w:line="241" w:lineRule="auto"/>
        <w:rPr>
          <w:sz w:val="20"/>
          <w:szCs w:val="20"/>
          <w:color w:val="auto"/>
        </w:rPr>
      </w:pPr>
      <w:r>
        <w:rPr>
          <w:rFonts w:ascii="Arial" w:cs="Arial" w:eastAsia="Arial" w:hAnsi="Arial"/>
          <w:sz w:val="11"/>
          <w:szCs w:val="11"/>
          <w:color w:val="050505"/>
        </w:rPr>
        <w:t>If the number of outstanding shares of our Class A common stock is changed by stock dividend, recapitalization, stock split, reverse stock split, subdivision, combination, reclassification, or similar change in our capital structure without consideration, then our compensation committee will proportionately adjust the number and class of common stock that is available under the 2019 ESPP, the purchase price and number of shares any participant has elected to purchase as well as the maximum number of shares which may be purchased by participants.</w:t>
      </w:r>
    </w:p>
    <w:p>
      <w:pPr>
        <w:spacing w:after="0" w:line="140" w:lineRule="exact"/>
        <w:rPr>
          <w:sz w:val="20"/>
          <w:szCs w:val="20"/>
          <w:color w:val="auto"/>
        </w:rPr>
      </w:pPr>
    </w:p>
    <w:p>
      <w:pPr>
        <w:jc w:val="both"/>
        <w:ind w:left="2060" w:right="839"/>
        <w:spacing w:after="0" w:line="242" w:lineRule="auto"/>
        <w:rPr>
          <w:sz w:val="20"/>
          <w:szCs w:val="20"/>
          <w:color w:val="auto"/>
        </w:rPr>
      </w:pPr>
      <w:r>
        <w:rPr>
          <w:rFonts w:ascii="Arial" w:cs="Arial" w:eastAsia="Arial" w:hAnsi="Arial"/>
          <w:sz w:val="11"/>
          <w:szCs w:val="11"/>
          <w:color w:val="050505"/>
        </w:rPr>
        <w:t>If we experience a change of control transaction, any offering period that commenced prior to the closing of the proposed change of control transaction will be shortened and terminated on a new purchase date. The new purchase date will occur on or prior to the closing of the proposed change of control transaction, and our 2019 ESPP will then terminate on the closing of the proposed change of control.</w:t>
      </w:r>
    </w:p>
    <w:p>
      <w:pPr>
        <w:spacing w:after="0" w:line="128" w:lineRule="exact"/>
        <w:rPr>
          <w:sz w:val="20"/>
          <w:szCs w:val="20"/>
          <w:color w:val="auto"/>
        </w:rPr>
      </w:pPr>
    </w:p>
    <w:p>
      <w:pPr>
        <w:ind w:left="2060"/>
        <w:spacing w:after="0"/>
        <w:rPr>
          <w:sz w:val="20"/>
          <w:szCs w:val="20"/>
          <w:color w:val="auto"/>
        </w:rPr>
      </w:pPr>
      <w:r>
        <w:rPr>
          <w:rFonts w:ascii="Arial" w:cs="Arial" w:eastAsia="Arial" w:hAnsi="Arial"/>
          <w:sz w:val="11"/>
          <w:szCs w:val="11"/>
          <w:b w:val="1"/>
          <w:bCs w:val="1"/>
          <w:i w:val="1"/>
          <w:iCs w:val="1"/>
          <w:color w:val="auto"/>
        </w:rPr>
        <w:t>401(k) Plan</w:t>
      </w:r>
    </w:p>
    <w:p>
      <w:pPr>
        <w:spacing w:after="0" w:line="12" w:lineRule="exact"/>
        <w:rPr>
          <w:sz w:val="20"/>
          <w:szCs w:val="20"/>
          <w:color w:val="auto"/>
        </w:rPr>
      </w:pPr>
    </w:p>
    <w:p>
      <w:pPr>
        <w:jc w:val="both"/>
        <w:ind w:left="2060" w:right="839"/>
        <w:spacing w:after="0" w:line="242" w:lineRule="auto"/>
        <w:rPr>
          <w:sz w:val="20"/>
          <w:szCs w:val="20"/>
          <w:color w:val="auto"/>
        </w:rPr>
      </w:pPr>
      <w:r>
        <w:rPr>
          <w:rFonts w:ascii="Arial" w:cs="Arial" w:eastAsia="Arial" w:hAnsi="Arial"/>
          <w:sz w:val="11"/>
          <w:szCs w:val="11"/>
          <w:color w:val="050505"/>
        </w:rPr>
        <w:t>We maintain a broad-based 401(k) plan that provides eligible U.S. employees with an opportunity to defer eligible compensation up to certain annual limits. As a tax-qualified retirement plan, contributions to the 401(k) plan are deductible by us when made, and contributions and earnings on those amounts are generally not taxable to the employees until withdrawn or distributed from the 401(k) plan.</w:t>
      </w:r>
    </w:p>
    <w:p>
      <w:pPr>
        <w:spacing w:after="0" w:line="200" w:lineRule="exact"/>
        <w:rPr>
          <w:sz w:val="20"/>
          <w:szCs w:val="20"/>
          <w:color w:val="auto"/>
        </w:rPr>
      </w:pPr>
    </w:p>
    <w:p>
      <w:pPr>
        <w:ind w:left="2060"/>
        <w:spacing w:after="0"/>
        <w:rPr>
          <w:sz w:val="20"/>
          <w:szCs w:val="20"/>
          <w:color w:val="auto"/>
        </w:rPr>
      </w:pPr>
      <w:r>
        <w:rPr>
          <w:rFonts w:ascii="Arial" w:cs="Arial" w:eastAsia="Arial" w:hAnsi="Arial"/>
          <w:sz w:val="11"/>
          <w:szCs w:val="11"/>
          <w:b w:val="1"/>
          <w:bCs w:val="1"/>
          <w:u w:val="single" w:color="auto"/>
          <w:color w:val="auto"/>
        </w:rPr>
        <w:t>Limitation of Liability and Indemnification of Directors and Officers</w:t>
      </w:r>
    </w:p>
    <w:p>
      <w:pPr>
        <w:spacing w:after="0" w:line="12" w:lineRule="exact"/>
        <w:rPr>
          <w:sz w:val="20"/>
          <w:szCs w:val="20"/>
          <w:color w:val="auto"/>
        </w:rPr>
      </w:pPr>
    </w:p>
    <w:p>
      <w:pPr>
        <w:jc w:val="both"/>
        <w:ind w:left="2060" w:right="839"/>
        <w:spacing w:after="0" w:line="245" w:lineRule="auto"/>
        <w:rPr>
          <w:sz w:val="20"/>
          <w:szCs w:val="20"/>
          <w:color w:val="auto"/>
        </w:rPr>
      </w:pPr>
      <w:r>
        <w:rPr>
          <w:rFonts w:ascii="Arial" w:cs="Arial" w:eastAsia="Arial" w:hAnsi="Arial"/>
          <w:sz w:val="11"/>
          <w:szCs w:val="11"/>
          <w:color w:val="050505"/>
        </w:rPr>
        <w:t>Our restated certificate of incorporation that will become effective in connection with the completion of this offering contains provisions that limit the liability of our directors for monetary damages to the fullest extent permitted by the DGCL.</w:t>
      </w:r>
    </w:p>
    <w:p>
      <w:pPr>
        <w:spacing w:after="0" w:line="93" w:lineRule="exact"/>
        <w:rPr>
          <w:sz w:val="20"/>
          <w:szCs w:val="20"/>
          <w:color w:val="auto"/>
        </w:rPr>
      </w:pPr>
    </w:p>
    <w:p>
      <w:pPr>
        <w:ind w:left="5640"/>
        <w:spacing w:after="0"/>
        <w:rPr>
          <w:sz w:val="20"/>
          <w:szCs w:val="20"/>
          <w:color w:val="auto"/>
        </w:rPr>
      </w:pPr>
      <w:r>
        <w:rPr>
          <w:rFonts w:ascii="Arial" w:cs="Arial" w:eastAsia="Arial" w:hAnsi="Arial"/>
          <w:sz w:val="11"/>
          <w:szCs w:val="11"/>
          <w:color w:val="050505"/>
        </w:rPr>
        <w:t>127</w:t>
      </w:r>
    </w:p>
    <w:p>
      <w:pPr>
        <w:sectPr>
          <w:pgSz w:w="11900" w:h="16838" w:orient="portrait"/>
          <w:cols w:equalWidth="0" w:num="1">
            <w:col w:w="10239"/>
          </w:cols>
          <w:pgMar w:left="220" w:top="354" w:right="1440" w:bottom="1440" w:gutter="0" w:footer="0" w:header="0"/>
        </w:sectPr>
      </w:pPr>
    </w:p>
    <w:bookmarkStart w:id="137" w:name="page138"/>
    <w:bookmarkEnd w:id="137"/>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hyperlink w:anchor="page5">
        <w:r>
          <w:rPr>
            <w:rFonts w:ascii="Arial" w:cs="Arial" w:eastAsia="Arial" w:hAnsi="Arial"/>
            <w:sz w:val="12"/>
            <w:szCs w:val="12"/>
            <w:b w:val="1"/>
            <w:bCs w:val="1"/>
            <w:u w:val="single" w:color="auto"/>
            <w:color w:val="0000EE"/>
          </w:rPr>
          <w:t>Table of Contents</w:t>
        </w:r>
      </w:hyperlink>
    </w:p>
    <w:p>
      <w:pPr>
        <w:spacing w:after="0" w:line="216" w:lineRule="exact"/>
        <w:rPr>
          <w:sz w:val="20"/>
          <w:szCs w:val="20"/>
          <w:color w:val="auto"/>
        </w:rPr>
      </w:pPr>
    </w:p>
    <w:p>
      <w:pPr>
        <w:ind w:left="2060" w:right="839"/>
        <w:spacing w:after="0" w:line="245" w:lineRule="auto"/>
        <w:rPr>
          <w:sz w:val="20"/>
          <w:szCs w:val="20"/>
          <w:color w:val="auto"/>
        </w:rPr>
      </w:pPr>
      <w:r>
        <w:rPr>
          <w:rFonts w:ascii="Arial" w:cs="Arial" w:eastAsia="Arial" w:hAnsi="Arial"/>
          <w:sz w:val="11"/>
          <w:szCs w:val="11"/>
          <w:color w:val="050505"/>
        </w:rPr>
        <w:t>Consequently, our directors will not be personally liable to us or our stockholders for monetary damages for any breach of fiduciary duties as directors, except liability for:</w:t>
      </w:r>
    </w:p>
    <w:p>
      <w:pPr>
        <w:spacing w:after="0" w:line="156" w:lineRule="exact"/>
        <w:rPr>
          <w:sz w:val="20"/>
          <w:szCs w:val="20"/>
          <w:color w:val="auto"/>
        </w:rPr>
      </w:pPr>
    </w:p>
    <w:p>
      <w:pPr>
        <w:ind w:left="2420" w:hanging="217"/>
        <w:spacing w:after="0"/>
        <w:tabs>
          <w:tab w:leader="none" w:pos="2420" w:val="left"/>
        </w:tabs>
        <w:numPr>
          <w:ilvl w:val="0"/>
          <w:numId w:val="86"/>
        </w:numPr>
        <w:rPr>
          <w:rFonts w:ascii="Arial" w:cs="Arial" w:eastAsia="Arial" w:hAnsi="Arial"/>
          <w:sz w:val="11"/>
          <w:szCs w:val="11"/>
          <w:color w:val="F7323F"/>
        </w:rPr>
      </w:pPr>
      <w:r>
        <w:rPr>
          <w:rFonts w:ascii="Arial" w:cs="Arial" w:eastAsia="Arial" w:hAnsi="Arial"/>
          <w:sz w:val="11"/>
          <w:szCs w:val="11"/>
          <w:color w:val="050505"/>
        </w:rPr>
        <w:t>any breach of the director’s duty of loyalty to us or our stockholders;</w:t>
      </w:r>
    </w:p>
    <w:p>
      <w:pPr>
        <w:spacing w:after="0" w:line="44" w:lineRule="exact"/>
        <w:rPr>
          <w:rFonts w:ascii="Arial" w:cs="Arial" w:eastAsia="Arial" w:hAnsi="Arial"/>
          <w:sz w:val="11"/>
          <w:szCs w:val="11"/>
          <w:color w:val="F7323F"/>
        </w:rPr>
      </w:pPr>
    </w:p>
    <w:p>
      <w:pPr>
        <w:ind w:left="2420" w:hanging="217"/>
        <w:spacing w:after="0"/>
        <w:tabs>
          <w:tab w:leader="none" w:pos="2420" w:val="left"/>
        </w:tabs>
        <w:numPr>
          <w:ilvl w:val="0"/>
          <w:numId w:val="86"/>
        </w:numPr>
        <w:rPr>
          <w:rFonts w:ascii="Arial" w:cs="Arial" w:eastAsia="Arial" w:hAnsi="Arial"/>
          <w:sz w:val="11"/>
          <w:szCs w:val="11"/>
          <w:color w:val="F7323F"/>
        </w:rPr>
      </w:pPr>
      <w:r>
        <w:rPr>
          <w:rFonts w:ascii="Arial" w:cs="Arial" w:eastAsia="Arial" w:hAnsi="Arial"/>
          <w:sz w:val="11"/>
          <w:szCs w:val="11"/>
          <w:color w:val="050505"/>
        </w:rPr>
        <w:t>any act or omission not in good faith or that involves intentional misconduct or a knowing violation of law;</w:t>
      </w:r>
    </w:p>
    <w:p>
      <w:pPr>
        <w:spacing w:after="0" w:line="44" w:lineRule="exact"/>
        <w:rPr>
          <w:rFonts w:ascii="Arial" w:cs="Arial" w:eastAsia="Arial" w:hAnsi="Arial"/>
          <w:sz w:val="11"/>
          <w:szCs w:val="11"/>
          <w:color w:val="F7323F"/>
        </w:rPr>
      </w:pPr>
    </w:p>
    <w:p>
      <w:pPr>
        <w:ind w:left="2420" w:hanging="217"/>
        <w:spacing w:after="0"/>
        <w:tabs>
          <w:tab w:leader="none" w:pos="2420" w:val="left"/>
        </w:tabs>
        <w:numPr>
          <w:ilvl w:val="0"/>
          <w:numId w:val="86"/>
        </w:numPr>
        <w:rPr>
          <w:rFonts w:ascii="Arial" w:cs="Arial" w:eastAsia="Arial" w:hAnsi="Arial"/>
          <w:sz w:val="11"/>
          <w:szCs w:val="11"/>
          <w:color w:val="F7323F"/>
        </w:rPr>
      </w:pPr>
      <w:r>
        <w:rPr>
          <w:rFonts w:ascii="Arial" w:cs="Arial" w:eastAsia="Arial" w:hAnsi="Arial"/>
          <w:sz w:val="11"/>
          <w:szCs w:val="11"/>
          <w:color w:val="050505"/>
        </w:rPr>
        <w:t>unlawful payments of dividends or unlawful stock repurchases or redemptions as provided in Section 174 of the DGCL; or</w:t>
      </w:r>
    </w:p>
    <w:p>
      <w:pPr>
        <w:spacing w:after="0" w:line="44" w:lineRule="exact"/>
        <w:rPr>
          <w:rFonts w:ascii="Arial" w:cs="Arial" w:eastAsia="Arial" w:hAnsi="Arial"/>
          <w:sz w:val="11"/>
          <w:szCs w:val="11"/>
          <w:color w:val="F7323F"/>
        </w:rPr>
      </w:pPr>
    </w:p>
    <w:p>
      <w:pPr>
        <w:ind w:left="2420" w:hanging="217"/>
        <w:spacing w:after="0"/>
        <w:tabs>
          <w:tab w:leader="none" w:pos="2420" w:val="left"/>
        </w:tabs>
        <w:numPr>
          <w:ilvl w:val="0"/>
          <w:numId w:val="86"/>
        </w:numPr>
        <w:rPr>
          <w:rFonts w:ascii="Arial" w:cs="Arial" w:eastAsia="Arial" w:hAnsi="Arial"/>
          <w:sz w:val="11"/>
          <w:szCs w:val="11"/>
          <w:color w:val="F7323F"/>
        </w:rPr>
      </w:pPr>
      <w:r>
        <w:rPr>
          <w:rFonts w:ascii="Arial" w:cs="Arial" w:eastAsia="Arial" w:hAnsi="Arial"/>
          <w:sz w:val="11"/>
          <w:szCs w:val="11"/>
          <w:color w:val="050505"/>
        </w:rPr>
        <w:t>any transaction from which the director derived an improper personal benefit.</w:t>
      </w:r>
    </w:p>
    <w:p>
      <w:pPr>
        <w:spacing w:after="0" w:line="144" w:lineRule="exact"/>
        <w:rPr>
          <w:sz w:val="20"/>
          <w:szCs w:val="20"/>
          <w:color w:val="auto"/>
        </w:rPr>
      </w:pPr>
    </w:p>
    <w:p>
      <w:pPr>
        <w:jc w:val="both"/>
        <w:ind w:left="2060" w:right="839"/>
        <w:spacing w:after="0" w:line="241" w:lineRule="auto"/>
        <w:rPr>
          <w:sz w:val="20"/>
          <w:szCs w:val="20"/>
          <w:color w:val="auto"/>
        </w:rPr>
      </w:pPr>
      <w:r>
        <w:rPr>
          <w:rFonts w:ascii="Arial" w:cs="Arial" w:eastAsia="Arial" w:hAnsi="Arial"/>
          <w:sz w:val="11"/>
          <w:szCs w:val="11"/>
          <w:color w:val="050505"/>
        </w:rPr>
        <w:t>Our restated certificate of incorporation and our restated bylaws that will become effective in connection with the completion of this offering require us to indemnify our directors and officers to the maximum extent not prohibited by the DGCL and allow us to indemnify other employees and agents as set forth in the DGCL. Subject to certain limitations, our restated bylaws also require us to advance expenses incurred by our directors and officers for the defense of any action for which indemnification is required or permitted.</w:t>
      </w:r>
    </w:p>
    <w:p>
      <w:pPr>
        <w:spacing w:after="0" w:line="140" w:lineRule="exact"/>
        <w:rPr>
          <w:sz w:val="20"/>
          <w:szCs w:val="20"/>
          <w:color w:val="auto"/>
        </w:rPr>
      </w:pPr>
    </w:p>
    <w:p>
      <w:pPr>
        <w:jc w:val="both"/>
        <w:ind w:left="2060" w:right="839"/>
        <w:spacing w:after="0"/>
        <w:rPr>
          <w:sz w:val="20"/>
          <w:szCs w:val="20"/>
          <w:color w:val="auto"/>
        </w:rPr>
      </w:pPr>
      <w:r>
        <w:rPr>
          <w:rFonts w:ascii="Arial" w:cs="Arial" w:eastAsia="Arial" w:hAnsi="Arial"/>
          <w:sz w:val="11"/>
          <w:szCs w:val="11"/>
          <w:color w:val="050505"/>
        </w:rPr>
        <w:t>We have entered, and intend to continue to enter, into separate indemnification agreements with our directors, officers, and certain of our other employees, in addition to the indemnification provided for in our restated certificate of incorporation and restated bylaws. These agreements, among other things, require us to indemnify our directors, officers, and key employees for certain expenses, including attorneys’ fees, judgments, penalties, fines, and settlement amounts actually incurred by these individuals in any action or proceeding arising out of their service to us or any of our subsidiaries or any other company or enterprise to which these individuals provide services at our request. Subject to certain limitations, our indemnification agreements also require us to advance expenses incurred by our directors, officers, and key employees for the defense of any action for which indemnification is required or permitted.</w:t>
      </w:r>
    </w:p>
    <w:p>
      <w:pPr>
        <w:spacing w:after="0" w:line="141" w:lineRule="exact"/>
        <w:rPr>
          <w:sz w:val="20"/>
          <w:szCs w:val="20"/>
          <w:color w:val="auto"/>
        </w:rPr>
      </w:pPr>
    </w:p>
    <w:p>
      <w:pPr>
        <w:jc w:val="both"/>
        <w:ind w:left="2060" w:right="839"/>
        <w:spacing w:after="0" w:line="245" w:lineRule="auto"/>
        <w:rPr>
          <w:sz w:val="20"/>
          <w:szCs w:val="20"/>
          <w:color w:val="auto"/>
        </w:rPr>
      </w:pPr>
      <w:r>
        <w:rPr>
          <w:rFonts w:ascii="Arial" w:cs="Arial" w:eastAsia="Arial" w:hAnsi="Arial"/>
          <w:sz w:val="11"/>
          <w:szCs w:val="11"/>
          <w:color w:val="050505"/>
        </w:rPr>
        <w:t>We believe that provisions of our restated certificate of incorporation, restated bylaws, and indemnification agreements are necessary to attract and retain qualified directors, officers, and key employees. We also maintain directors’ and officers’ liability insurance.</w:t>
      </w:r>
    </w:p>
    <w:p>
      <w:pPr>
        <w:spacing w:after="0" w:line="138" w:lineRule="exact"/>
        <w:rPr>
          <w:sz w:val="20"/>
          <w:szCs w:val="20"/>
          <w:color w:val="auto"/>
        </w:rPr>
      </w:pPr>
    </w:p>
    <w:p>
      <w:pPr>
        <w:jc w:val="both"/>
        <w:ind w:left="2060" w:right="839"/>
        <w:spacing w:after="0"/>
        <w:rPr>
          <w:sz w:val="20"/>
          <w:szCs w:val="20"/>
          <w:color w:val="auto"/>
        </w:rPr>
      </w:pPr>
      <w:r>
        <w:rPr>
          <w:rFonts w:ascii="Arial" w:cs="Arial" w:eastAsia="Arial" w:hAnsi="Arial"/>
          <w:sz w:val="11"/>
          <w:szCs w:val="11"/>
          <w:color w:val="050505"/>
        </w:rPr>
        <w:t>The limitation of liability and indemnification provisions in our restated certificate of incorporation and restated bylaws may discourage stockholders from bringing a lawsuit against our directors and officers for breach of their fiduciary duty. They may also reduce the likelihood of derivative litigation against our directors and officers, even though an action, if successful, might benefit us and other stockholders. Further, a stockholder’s investment may be adversely affected to the extent that we pay the costs of settlement and damage awards against directors and officers as required by these indemnification provisions. At present, there is no pending litigation or proceeding involving any of our directors or executive officers as to which indemnification is required or permitted, and we are not aware of any threatened litigation or proceeding that may result in a claim for indemnification.</w:t>
      </w:r>
    </w:p>
    <w:p>
      <w:pPr>
        <w:spacing w:after="0" w:line="142" w:lineRule="exact"/>
        <w:rPr>
          <w:sz w:val="20"/>
          <w:szCs w:val="20"/>
          <w:color w:val="auto"/>
        </w:rPr>
      </w:pPr>
    </w:p>
    <w:p>
      <w:pPr>
        <w:jc w:val="both"/>
        <w:ind w:left="2060" w:right="839"/>
        <w:spacing w:after="0" w:line="242" w:lineRule="auto"/>
        <w:rPr>
          <w:sz w:val="20"/>
          <w:szCs w:val="20"/>
          <w:color w:val="auto"/>
        </w:rPr>
      </w:pPr>
      <w:r>
        <w:rPr>
          <w:rFonts w:ascii="Arial" w:cs="Arial" w:eastAsia="Arial" w:hAnsi="Arial"/>
          <w:sz w:val="11"/>
          <w:szCs w:val="11"/>
          <w:color w:val="050505"/>
        </w:rPr>
        <w:t>Insofar as indemnification for liabilities arising under the Securities Act may be permitted to directors, executive officers, or persons controlling us, we have been informed that, in the opinion of the SEC, such indemnification is against public policy as expressed in the Securities Act and is therefore unenforceable.</w:t>
      </w:r>
    </w:p>
    <w:p>
      <w:pPr>
        <w:spacing w:after="0" w:line="95" w:lineRule="exact"/>
        <w:rPr>
          <w:sz w:val="20"/>
          <w:szCs w:val="20"/>
          <w:color w:val="auto"/>
        </w:rPr>
      </w:pPr>
    </w:p>
    <w:p>
      <w:pPr>
        <w:ind w:left="5640"/>
        <w:spacing w:after="0"/>
        <w:rPr>
          <w:sz w:val="20"/>
          <w:szCs w:val="20"/>
          <w:color w:val="auto"/>
        </w:rPr>
      </w:pPr>
      <w:r>
        <w:rPr>
          <w:rFonts w:ascii="Arial" w:cs="Arial" w:eastAsia="Arial" w:hAnsi="Arial"/>
          <w:sz w:val="11"/>
          <w:szCs w:val="11"/>
          <w:color w:val="050505"/>
        </w:rPr>
        <w:t>128</w:t>
      </w:r>
    </w:p>
    <w:p>
      <w:pPr>
        <w:sectPr>
          <w:pgSz w:w="11900" w:h="16838" w:orient="portrait"/>
          <w:cols w:equalWidth="0" w:num="1">
            <w:col w:w="10239"/>
          </w:cols>
          <w:pgMar w:left="220" w:top="354" w:right="1440" w:bottom="1440" w:gutter="0" w:footer="0" w:header="0"/>
        </w:sectPr>
      </w:pPr>
    </w:p>
    <w:bookmarkStart w:id="138" w:name="page139"/>
    <w:bookmarkEnd w:id="138"/>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hyperlink w:anchor="page5">
        <w:r>
          <w:rPr>
            <w:rFonts w:ascii="Arial" w:cs="Arial" w:eastAsia="Arial" w:hAnsi="Arial"/>
            <w:sz w:val="12"/>
            <w:szCs w:val="12"/>
            <w:b w:val="1"/>
            <w:bCs w:val="1"/>
            <w:u w:val="single" w:color="auto"/>
            <w:color w:val="0000EE"/>
          </w:rPr>
          <w:t>Table of Contents</w:t>
        </w:r>
      </w:hyperlink>
    </w:p>
    <w:p>
      <w:pPr>
        <w:spacing w:after="0" w:line="200" w:lineRule="exact"/>
        <w:rPr>
          <w:sz w:val="20"/>
          <w:szCs w:val="20"/>
          <w:color w:val="auto"/>
        </w:rPr>
      </w:pPr>
    </w:p>
    <w:p>
      <w:pPr>
        <w:jc w:val="center"/>
        <w:ind w:right="-1220"/>
        <w:spacing w:after="0"/>
        <w:rPr>
          <w:sz w:val="20"/>
          <w:szCs w:val="20"/>
          <w:color w:val="auto"/>
        </w:rPr>
      </w:pPr>
      <w:r>
        <w:rPr>
          <w:rFonts w:ascii="Arial" w:cs="Arial" w:eastAsia="Arial" w:hAnsi="Arial"/>
          <w:sz w:val="12"/>
          <w:szCs w:val="12"/>
          <w:b w:val="1"/>
          <w:bCs w:val="1"/>
          <w:color w:val="auto"/>
        </w:rPr>
        <w:t>CERTAIN RELATIONSHIPS AND RELATED PARTY TRANSACTIONS</w:t>
      </w:r>
    </w:p>
    <w:p>
      <w:pPr>
        <w:spacing w:after="0" w:line="157" w:lineRule="exact"/>
        <w:rPr>
          <w:sz w:val="20"/>
          <w:szCs w:val="20"/>
          <w:color w:val="auto"/>
        </w:rPr>
      </w:pPr>
    </w:p>
    <w:p>
      <w:pPr>
        <w:ind w:left="2060" w:right="839"/>
        <w:spacing w:after="0" w:line="245" w:lineRule="auto"/>
        <w:rPr>
          <w:sz w:val="20"/>
          <w:szCs w:val="20"/>
          <w:color w:val="auto"/>
        </w:rPr>
      </w:pPr>
      <w:r>
        <w:rPr>
          <w:rFonts w:ascii="Arial" w:cs="Arial" w:eastAsia="Arial" w:hAnsi="Arial"/>
          <w:sz w:val="11"/>
          <w:szCs w:val="11"/>
          <w:color w:val="050505"/>
        </w:rPr>
        <w:t>In addition to the compensation arrangements discussed in the sections titled “Management” and “Executive Compensation,” the following is a description of each transaction since July 1, 2016 and each currently proposed transaction in which:</w:t>
      </w:r>
    </w:p>
    <w:p>
      <w:pPr>
        <w:spacing w:after="0" w:line="156" w:lineRule="exact"/>
        <w:rPr>
          <w:sz w:val="20"/>
          <w:szCs w:val="20"/>
          <w:color w:val="auto"/>
        </w:rPr>
      </w:pPr>
    </w:p>
    <w:p>
      <w:pPr>
        <w:ind w:left="2420" w:hanging="217"/>
        <w:spacing w:after="0"/>
        <w:tabs>
          <w:tab w:leader="none" w:pos="2420" w:val="left"/>
        </w:tabs>
        <w:numPr>
          <w:ilvl w:val="0"/>
          <w:numId w:val="87"/>
        </w:numPr>
        <w:rPr>
          <w:rFonts w:ascii="Arial" w:cs="Arial" w:eastAsia="Arial" w:hAnsi="Arial"/>
          <w:sz w:val="11"/>
          <w:szCs w:val="11"/>
          <w:color w:val="F7323F"/>
        </w:rPr>
      </w:pPr>
      <w:r>
        <w:rPr>
          <w:rFonts w:ascii="Arial" w:cs="Arial" w:eastAsia="Arial" w:hAnsi="Arial"/>
          <w:sz w:val="11"/>
          <w:szCs w:val="11"/>
          <w:color w:val="050505"/>
        </w:rPr>
        <w:t>we have been or are to be a participant;</w:t>
      </w:r>
    </w:p>
    <w:p>
      <w:pPr>
        <w:spacing w:after="0" w:line="44" w:lineRule="exact"/>
        <w:rPr>
          <w:rFonts w:ascii="Arial" w:cs="Arial" w:eastAsia="Arial" w:hAnsi="Arial"/>
          <w:sz w:val="11"/>
          <w:szCs w:val="11"/>
          <w:color w:val="F7323F"/>
        </w:rPr>
      </w:pPr>
    </w:p>
    <w:p>
      <w:pPr>
        <w:ind w:left="2420" w:hanging="217"/>
        <w:spacing w:after="0"/>
        <w:tabs>
          <w:tab w:leader="none" w:pos="2420" w:val="left"/>
        </w:tabs>
        <w:numPr>
          <w:ilvl w:val="0"/>
          <w:numId w:val="87"/>
        </w:numPr>
        <w:rPr>
          <w:rFonts w:ascii="Arial" w:cs="Arial" w:eastAsia="Arial" w:hAnsi="Arial"/>
          <w:sz w:val="11"/>
          <w:szCs w:val="11"/>
          <w:color w:val="F7323F"/>
        </w:rPr>
      </w:pPr>
      <w:r>
        <w:rPr>
          <w:rFonts w:ascii="Arial" w:cs="Arial" w:eastAsia="Arial" w:hAnsi="Arial"/>
          <w:sz w:val="11"/>
          <w:szCs w:val="11"/>
          <w:color w:val="050505"/>
        </w:rPr>
        <w:t>the amount involved exceeds or will exceed $120,000; and</w:t>
      </w:r>
    </w:p>
    <w:p>
      <w:pPr>
        <w:spacing w:after="0" w:line="44" w:lineRule="exact"/>
        <w:rPr>
          <w:rFonts w:ascii="Arial" w:cs="Arial" w:eastAsia="Arial" w:hAnsi="Arial"/>
          <w:sz w:val="11"/>
          <w:szCs w:val="11"/>
          <w:color w:val="F7323F"/>
        </w:rPr>
      </w:pPr>
    </w:p>
    <w:p>
      <w:pPr>
        <w:ind w:left="2420" w:right="839" w:hanging="217"/>
        <w:spacing w:after="0" w:line="245" w:lineRule="auto"/>
        <w:tabs>
          <w:tab w:leader="none" w:pos="2420" w:val="left"/>
        </w:tabs>
        <w:numPr>
          <w:ilvl w:val="0"/>
          <w:numId w:val="87"/>
        </w:numPr>
        <w:rPr>
          <w:rFonts w:ascii="Arial" w:cs="Arial" w:eastAsia="Arial" w:hAnsi="Arial"/>
          <w:sz w:val="11"/>
          <w:szCs w:val="11"/>
          <w:color w:val="F7323F"/>
        </w:rPr>
      </w:pPr>
      <w:r>
        <w:rPr>
          <w:rFonts w:ascii="Arial" w:cs="Arial" w:eastAsia="Arial" w:hAnsi="Arial"/>
          <w:sz w:val="11"/>
          <w:szCs w:val="11"/>
          <w:color w:val="050505"/>
        </w:rPr>
        <w:t>any of our directors, executive officers, or holders of more than 5% of our capital stock, or any immediate family member of, or person sharing the household with, any of these individuals, had or will have a direct or indirect material interest.</w:t>
      </w:r>
    </w:p>
    <w:p>
      <w:pPr>
        <w:spacing w:after="0" w:line="126" w:lineRule="exact"/>
        <w:rPr>
          <w:sz w:val="20"/>
          <w:szCs w:val="20"/>
          <w:color w:val="auto"/>
        </w:rPr>
      </w:pPr>
    </w:p>
    <w:p>
      <w:pPr>
        <w:ind w:left="2060"/>
        <w:spacing w:after="0"/>
        <w:rPr>
          <w:sz w:val="20"/>
          <w:szCs w:val="20"/>
          <w:color w:val="auto"/>
        </w:rPr>
      </w:pPr>
      <w:r>
        <w:rPr>
          <w:rFonts w:ascii="Arial" w:cs="Arial" w:eastAsia="Arial" w:hAnsi="Arial"/>
          <w:sz w:val="11"/>
          <w:szCs w:val="11"/>
          <w:b w:val="1"/>
          <w:bCs w:val="1"/>
          <w:u w:val="single" w:color="auto"/>
          <w:color w:val="auto"/>
        </w:rPr>
        <w:t>Private Placement</w:t>
      </w:r>
    </w:p>
    <w:p>
      <w:pPr>
        <w:spacing w:after="0" w:line="12" w:lineRule="exact"/>
        <w:rPr>
          <w:sz w:val="20"/>
          <w:szCs w:val="20"/>
          <w:color w:val="auto"/>
        </w:rPr>
      </w:pPr>
    </w:p>
    <w:p>
      <w:pPr>
        <w:jc w:val="both"/>
        <w:ind w:left="2060" w:right="839"/>
        <w:spacing w:after="0"/>
        <w:rPr>
          <w:sz w:val="20"/>
          <w:szCs w:val="20"/>
          <w:color w:val="auto"/>
        </w:rPr>
      </w:pPr>
      <w:r>
        <w:rPr>
          <w:rFonts w:ascii="Arial" w:cs="Arial" w:eastAsia="Arial" w:hAnsi="Arial"/>
          <w:sz w:val="11"/>
          <w:szCs w:val="11"/>
          <w:color w:val="050505"/>
        </w:rPr>
        <w:t>Entities affiliated with TCV, a beneficial owner of more than 5% of a class of our voting securities and an affiliate of Jay C. Hoag, a non-employee director, will purchase from us in a private placement a number of shares of our Class A common stock with an aggregate purchase price of approximately $100.0 million at a price per share equal to the initial public offering price. Based upon the initial public offering price of $29.00 per share this will be 3,448,275 shares of Class A common stock. Sales of these shares to entities affiliated with TCV will not be registered in this offering. In addition, TCV has agreed to a 180-day lock-up agreement pursuant to which the Class A common stock purchased in the private placement will be locked up for a period of 180 days, subject to early termination as described in the section titled “Underwriting”. We refer to the private placement of these shares of Class A common stock as the private placement.</w:t>
      </w:r>
    </w:p>
    <w:p>
      <w:pPr>
        <w:spacing w:after="0" w:line="201" w:lineRule="exact"/>
        <w:rPr>
          <w:sz w:val="20"/>
          <w:szCs w:val="20"/>
          <w:color w:val="auto"/>
        </w:rPr>
      </w:pPr>
    </w:p>
    <w:p>
      <w:pPr>
        <w:ind w:left="2060"/>
        <w:spacing w:after="0"/>
        <w:rPr>
          <w:sz w:val="20"/>
          <w:szCs w:val="20"/>
          <w:color w:val="auto"/>
        </w:rPr>
      </w:pPr>
      <w:r>
        <w:rPr>
          <w:rFonts w:ascii="Arial" w:cs="Arial" w:eastAsia="Arial" w:hAnsi="Arial"/>
          <w:sz w:val="11"/>
          <w:szCs w:val="11"/>
          <w:b w:val="1"/>
          <w:bCs w:val="1"/>
          <w:u w:val="single" w:color="auto"/>
          <w:color w:val="auto"/>
        </w:rPr>
        <w:t>Participation in this Offering</w:t>
      </w:r>
    </w:p>
    <w:p>
      <w:pPr>
        <w:spacing w:after="0" w:line="12" w:lineRule="exact"/>
        <w:rPr>
          <w:sz w:val="20"/>
          <w:szCs w:val="20"/>
          <w:color w:val="auto"/>
        </w:rPr>
      </w:pPr>
    </w:p>
    <w:p>
      <w:pPr>
        <w:jc w:val="both"/>
        <w:ind w:left="2060" w:right="839"/>
        <w:spacing w:after="0" w:line="241" w:lineRule="auto"/>
        <w:rPr>
          <w:sz w:val="20"/>
          <w:szCs w:val="20"/>
          <w:color w:val="auto"/>
        </w:rPr>
      </w:pPr>
      <w:r>
        <w:rPr>
          <w:rFonts w:ascii="Arial" w:cs="Arial" w:eastAsia="Arial" w:hAnsi="Arial"/>
          <w:sz w:val="11"/>
          <w:szCs w:val="11"/>
          <w:color w:val="050505"/>
        </w:rPr>
        <w:t>Karen Boone and Howard Draft, two of our directors, have expressed an interest in purchasing $500,000 and $2.0 million in shares of our Class A common stock, respectively, in this offering (equal to 17,241 and 68,965 shares, respectively, based upon the initial public offering price of $29.00 per share). At our request, the underwriters have reserved such shares for sale to Ms. Boone and Mr. Draft. All such shares will be purchased at the initial public offering price and on the same terms as the other purchasers in this offering.</w:t>
      </w:r>
    </w:p>
    <w:p>
      <w:pPr>
        <w:spacing w:after="0" w:line="201" w:lineRule="exact"/>
        <w:rPr>
          <w:sz w:val="20"/>
          <w:szCs w:val="20"/>
          <w:color w:val="auto"/>
        </w:rPr>
      </w:pPr>
    </w:p>
    <w:p>
      <w:pPr>
        <w:ind w:left="2060"/>
        <w:spacing w:after="0"/>
        <w:rPr>
          <w:sz w:val="20"/>
          <w:szCs w:val="20"/>
          <w:color w:val="auto"/>
        </w:rPr>
      </w:pPr>
      <w:r>
        <w:rPr>
          <w:rFonts w:ascii="Arial" w:cs="Arial" w:eastAsia="Arial" w:hAnsi="Arial"/>
          <w:sz w:val="11"/>
          <w:szCs w:val="11"/>
          <w:b w:val="1"/>
          <w:bCs w:val="1"/>
          <w:u w:val="single" w:color="auto"/>
          <w:color w:val="auto"/>
        </w:rPr>
        <w:t>Stock Repurchase Agreement</w:t>
      </w:r>
    </w:p>
    <w:p>
      <w:pPr>
        <w:spacing w:after="0" w:line="12" w:lineRule="exact"/>
        <w:rPr>
          <w:sz w:val="20"/>
          <w:szCs w:val="20"/>
          <w:color w:val="auto"/>
        </w:rPr>
      </w:pPr>
    </w:p>
    <w:p>
      <w:pPr>
        <w:jc w:val="both"/>
        <w:ind w:left="2060" w:right="839"/>
        <w:spacing w:after="0"/>
        <w:rPr>
          <w:sz w:val="20"/>
          <w:szCs w:val="20"/>
          <w:color w:val="auto"/>
        </w:rPr>
      </w:pPr>
      <w:r>
        <w:rPr>
          <w:rFonts w:ascii="Arial" w:cs="Arial" w:eastAsia="Arial" w:hAnsi="Arial"/>
          <w:sz w:val="11"/>
          <w:szCs w:val="11"/>
          <w:color w:val="050505"/>
        </w:rPr>
        <w:t>In March 2017, we entered into a Stock Repurchase Agreement with Tiger Global Private Investment Partners VII, L.P., or Tiger, CP Interactive Fitness LP, or Catterton, and an affiliate of Tiger. Pursuant to this agreement, we repurchased (1) 9,086,392 shares of our capital stock from Tiger for an aggregate total repurchase price of approximately $49.2 million, and (2) 13,420,940 shares of our capital stock from Catterton for an aggregate total repurchase price of approximately $72.7 million. Lee Fixel, our former director, has an indirect ownership interest in Tiger and Tiger Global PIP VII Holdings, L.P.</w:t>
      </w:r>
    </w:p>
    <w:p>
      <w:pPr>
        <w:spacing w:after="0" w:line="202" w:lineRule="exact"/>
        <w:rPr>
          <w:sz w:val="20"/>
          <w:szCs w:val="20"/>
          <w:color w:val="auto"/>
        </w:rPr>
      </w:pPr>
    </w:p>
    <w:p>
      <w:pPr>
        <w:ind w:left="2060"/>
        <w:spacing w:after="0"/>
        <w:rPr>
          <w:sz w:val="20"/>
          <w:szCs w:val="20"/>
          <w:color w:val="auto"/>
        </w:rPr>
      </w:pPr>
      <w:r>
        <w:rPr>
          <w:rFonts w:ascii="Arial" w:cs="Arial" w:eastAsia="Arial" w:hAnsi="Arial"/>
          <w:sz w:val="11"/>
          <w:szCs w:val="11"/>
          <w:b w:val="1"/>
          <w:bCs w:val="1"/>
          <w:u w:val="single" w:color="auto"/>
          <w:color w:val="auto"/>
        </w:rPr>
        <w:t>2017 Tender Offer</w:t>
      </w:r>
    </w:p>
    <w:p>
      <w:pPr>
        <w:spacing w:after="0" w:line="12" w:lineRule="exact"/>
        <w:rPr>
          <w:sz w:val="20"/>
          <w:szCs w:val="20"/>
          <w:color w:val="auto"/>
        </w:rPr>
      </w:pPr>
    </w:p>
    <w:p>
      <w:pPr>
        <w:jc w:val="both"/>
        <w:ind w:left="2060" w:right="839"/>
        <w:spacing w:after="0" w:line="241" w:lineRule="auto"/>
        <w:rPr>
          <w:sz w:val="20"/>
          <w:szCs w:val="20"/>
          <w:color w:val="auto"/>
        </w:rPr>
      </w:pPr>
      <w:r>
        <w:rPr>
          <w:rFonts w:ascii="Arial" w:cs="Arial" w:eastAsia="Arial" w:hAnsi="Arial"/>
          <w:sz w:val="11"/>
          <w:szCs w:val="11"/>
          <w:color w:val="050505"/>
        </w:rPr>
        <w:t>In April 2017, we commenced a tender offer to purchase up to 9,661,156 shares of outstanding common stock, options to purchase common stock, and redeemable convertible preferred stock at a purchase price of $5.42 per share, pursuant to an Offer to Purchase. In June 2017, upon the closing of the tender offer, we repurchased an aggregate of 9,661,156 shares of our capital stock, for an aggregate repurchase price of approximately $52.3 million. Among other sellers, the following directors and executive officers participated in the tender offer:</w:t>
      </w:r>
    </w:p>
    <w:p>
      <w:pPr>
        <w:spacing w:after="0" w:line="158" w:lineRule="exact"/>
        <w:rPr>
          <w:sz w:val="20"/>
          <w:szCs w:val="20"/>
          <w:color w:val="auto"/>
        </w:rPr>
      </w:pPr>
    </w:p>
    <w:p>
      <w:pPr>
        <w:ind w:left="2420" w:right="839" w:hanging="217"/>
        <w:spacing w:after="0" w:line="245" w:lineRule="auto"/>
        <w:tabs>
          <w:tab w:leader="none" w:pos="2420" w:val="left"/>
        </w:tabs>
        <w:numPr>
          <w:ilvl w:val="0"/>
          <w:numId w:val="88"/>
        </w:numPr>
        <w:rPr>
          <w:rFonts w:ascii="Arial" w:cs="Arial" w:eastAsia="Arial" w:hAnsi="Arial"/>
          <w:sz w:val="11"/>
          <w:szCs w:val="11"/>
          <w:color w:val="F7323F"/>
        </w:rPr>
      </w:pPr>
      <w:r>
        <w:rPr>
          <w:rFonts w:ascii="Arial" w:cs="Arial" w:eastAsia="Arial" w:hAnsi="Arial"/>
          <w:sz w:val="11"/>
          <w:szCs w:val="11"/>
          <w:color w:val="050505"/>
        </w:rPr>
        <w:t>John Foley, Chairman of our board of directors and Chief Executive Officer, sold 1,340,000 shares of common stock, including shares issued upon exercise of vested stock options, for an aggregate price of approximately $7.3 million;</w:t>
      </w:r>
    </w:p>
    <w:p>
      <w:pPr>
        <w:spacing w:after="0" w:line="38" w:lineRule="exact"/>
        <w:rPr>
          <w:rFonts w:ascii="Arial" w:cs="Arial" w:eastAsia="Arial" w:hAnsi="Arial"/>
          <w:sz w:val="11"/>
          <w:szCs w:val="11"/>
          <w:color w:val="F7323F"/>
        </w:rPr>
      </w:pPr>
    </w:p>
    <w:p>
      <w:pPr>
        <w:ind w:left="2420" w:right="839" w:hanging="217"/>
        <w:spacing w:after="0" w:line="245" w:lineRule="auto"/>
        <w:tabs>
          <w:tab w:leader="none" w:pos="2420" w:val="left"/>
        </w:tabs>
        <w:numPr>
          <w:ilvl w:val="0"/>
          <w:numId w:val="88"/>
        </w:numPr>
        <w:rPr>
          <w:rFonts w:ascii="Arial" w:cs="Arial" w:eastAsia="Arial" w:hAnsi="Arial"/>
          <w:sz w:val="11"/>
          <w:szCs w:val="11"/>
          <w:color w:val="F7323F"/>
        </w:rPr>
      </w:pPr>
      <w:r>
        <w:rPr>
          <w:rFonts w:ascii="Arial" w:cs="Arial" w:eastAsia="Arial" w:hAnsi="Arial"/>
          <w:sz w:val="11"/>
          <w:szCs w:val="11"/>
          <w:color w:val="050505"/>
        </w:rPr>
        <w:t>Thomas Cortese, Chief Operating Officer and Head of Product Development, sold 460,000 shares of common stock for an aggregate price of approximately $2.5 million; and</w:t>
      </w:r>
    </w:p>
    <w:p>
      <w:pPr>
        <w:spacing w:after="0" w:line="38" w:lineRule="exact"/>
        <w:rPr>
          <w:rFonts w:ascii="Arial" w:cs="Arial" w:eastAsia="Arial" w:hAnsi="Arial"/>
          <w:sz w:val="11"/>
          <w:szCs w:val="11"/>
          <w:color w:val="F7323F"/>
        </w:rPr>
      </w:pPr>
    </w:p>
    <w:p>
      <w:pPr>
        <w:ind w:left="2420" w:hanging="217"/>
        <w:spacing w:after="0"/>
        <w:tabs>
          <w:tab w:leader="none" w:pos="2420" w:val="left"/>
        </w:tabs>
        <w:numPr>
          <w:ilvl w:val="0"/>
          <w:numId w:val="88"/>
        </w:numPr>
        <w:rPr>
          <w:rFonts w:ascii="Arial" w:cs="Arial" w:eastAsia="Arial" w:hAnsi="Arial"/>
          <w:sz w:val="11"/>
          <w:szCs w:val="11"/>
          <w:color w:val="F7323F"/>
        </w:rPr>
      </w:pPr>
      <w:r>
        <w:rPr>
          <w:rFonts w:ascii="Arial" w:cs="Arial" w:eastAsia="Arial" w:hAnsi="Arial"/>
          <w:sz w:val="11"/>
          <w:szCs w:val="11"/>
          <w:color w:val="050505"/>
        </w:rPr>
        <w:t>Hisao Kushi, Chief Legal Officer and Secretary, sold 300,000 shares of common stock for an aggregate price of approximately $1.6 million.</w:t>
      </w:r>
    </w:p>
    <w:p>
      <w:pPr>
        <w:spacing w:after="0" w:line="99" w:lineRule="exact"/>
        <w:rPr>
          <w:sz w:val="20"/>
          <w:szCs w:val="20"/>
          <w:color w:val="auto"/>
        </w:rPr>
      </w:pPr>
    </w:p>
    <w:p>
      <w:pPr>
        <w:ind w:left="5640"/>
        <w:spacing w:after="0"/>
        <w:rPr>
          <w:sz w:val="20"/>
          <w:szCs w:val="20"/>
          <w:color w:val="auto"/>
        </w:rPr>
      </w:pPr>
      <w:r>
        <w:rPr>
          <w:rFonts w:ascii="Arial" w:cs="Arial" w:eastAsia="Arial" w:hAnsi="Arial"/>
          <w:sz w:val="11"/>
          <w:szCs w:val="11"/>
          <w:color w:val="050505"/>
        </w:rPr>
        <w:t>129</w:t>
      </w:r>
    </w:p>
    <w:p>
      <w:pPr>
        <w:sectPr>
          <w:pgSz w:w="11900" w:h="16838" w:orient="portrait"/>
          <w:cols w:equalWidth="0" w:num="1">
            <w:col w:w="10239"/>
          </w:cols>
          <w:pgMar w:left="220" w:top="354" w:right="1440" w:bottom="1440" w:gutter="0" w:footer="0" w:header="0"/>
        </w:sectPr>
      </w:pPr>
    </w:p>
    <w:bookmarkStart w:id="139" w:name="page140"/>
    <w:bookmarkEnd w:id="139"/>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hyperlink w:anchor="page5">
        <w:r>
          <w:rPr>
            <w:rFonts w:ascii="Arial" w:cs="Arial" w:eastAsia="Arial" w:hAnsi="Arial"/>
            <w:sz w:val="12"/>
            <w:szCs w:val="12"/>
            <w:b w:val="1"/>
            <w:bCs w:val="1"/>
            <w:u w:val="single" w:color="auto"/>
            <w:color w:val="0000EE"/>
          </w:rPr>
          <w:t>Table of Contents</w:t>
        </w:r>
      </w:hyperlink>
    </w:p>
    <w:p>
      <w:pPr>
        <w:spacing w:after="0" w:line="204" w:lineRule="exact"/>
        <w:rPr>
          <w:sz w:val="20"/>
          <w:szCs w:val="20"/>
          <w:color w:val="auto"/>
        </w:rPr>
      </w:pPr>
    </w:p>
    <w:p>
      <w:pPr>
        <w:ind w:left="2060"/>
        <w:spacing w:after="0"/>
        <w:rPr>
          <w:sz w:val="20"/>
          <w:szCs w:val="20"/>
          <w:color w:val="auto"/>
        </w:rPr>
      </w:pPr>
      <w:r>
        <w:rPr>
          <w:rFonts w:ascii="Arial" w:cs="Arial" w:eastAsia="Arial" w:hAnsi="Arial"/>
          <w:sz w:val="11"/>
          <w:szCs w:val="11"/>
          <w:b w:val="1"/>
          <w:bCs w:val="1"/>
          <w:u w:val="single" w:color="auto"/>
          <w:color w:val="auto"/>
        </w:rPr>
        <w:t>Series E Redeemable Convertible Preferred Stock Financing</w:t>
      </w:r>
    </w:p>
    <w:p>
      <w:pPr>
        <w:spacing w:after="0" w:line="12" w:lineRule="exact"/>
        <w:rPr>
          <w:sz w:val="20"/>
          <w:szCs w:val="20"/>
          <w:color w:val="auto"/>
        </w:rPr>
      </w:pPr>
    </w:p>
    <w:p>
      <w:pPr>
        <w:jc w:val="both"/>
        <w:ind w:left="2060" w:right="839"/>
        <w:spacing w:after="0" w:line="242" w:lineRule="auto"/>
        <w:rPr>
          <w:sz w:val="20"/>
          <w:szCs w:val="20"/>
          <w:color w:val="auto"/>
        </w:rPr>
      </w:pPr>
      <w:r>
        <w:rPr>
          <w:rFonts w:ascii="Arial" w:cs="Arial" w:eastAsia="Arial" w:hAnsi="Arial"/>
          <w:sz w:val="11"/>
          <w:szCs w:val="11"/>
          <w:color w:val="050505"/>
        </w:rPr>
        <w:t>Between March 2017 and May 2017, we sold an aggregate of 60,013,480 shares of our Series E redeemable convertible preferred stock at a purchase price of approximately $5.42 per share for an aggregate purchase price of approximately $325.0 million. Each share of our Series E redeemable convertible preferred stock will convert automatically into one share of our Class B common stock upon the completion of this offering.</w:t>
      </w:r>
    </w:p>
    <w:p>
      <w:pPr>
        <w:spacing w:after="0" w:line="140" w:lineRule="exact"/>
        <w:rPr>
          <w:sz w:val="20"/>
          <w:szCs w:val="20"/>
          <w:color w:val="auto"/>
        </w:rPr>
      </w:pPr>
    </w:p>
    <w:p>
      <w:pPr>
        <w:jc w:val="both"/>
        <w:ind w:left="2060" w:right="839"/>
        <w:spacing w:after="0" w:line="241" w:lineRule="auto"/>
        <w:rPr>
          <w:sz w:val="20"/>
          <w:szCs w:val="20"/>
          <w:color w:val="auto"/>
        </w:rPr>
      </w:pPr>
      <w:r>
        <w:rPr>
          <w:rFonts w:ascii="Arial" w:cs="Arial" w:eastAsia="Arial" w:hAnsi="Arial"/>
          <w:sz w:val="11"/>
          <w:szCs w:val="11"/>
          <w:color w:val="050505"/>
        </w:rPr>
        <w:t>The purchasers of our Series E redeemable convertible preferred stock are entitled to specified registration rights. For additional information, see the section titled “Description of Capital Stock—Registration Rights.” The terms of these purchases were the same for all purchasers of our Series E redeemable convertible preferred stock. See the section titled “Principal Stockholders” for more details regarding the shares held by certain of these entities.</w:t>
      </w:r>
    </w:p>
    <w:p>
      <w:pPr>
        <w:spacing w:after="0" w:line="140" w:lineRule="exact"/>
        <w:rPr>
          <w:sz w:val="20"/>
          <w:szCs w:val="20"/>
          <w:color w:val="auto"/>
        </w:rPr>
      </w:pPr>
    </w:p>
    <w:p>
      <w:pPr>
        <w:jc w:val="both"/>
        <w:ind w:left="2060" w:right="839"/>
        <w:spacing w:after="0" w:line="245" w:lineRule="auto"/>
        <w:rPr>
          <w:sz w:val="20"/>
          <w:szCs w:val="20"/>
          <w:color w:val="auto"/>
        </w:rPr>
      </w:pPr>
      <w:r>
        <w:rPr>
          <w:rFonts w:ascii="Arial" w:cs="Arial" w:eastAsia="Arial" w:hAnsi="Arial"/>
          <w:sz w:val="11"/>
          <w:szCs w:val="11"/>
          <w:color w:val="050505"/>
        </w:rPr>
        <w:t>The following table summarizes the Series E redeemable convertible preferred stock purchased by an affiliate of a member of our board of directors and holder of more than 5% of our outstanding capital stock:</w:t>
      </w:r>
    </w:p>
    <w:p>
      <w:pPr>
        <w:sectPr>
          <w:pgSz w:w="11900" w:h="16838" w:orient="portrait"/>
          <w:cols w:equalWidth="0" w:num="1">
            <w:col w:w="10239"/>
          </w:cols>
          <w:pgMar w:left="220" w:top="354"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2060"/>
        <w:spacing w:after="0"/>
        <w:rPr>
          <w:sz w:val="20"/>
          <w:szCs w:val="20"/>
          <w:color w:val="auto"/>
        </w:rPr>
      </w:pPr>
      <w:r>
        <w:rPr>
          <w:rFonts w:ascii="Arial" w:cs="Arial" w:eastAsia="Arial" w:hAnsi="Arial"/>
          <w:sz w:val="11"/>
          <w:szCs w:val="11"/>
          <w:b w:val="1"/>
          <w:bCs w:val="1"/>
          <w:color w:val="050505"/>
        </w:rPr>
        <w:t>Name of Related Party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1310640</wp:posOffset>
            </wp:positionH>
            <wp:positionV relativeFrom="paragraph">
              <wp:posOffset>6350</wp:posOffset>
            </wp:positionV>
            <wp:extent cx="732155" cy="571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32155" cy="5715"/>
                    </a:xfrm>
                    <a:prstGeom prst="rect">
                      <a:avLst/>
                    </a:prstGeom>
                    <a:noFill/>
                  </pic:spPr>
                </pic:pic>
              </a:graphicData>
            </a:graphic>
          </wp:anchor>
        </w:drawing>
      </w:r>
    </w:p>
    <w:p>
      <w:pPr>
        <w:ind w:left="2100"/>
        <w:spacing w:after="0" w:line="191" w:lineRule="auto"/>
        <w:rPr>
          <w:sz w:val="20"/>
          <w:szCs w:val="20"/>
          <w:color w:val="auto"/>
        </w:rPr>
      </w:pPr>
      <w:r>
        <w:rPr>
          <w:rFonts w:ascii="Arial" w:cs="Arial" w:eastAsia="Arial" w:hAnsi="Arial"/>
          <w:sz w:val="10"/>
          <w:szCs w:val="10"/>
          <w:color w:val="050505"/>
        </w:rPr>
        <w:t>Entities affiliated with True Ventures</w:t>
      </w:r>
      <w:r>
        <w:rPr>
          <w:rFonts w:ascii="Arial" w:cs="Arial" w:eastAsia="Arial" w:hAnsi="Arial"/>
          <w:sz w:val="17"/>
          <w:szCs w:val="17"/>
          <w:color w:val="050505"/>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1310640</wp:posOffset>
            </wp:positionH>
            <wp:positionV relativeFrom="paragraph">
              <wp:posOffset>-85725</wp:posOffset>
            </wp:positionV>
            <wp:extent cx="4667250" cy="8572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4667250" cy="85725"/>
                    </a:xfrm>
                    <a:prstGeom prst="rect">
                      <a:avLst/>
                    </a:prstGeom>
                    <a:noFill/>
                  </pic:spPr>
                </pic:pic>
              </a:graphicData>
            </a:graphic>
          </wp:anchor>
        </w:drawing>
      </w:r>
    </w:p>
    <w:p>
      <w:pPr>
        <w:ind w:left="2100"/>
        <w:spacing w:after="0"/>
        <w:rPr>
          <w:sz w:val="20"/>
          <w:szCs w:val="20"/>
          <w:color w:val="auto"/>
        </w:rPr>
      </w:pPr>
      <w:r>
        <w:rPr>
          <w:rFonts w:ascii="Arial" w:cs="Arial" w:eastAsia="Arial" w:hAnsi="Arial"/>
          <w:sz w:val="11"/>
          <w:szCs w:val="11"/>
          <w:color w:val="050505"/>
        </w:rPr>
        <w:t>Entities affiliated with Fidelity</w:t>
      </w:r>
      <w:r>
        <w:rPr>
          <w:rFonts w:ascii="Arial" w:cs="Arial" w:eastAsia="Arial" w:hAnsi="Arial"/>
          <w:sz w:val="18"/>
          <w:szCs w:val="18"/>
          <w:color w:val="050505"/>
          <w:vertAlign w:val="superscript"/>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1310640</wp:posOffset>
            </wp:positionH>
            <wp:positionV relativeFrom="paragraph">
              <wp:posOffset>5080</wp:posOffset>
            </wp:positionV>
            <wp:extent cx="1212215" cy="571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1212215" cy="571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24" w:lineRule="exact"/>
        <w:rPr>
          <w:sz w:val="20"/>
          <w:szCs w:val="20"/>
          <w:color w:val="auto"/>
        </w:rPr>
      </w:pPr>
    </w:p>
    <w:p>
      <w:pPr>
        <w:jc w:val="center"/>
        <w:ind w:right="1659"/>
        <w:spacing w:after="0"/>
        <w:rPr>
          <w:sz w:val="20"/>
          <w:szCs w:val="20"/>
          <w:color w:val="auto"/>
        </w:rPr>
      </w:pPr>
      <w:r>
        <w:rPr>
          <w:rFonts w:ascii="Arial" w:cs="Arial" w:eastAsia="Arial" w:hAnsi="Arial"/>
          <w:sz w:val="11"/>
          <w:szCs w:val="11"/>
          <w:b w:val="1"/>
          <w:bCs w:val="1"/>
          <w:color w:val="050505"/>
        </w:rPr>
        <w:t>Shares of</w:t>
      </w:r>
    </w:p>
    <w:p>
      <w:pPr>
        <w:spacing w:after="0" w:line="11" w:lineRule="exact"/>
        <w:rPr>
          <w:sz w:val="20"/>
          <w:szCs w:val="20"/>
          <w:color w:val="auto"/>
        </w:rPr>
      </w:pPr>
    </w:p>
    <w:p>
      <w:pPr>
        <w:jc w:val="center"/>
        <w:ind w:right="1659"/>
        <w:spacing w:after="0"/>
        <w:rPr>
          <w:sz w:val="20"/>
          <w:szCs w:val="20"/>
          <w:color w:val="auto"/>
        </w:rPr>
      </w:pPr>
      <w:r>
        <w:rPr>
          <w:rFonts w:ascii="Arial" w:cs="Arial" w:eastAsia="Arial" w:hAnsi="Arial"/>
          <w:sz w:val="11"/>
          <w:szCs w:val="11"/>
          <w:b w:val="1"/>
          <w:bCs w:val="1"/>
          <w:color w:val="050505"/>
        </w:rPr>
        <w:t>Series E</w:t>
      </w:r>
    </w:p>
    <w:p>
      <w:pPr>
        <w:jc w:val="center"/>
        <w:ind w:right="1659"/>
        <w:spacing w:after="0"/>
        <w:rPr>
          <w:sz w:val="20"/>
          <w:szCs w:val="20"/>
          <w:color w:val="auto"/>
        </w:rPr>
      </w:pPr>
      <w:r>
        <w:rPr>
          <w:rFonts w:ascii="Arial" w:cs="Arial" w:eastAsia="Arial" w:hAnsi="Arial"/>
          <w:sz w:val="10"/>
          <w:szCs w:val="10"/>
          <w:b w:val="1"/>
          <w:bCs w:val="1"/>
          <w:color w:val="050505"/>
        </w:rPr>
        <w:t>Redeemable</w:t>
      </w:r>
    </w:p>
    <w:p>
      <w:pPr>
        <w:spacing w:after="0" w:line="11" w:lineRule="exact"/>
        <w:rPr>
          <w:sz w:val="20"/>
          <w:szCs w:val="20"/>
          <w:color w:val="auto"/>
        </w:rPr>
      </w:pPr>
    </w:p>
    <w:p>
      <w:pPr>
        <w:ind w:left="20"/>
        <w:spacing w:after="0"/>
        <w:tabs>
          <w:tab w:leader="none" w:pos="940" w:val="left"/>
        </w:tabs>
        <w:rPr>
          <w:sz w:val="20"/>
          <w:szCs w:val="20"/>
          <w:color w:val="auto"/>
        </w:rPr>
      </w:pPr>
      <w:r>
        <w:rPr>
          <w:rFonts w:ascii="Arial" w:cs="Arial" w:eastAsia="Arial" w:hAnsi="Arial"/>
          <w:sz w:val="11"/>
          <w:szCs w:val="11"/>
          <w:b w:val="1"/>
          <w:bCs w:val="1"/>
          <w:color w:val="050505"/>
        </w:rPr>
        <w:t>Convertible</w:t>
      </w:r>
      <w:r>
        <w:rPr>
          <w:sz w:val="20"/>
          <w:szCs w:val="20"/>
          <w:color w:val="auto"/>
        </w:rPr>
        <w:tab/>
      </w:r>
      <w:r>
        <w:rPr>
          <w:rFonts w:ascii="Arial" w:cs="Arial" w:eastAsia="Arial" w:hAnsi="Arial"/>
          <w:sz w:val="11"/>
          <w:szCs w:val="11"/>
          <w:b w:val="1"/>
          <w:bCs w:val="1"/>
          <w:color w:val="050505"/>
        </w:rPr>
        <w:t>Total</w:t>
      </w:r>
    </w:p>
    <w:p>
      <w:pPr>
        <w:ind w:left="80"/>
        <w:spacing w:after="0"/>
        <w:tabs>
          <w:tab w:leader="none" w:pos="820" w:val="left"/>
        </w:tabs>
        <w:rPr>
          <w:sz w:val="20"/>
          <w:szCs w:val="20"/>
          <w:color w:val="auto"/>
        </w:rPr>
      </w:pPr>
      <w:r>
        <w:rPr>
          <w:rFonts w:ascii="Arial" w:cs="Arial" w:eastAsia="Arial" w:hAnsi="Arial"/>
          <w:sz w:val="11"/>
          <w:szCs w:val="11"/>
          <w:b w:val="1"/>
          <w:bCs w:val="1"/>
          <w:color w:val="050505"/>
        </w:rPr>
        <w:t>Preferred</w:t>
      </w:r>
      <w:r>
        <w:rPr>
          <w:sz w:val="20"/>
          <w:szCs w:val="20"/>
          <w:color w:val="auto"/>
        </w:rPr>
        <w:tab/>
      </w:r>
      <w:r>
        <w:rPr>
          <w:rFonts w:ascii="Arial" w:cs="Arial" w:eastAsia="Arial" w:hAnsi="Arial"/>
          <w:sz w:val="11"/>
          <w:szCs w:val="11"/>
          <w:b w:val="1"/>
          <w:bCs w:val="1"/>
          <w:color w:val="050505"/>
        </w:rPr>
        <w:t>Purchase</w:t>
      </w:r>
    </w:p>
    <w:p>
      <w:pPr>
        <w:ind w:left="180"/>
        <w:spacing w:after="0"/>
        <w:tabs>
          <w:tab w:leader="none" w:pos="840" w:val="left"/>
        </w:tabs>
        <w:rPr>
          <w:sz w:val="20"/>
          <w:szCs w:val="20"/>
          <w:color w:val="auto"/>
        </w:rPr>
      </w:pPr>
      <w:r>
        <w:rPr>
          <w:rFonts w:ascii="Arial" w:cs="Arial" w:eastAsia="Arial" w:hAnsi="Arial"/>
          <w:sz w:val="11"/>
          <w:szCs w:val="11"/>
          <w:b w:val="1"/>
          <w:bCs w:val="1"/>
          <w:color w:val="050505"/>
        </w:rPr>
        <w:t>Stock</w:t>
      </w:r>
      <w:r>
        <w:rPr>
          <w:sz w:val="20"/>
          <w:szCs w:val="20"/>
          <w:color w:val="auto"/>
        </w:rPr>
        <w:tab/>
      </w:r>
      <w:r>
        <w:rPr>
          <w:rFonts w:ascii="Arial" w:cs="Arial" w:eastAsia="Arial" w:hAnsi="Arial"/>
          <w:sz w:val="11"/>
          <w:szCs w:val="11"/>
          <w:b w:val="1"/>
          <w:bCs w:val="1"/>
          <w:color w:val="050505"/>
        </w:rPr>
        <w:t>Price ($)</w:t>
      </w:r>
    </w:p>
    <w:p>
      <w:pPr>
        <w:spacing w:after="0" w:line="8" w:lineRule="exact"/>
        <w:rPr>
          <w:sz w:val="20"/>
          <w:szCs w:val="20"/>
          <w:color w:val="auto"/>
        </w:rPr>
      </w:pPr>
    </w:p>
    <w:p>
      <w:pPr>
        <w:jc w:val="both"/>
        <w:ind w:left="180"/>
        <w:spacing w:after="0"/>
        <w:tabs>
          <w:tab w:leader="none" w:pos="840" w:val="left"/>
        </w:tabs>
        <w:rPr>
          <w:sz w:val="20"/>
          <w:szCs w:val="20"/>
          <w:color w:val="auto"/>
        </w:rPr>
      </w:pPr>
      <w:r>
        <w:rPr>
          <w:rFonts w:ascii="Arial" w:cs="Arial" w:eastAsia="Arial" w:hAnsi="Arial"/>
          <w:sz w:val="11"/>
          <w:szCs w:val="11"/>
          <w:color w:val="050505"/>
        </w:rPr>
        <w:t>3,693,136</w:t>
        <w:tab/>
        <w:t>19,999,993</w:t>
      </w:r>
    </w:p>
    <w:p>
      <w:pPr>
        <w:ind w:left="120"/>
        <w:spacing w:after="0"/>
        <w:tabs>
          <w:tab w:leader="none" w:pos="840" w:val="left"/>
        </w:tabs>
        <w:rPr>
          <w:sz w:val="20"/>
          <w:szCs w:val="20"/>
          <w:color w:val="auto"/>
        </w:rPr>
      </w:pPr>
      <w:r>
        <w:rPr>
          <w:rFonts w:ascii="Arial" w:cs="Arial" w:eastAsia="Arial" w:hAnsi="Arial"/>
          <w:sz w:val="10"/>
          <w:szCs w:val="10"/>
          <w:color w:val="050505"/>
        </w:rPr>
        <w:t>13,849,260</w:t>
      </w:r>
      <w:r>
        <w:rPr>
          <w:sz w:val="20"/>
          <w:szCs w:val="20"/>
          <w:color w:val="auto"/>
        </w:rPr>
        <w:tab/>
      </w:r>
      <w:r>
        <w:rPr>
          <w:rFonts w:ascii="Arial" w:cs="Arial" w:eastAsia="Arial" w:hAnsi="Arial"/>
          <w:sz w:val="10"/>
          <w:szCs w:val="10"/>
          <w:color w:val="050505"/>
        </w:rPr>
        <w:t>74,999,975</w:t>
      </w:r>
    </w:p>
    <w:p>
      <w:pPr>
        <w:spacing w:after="0" w:line="131" w:lineRule="exact"/>
        <w:rPr>
          <w:sz w:val="20"/>
          <w:szCs w:val="20"/>
          <w:color w:val="auto"/>
        </w:rPr>
      </w:pPr>
    </w:p>
    <w:p>
      <w:pPr>
        <w:sectPr>
          <w:pgSz w:w="11900" w:h="16838" w:orient="portrait"/>
          <w:cols w:equalWidth="0" w:num="2">
            <w:col w:w="7220" w:space="720"/>
            <w:col w:w="2299"/>
          </w:cols>
          <w:pgMar w:left="220" w:top="354" w:right="1440" w:bottom="1440" w:gutter="0" w:footer="0" w:header="0"/>
          <w:type w:val="continuous"/>
        </w:sectPr>
      </w:pPr>
    </w:p>
    <w:p>
      <w:pPr>
        <w:jc w:val="both"/>
        <w:ind w:left="2280" w:right="839" w:hanging="221"/>
        <w:spacing w:after="0" w:line="245" w:lineRule="auto"/>
        <w:tabs>
          <w:tab w:leader="none" w:pos="2280" w:val="left"/>
        </w:tabs>
        <w:numPr>
          <w:ilvl w:val="0"/>
          <w:numId w:val="89"/>
        </w:numPr>
        <w:rPr>
          <w:rFonts w:ascii="Arial" w:cs="Arial" w:eastAsia="Arial" w:hAnsi="Arial"/>
          <w:sz w:val="8"/>
          <w:szCs w:val="8"/>
          <w:color w:val="050505"/>
        </w:rPr>
      </w:pPr>
      <w:r>
        <w:rPr>
          <w:rFonts w:ascii="Arial" w:cs="Arial" w:eastAsia="Arial" w:hAnsi="Arial"/>
          <w:sz w:val="8"/>
          <w:szCs w:val="8"/>
          <w:color w:val="050505"/>
        </w:rPr>
        <w:t>Consists of (a) 923,284 shares of our Class B common stock held of record held by True Ventures Select I, L.P. and (b) 2,769,852 shares of our Class B common stock held of record held by True Ventures Select II, L.P. James Stewart is the general partner for True Ventures Select I, L.P. and True Ventures Select II, L.P. True Ventures Select I, L.P. and its affiliate beneficially own more than 5% of our capital stock. Jon Callaghan, a member of our board of directors, is a Managing Member of True Ventures.</w:t>
      </w:r>
    </w:p>
    <w:p>
      <w:pPr>
        <w:spacing w:after="0" w:line="31" w:lineRule="exact"/>
        <w:rPr>
          <w:rFonts w:ascii="Arial" w:cs="Arial" w:eastAsia="Arial" w:hAnsi="Arial"/>
          <w:sz w:val="8"/>
          <w:szCs w:val="8"/>
          <w:color w:val="050505"/>
        </w:rPr>
      </w:pPr>
    </w:p>
    <w:p>
      <w:pPr>
        <w:ind w:left="2280" w:hanging="221"/>
        <w:spacing w:after="0"/>
        <w:tabs>
          <w:tab w:leader="none" w:pos="2280" w:val="left"/>
        </w:tabs>
        <w:numPr>
          <w:ilvl w:val="0"/>
          <w:numId w:val="89"/>
        </w:numPr>
        <w:rPr>
          <w:rFonts w:ascii="Arial" w:cs="Arial" w:eastAsia="Arial" w:hAnsi="Arial"/>
          <w:sz w:val="8"/>
          <w:szCs w:val="8"/>
          <w:color w:val="050505"/>
        </w:rPr>
      </w:pPr>
      <w:r>
        <w:rPr>
          <w:rFonts w:ascii="Arial" w:cs="Arial" w:eastAsia="Arial" w:hAnsi="Arial"/>
          <w:sz w:val="8"/>
          <w:szCs w:val="8"/>
          <w:color w:val="050505"/>
        </w:rPr>
        <w:t>Consists of (a) 1,758,856 shares of our Class B common stock held of record by Fidelity Concord Street Trust: Fidelity Mid-Cap Stock Fund, (b) 101,560 shares of our Class B common stock</w:t>
      </w:r>
    </w:p>
    <w:p>
      <w:pPr>
        <w:ind w:left="2280"/>
        <w:spacing w:after="0" w:line="234" w:lineRule="auto"/>
        <w:rPr>
          <w:rFonts w:ascii="Arial" w:cs="Arial" w:eastAsia="Arial" w:hAnsi="Arial"/>
          <w:sz w:val="8"/>
          <w:szCs w:val="8"/>
          <w:color w:val="050505"/>
        </w:rPr>
      </w:pPr>
      <w:r>
        <w:rPr>
          <w:rFonts w:ascii="Arial" w:cs="Arial" w:eastAsia="Arial" w:hAnsi="Arial"/>
          <w:sz w:val="8"/>
          <w:szCs w:val="8"/>
          <w:color w:val="050505"/>
        </w:rPr>
        <w:t>held of record by FIAM Target Date Blue Chip Growth Commingled Pool, (c) 1,846,568 shares of our Class B common stock held of record by Fidelity Puritan Trust: Fidelity Puritan Fund, (d)</w:t>
      </w:r>
    </w:p>
    <w:p>
      <w:pPr>
        <w:ind w:left="2280"/>
        <w:spacing w:after="0" w:line="234" w:lineRule="auto"/>
        <w:rPr>
          <w:rFonts w:ascii="Arial" w:cs="Arial" w:eastAsia="Arial" w:hAnsi="Arial"/>
          <w:sz w:val="8"/>
          <w:szCs w:val="8"/>
          <w:color w:val="050505"/>
        </w:rPr>
      </w:pPr>
      <w:r>
        <w:rPr>
          <w:rFonts w:ascii="Arial" w:cs="Arial" w:eastAsia="Arial" w:hAnsi="Arial"/>
          <w:sz w:val="8"/>
          <w:szCs w:val="8"/>
          <w:color w:val="050505"/>
        </w:rPr>
        <w:t>923,284 shares of our Class B common stock held of record by Fidelity Mt. Vernon Street Trust: Fidelity New Millennium Fund, (e) 1,341,716 shares of our Class B common stock held of</w:t>
      </w:r>
    </w:p>
    <w:p>
      <w:pPr>
        <w:ind w:left="2280"/>
        <w:spacing w:after="0" w:line="234" w:lineRule="auto"/>
        <w:rPr>
          <w:rFonts w:ascii="Arial" w:cs="Arial" w:eastAsia="Arial" w:hAnsi="Arial"/>
          <w:sz w:val="8"/>
          <w:szCs w:val="8"/>
          <w:color w:val="050505"/>
        </w:rPr>
      </w:pPr>
      <w:r>
        <w:rPr>
          <w:rFonts w:ascii="Arial" w:cs="Arial" w:eastAsia="Arial" w:hAnsi="Arial"/>
          <w:sz w:val="8"/>
          <w:szCs w:val="8"/>
          <w:color w:val="050505"/>
        </w:rPr>
        <w:t>record by Fidelity Securities Fund: Fidelity Blue Chip Growth Fund, (f) 26,036 shares of our Class B common stock held of record by Fidelity Blue Chip Growth Commingled Pool, (g) 2,769,852</w:t>
      </w:r>
    </w:p>
    <w:p>
      <w:pPr>
        <w:jc w:val="both"/>
        <w:ind w:left="2280" w:right="839"/>
        <w:spacing w:after="0" w:line="241" w:lineRule="auto"/>
        <w:rPr>
          <w:rFonts w:ascii="Arial" w:cs="Arial" w:eastAsia="Arial" w:hAnsi="Arial"/>
          <w:sz w:val="8"/>
          <w:szCs w:val="8"/>
          <w:color w:val="050505"/>
        </w:rPr>
      </w:pPr>
      <w:r>
        <w:rPr>
          <w:rFonts w:ascii="Arial" w:cs="Arial" w:eastAsia="Arial" w:hAnsi="Arial"/>
          <w:sz w:val="8"/>
          <w:szCs w:val="8"/>
          <w:color w:val="050505"/>
        </w:rPr>
        <w:t>shares of our Class B common stock held of record by Fidelity Contrafund: Fidelity Advisor New Insights Fund, (h) 1,290,384 shares of our Class B common stock held of record by Fidelity Growth Company Commingled Pool, (i) 87,712 shares of our Class B common stock held of record by Fidelity Mid-Cap Stock Commingled Pool, (j) 2,549,928 shares of our Class B common stock held of record by Fidelity Mt. Vernon Street Trust: Fidelity Growth Company Fund, (k) 377,252 shares of our Class B common stock held of record by Fidelity Securities Fund: Fidelity Series Blue Chip Growth Fund, and (l) 776,112 shares of our Class B common stock held of record by Fidelity Mt. Vernon Street Trust: Fidelity Series Growth Company Fund.</w:t>
      </w:r>
    </w:p>
    <w:p>
      <w:pPr>
        <w:spacing w:after="0" w:line="200" w:lineRule="exact"/>
        <w:rPr>
          <w:sz w:val="20"/>
          <w:szCs w:val="20"/>
          <w:color w:val="auto"/>
        </w:rPr>
      </w:pPr>
    </w:p>
    <w:p>
      <w:pPr>
        <w:ind w:left="2060"/>
        <w:spacing w:after="0"/>
        <w:rPr>
          <w:sz w:val="20"/>
          <w:szCs w:val="20"/>
          <w:color w:val="auto"/>
        </w:rPr>
      </w:pPr>
      <w:r>
        <w:rPr>
          <w:rFonts w:ascii="Arial" w:cs="Arial" w:eastAsia="Arial" w:hAnsi="Arial"/>
          <w:sz w:val="11"/>
          <w:szCs w:val="11"/>
          <w:b w:val="1"/>
          <w:bCs w:val="1"/>
          <w:u w:val="single" w:color="auto"/>
          <w:color w:val="auto"/>
        </w:rPr>
        <w:t>Series F Redeemable Convertible Preferred Stock Financing</w:t>
      </w:r>
    </w:p>
    <w:p>
      <w:pPr>
        <w:spacing w:after="0" w:line="12" w:lineRule="exact"/>
        <w:rPr>
          <w:sz w:val="20"/>
          <w:szCs w:val="20"/>
          <w:color w:val="auto"/>
        </w:rPr>
      </w:pPr>
    </w:p>
    <w:p>
      <w:pPr>
        <w:jc w:val="both"/>
        <w:ind w:left="2060" w:right="839"/>
        <w:spacing w:after="0" w:line="242" w:lineRule="auto"/>
        <w:rPr>
          <w:sz w:val="20"/>
          <w:szCs w:val="20"/>
          <w:color w:val="auto"/>
        </w:rPr>
      </w:pPr>
      <w:r>
        <w:rPr>
          <w:rFonts w:ascii="Arial" w:cs="Arial" w:eastAsia="Arial" w:hAnsi="Arial"/>
          <w:sz w:val="11"/>
          <w:szCs w:val="11"/>
          <w:color w:val="050505"/>
        </w:rPr>
        <w:t>In August 2018, we sold an aggregate of 38,088,200 shares of our Series F redeemable convertible preferred stock at a purchase price of approximately $14.44 per share for an aggregate purchase price of approximately $550.0 million. Each share of our Series F redeemable convertible preferred stock will convert automatically into one share of our Class B common stock upon the completion of this offering.</w:t>
      </w:r>
    </w:p>
    <w:p>
      <w:pPr>
        <w:spacing w:after="0" w:line="140" w:lineRule="exact"/>
        <w:rPr>
          <w:sz w:val="20"/>
          <w:szCs w:val="20"/>
          <w:color w:val="auto"/>
        </w:rPr>
      </w:pPr>
    </w:p>
    <w:p>
      <w:pPr>
        <w:jc w:val="both"/>
        <w:ind w:left="2060" w:right="839"/>
        <w:spacing w:after="0" w:line="241" w:lineRule="auto"/>
        <w:rPr>
          <w:sz w:val="20"/>
          <w:szCs w:val="20"/>
          <w:color w:val="auto"/>
        </w:rPr>
      </w:pPr>
      <w:r>
        <w:rPr>
          <w:rFonts w:ascii="Arial" w:cs="Arial" w:eastAsia="Arial" w:hAnsi="Arial"/>
          <w:sz w:val="11"/>
          <w:szCs w:val="11"/>
          <w:color w:val="050505"/>
        </w:rPr>
        <w:t>The purchasers of our Series F redeemable convertible preferred stock are entitled to specified registration rights. For additional information, see the section titled “Description of Capital Stock—Registration Rights.” The terms of these purchases were the same for all purchasers of our Series F redeemable convertible preferred stock. See the section titled “Principal Stockholders” for more details regarding the shares held by certain of these entities.</w:t>
      </w:r>
    </w:p>
    <w:p>
      <w:pPr>
        <w:spacing w:after="0" w:line="95" w:lineRule="exact"/>
        <w:rPr>
          <w:sz w:val="20"/>
          <w:szCs w:val="20"/>
          <w:color w:val="auto"/>
        </w:rPr>
      </w:pPr>
    </w:p>
    <w:p>
      <w:pPr>
        <w:ind w:left="5640"/>
        <w:spacing w:after="0"/>
        <w:rPr>
          <w:sz w:val="20"/>
          <w:szCs w:val="20"/>
          <w:color w:val="auto"/>
        </w:rPr>
      </w:pPr>
      <w:r>
        <w:rPr>
          <w:rFonts w:ascii="Arial" w:cs="Arial" w:eastAsia="Arial" w:hAnsi="Arial"/>
          <w:sz w:val="11"/>
          <w:szCs w:val="11"/>
          <w:color w:val="050505"/>
        </w:rPr>
        <w:t>130</w:t>
      </w:r>
    </w:p>
    <w:p>
      <w:pPr>
        <w:sectPr>
          <w:pgSz w:w="11900" w:h="16838" w:orient="portrait"/>
          <w:cols w:equalWidth="0" w:num="1">
            <w:col w:w="10239"/>
          </w:cols>
          <w:pgMar w:left="220" w:top="354" w:right="1440" w:bottom="1440" w:gutter="0" w:footer="0" w:header="0"/>
          <w:type w:val="continuous"/>
        </w:sectPr>
      </w:pPr>
    </w:p>
    <w:bookmarkStart w:id="140" w:name="page141"/>
    <w:bookmarkEnd w:id="140"/>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hyperlink w:anchor="page5">
        <w:r>
          <w:rPr>
            <w:rFonts w:ascii="Arial" w:cs="Arial" w:eastAsia="Arial" w:hAnsi="Arial"/>
            <w:sz w:val="12"/>
            <w:szCs w:val="12"/>
            <w:b w:val="1"/>
            <w:bCs w:val="1"/>
            <w:u w:val="single" w:color="auto"/>
            <w:color w:val="0000EE"/>
          </w:rPr>
          <w:t>Table of Contents</w:t>
        </w:r>
      </w:hyperlink>
    </w:p>
    <w:p>
      <w:pPr>
        <w:spacing w:after="0" w:line="216" w:lineRule="exact"/>
        <w:rPr>
          <w:sz w:val="20"/>
          <w:szCs w:val="20"/>
          <w:color w:val="auto"/>
        </w:rPr>
      </w:pPr>
    </w:p>
    <w:p>
      <w:pPr>
        <w:ind w:left="2060" w:right="839"/>
        <w:spacing w:after="0" w:line="245" w:lineRule="auto"/>
        <w:rPr>
          <w:sz w:val="20"/>
          <w:szCs w:val="20"/>
          <w:color w:val="auto"/>
        </w:rPr>
      </w:pPr>
      <w:r>
        <w:rPr>
          <w:rFonts w:ascii="Arial" w:cs="Arial" w:eastAsia="Arial" w:hAnsi="Arial"/>
          <w:sz w:val="11"/>
          <w:szCs w:val="11"/>
          <w:color w:val="050505"/>
        </w:rPr>
        <w:t>The following table summarizes the Series F redeemable convertible preferred stock purchased by us, affiliates of members of our board of directors, and holders of more than 5% of our outstanding capital stock:</w:t>
      </w:r>
    </w:p>
    <w:p>
      <w:pPr>
        <w:spacing w:after="0" w:line="144" w:lineRule="exact"/>
        <w:rPr>
          <w:sz w:val="20"/>
          <w:szCs w:val="20"/>
          <w:color w:val="auto"/>
        </w:rPr>
      </w:pPr>
    </w:p>
    <w:tbl>
      <w:tblPr>
        <w:tblLayout w:type="fixed"/>
        <w:tblInd w:w="2060" w:type="dxa"/>
        <w:tblCellMar>
          <w:top w:w="0" w:type="dxa"/>
          <w:left w:w="0" w:type="dxa"/>
          <w:bottom w:w="0" w:type="dxa"/>
          <w:right w:w="0" w:type="dxa"/>
        </w:tblCellMar>
      </w:tblPr>
      <w:tr>
        <w:trPr>
          <w:trHeight w:val="126"/>
        </w:trPr>
        <w:tc>
          <w:tcPr>
            <w:tcW w:w="1160" w:type="dxa"/>
            <w:vAlign w:val="bottom"/>
          </w:tcPr>
          <w:p>
            <w:pPr>
              <w:spacing w:after="0"/>
              <w:rPr>
                <w:sz w:val="10"/>
                <w:szCs w:val="10"/>
                <w:color w:val="auto"/>
              </w:rPr>
            </w:pPr>
          </w:p>
        </w:tc>
        <w:tc>
          <w:tcPr>
            <w:tcW w:w="4640" w:type="dxa"/>
            <w:vAlign w:val="bottom"/>
          </w:tcPr>
          <w:p>
            <w:pPr>
              <w:spacing w:after="0"/>
              <w:rPr>
                <w:sz w:val="10"/>
                <w:szCs w:val="10"/>
                <w:color w:val="auto"/>
              </w:rPr>
            </w:pPr>
          </w:p>
        </w:tc>
        <w:tc>
          <w:tcPr>
            <w:tcW w:w="78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050505"/>
                <w:w w:val="95"/>
              </w:rPr>
              <w:t>Shares of</w:t>
            </w: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1160" w:type="dxa"/>
            <w:vAlign w:val="bottom"/>
          </w:tcPr>
          <w:p>
            <w:pPr>
              <w:spacing w:after="0"/>
              <w:rPr>
                <w:sz w:val="10"/>
                <w:szCs w:val="10"/>
                <w:color w:val="auto"/>
              </w:rPr>
            </w:pPr>
          </w:p>
        </w:tc>
        <w:tc>
          <w:tcPr>
            <w:tcW w:w="4640" w:type="dxa"/>
            <w:vAlign w:val="bottom"/>
          </w:tcPr>
          <w:p>
            <w:pPr>
              <w:spacing w:after="0"/>
              <w:rPr>
                <w:sz w:val="10"/>
                <w:szCs w:val="10"/>
                <w:color w:val="auto"/>
              </w:rPr>
            </w:pPr>
          </w:p>
        </w:tc>
        <w:tc>
          <w:tcPr>
            <w:tcW w:w="78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050505"/>
                <w:w w:val="98"/>
              </w:rPr>
              <w:t>Series F</w:t>
            </w: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1160" w:type="dxa"/>
            <w:vAlign w:val="bottom"/>
          </w:tcPr>
          <w:p>
            <w:pPr>
              <w:spacing w:after="0"/>
              <w:rPr>
                <w:sz w:val="10"/>
                <w:szCs w:val="10"/>
                <w:color w:val="auto"/>
              </w:rPr>
            </w:pPr>
          </w:p>
        </w:tc>
        <w:tc>
          <w:tcPr>
            <w:tcW w:w="4640" w:type="dxa"/>
            <w:vAlign w:val="bottom"/>
          </w:tcPr>
          <w:p>
            <w:pPr>
              <w:spacing w:after="0"/>
              <w:rPr>
                <w:sz w:val="10"/>
                <w:szCs w:val="10"/>
                <w:color w:val="auto"/>
              </w:rPr>
            </w:pPr>
          </w:p>
        </w:tc>
        <w:tc>
          <w:tcPr>
            <w:tcW w:w="78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050505"/>
                <w:w w:val="98"/>
              </w:rPr>
              <w:t>Redeemable</w:t>
            </w: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1160" w:type="dxa"/>
            <w:vAlign w:val="bottom"/>
          </w:tcPr>
          <w:p>
            <w:pPr>
              <w:spacing w:after="0"/>
              <w:rPr>
                <w:sz w:val="10"/>
                <w:szCs w:val="10"/>
                <w:color w:val="auto"/>
              </w:rPr>
            </w:pPr>
          </w:p>
        </w:tc>
        <w:tc>
          <w:tcPr>
            <w:tcW w:w="4640" w:type="dxa"/>
            <w:vAlign w:val="bottom"/>
          </w:tcPr>
          <w:p>
            <w:pPr>
              <w:spacing w:after="0"/>
              <w:rPr>
                <w:sz w:val="10"/>
                <w:szCs w:val="10"/>
                <w:color w:val="auto"/>
              </w:rPr>
            </w:pPr>
          </w:p>
        </w:tc>
        <w:tc>
          <w:tcPr>
            <w:tcW w:w="78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050505"/>
                <w:w w:val="99"/>
              </w:rPr>
              <w:t>Convertible</w:t>
            </w:r>
          </w:p>
        </w:tc>
        <w:tc>
          <w:tcPr>
            <w:tcW w:w="780" w:type="dxa"/>
            <w:vAlign w:val="bottom"/>
            <w:gridSpan w:val="2"/>
          </w:tcPr>
          <w:p>
            <w:pPr>
              <w:jc w:val="center"/>
              <w:ind w:right="80"/>
              <w:spacing w:after="0"/>
              <w:rPr>
                <w:sz w:val="20"/>
                <w:szCs w:val="20"/>
                <w:color w:val="auto"/>
              </w:rPr>
            </w:pPr>
            <w:r>
              <w:rPr>
                <w:rFonts w:ascii="Arial" w:cs="Arial" w:eastAsia="Arial" w:hAnsi="Arial"/>
                <w:sz w:val="11"/>
                <w:szCs w:val="11"/>
                <w:b w:val="1"/>
                <w:bCs w:val="1"/>
                <w:color w:val="050505"/>
                <w:w w:val="98"/>
              </w:rPr>
              <w:t>Total</w:t>
            </w:r>
          </w:p>
        </w:tc>
        <w:tc>
          <w:tcPr>
            <w:tcW w:w="0" w:type="dxa"/>
            <w:vAlign w:val="bottom"/>
          </w:tcPr>
          <w:p>
            <w:pPr>
              <w:spacing w:after="0"/>
              <w:rPr>
                <w:sz w:val="1"/>
                <w:szCs w:val="1"/>
                <w:color w:val="auto"/>
              </w:rPr>
            </w:pPr>
          </w:p>
        </w:tc>
      </w:tr>
      <w:tr>
        <w:trPr>
          <w:trHeight w:val="126"/>
        </w:trPr>
        <w:tc>
          <w:tcPr>
            <w:tcW w:w="1160" w:type="dxa"/>
            <w:vAlign w:val="bottom"/>
            <w:vMerge w:val="restart"/>
          </w:tcPr>
          <w:p>
            <w:pPr>
              <w:spacing w:after="0"/>
              <w:rPr>
                <w:sz w:val="20"/>
                <w:szCs w:val="20"/>
                <w:color w:val="auto"/>
              </w:rPr>
            </w:pPr>
            <w:r>
              <w:rPr>
                <w:rFonts w:ascii="Arial" w:cs="Arial" w:eastAsia="Arial" w:hAnsi="Arial"/>
                <w:sz w:val="11"/>
                <w:szCs w:val="11"/>
                <w:b w:val="1"/>
                <w:bCs w:val="1"/>
                <w:color w:val="050505"/>
                <w:w w:val="97"/>
              </w:rPr>
              <w:t>Name of Related Party</w:t>
            </w:r>
          </w:p>
        </w:tc>
        <w:tc>
          <w:tcPr>
            <w:tcW w:w="4640" w:type="dxa"/>
            <w:vAlign w:val="bottom"/>
            <w:vMerge w:val="restart"/>
          </w:tcPr>
          <w:p>
            <w:pPr>
              <w:spacing w:after="0"/>
              <w:rPr>
                <w:sz w:val="10"/>
                <w:szCs w:val="10"/>
                <w:color w:val="auto"/>
              </w:rPr>
            </w:pPr>
          </w:p>
        </w:tc>
        <w:tc>
          <w:tcPr>
            <w:tcW w:w="78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050505"/>
                <w:w w:val="98"/>
              </w:rPr>
              <w:t>Preferred</w:t>
            </w:r>
          </w:p>
        </w:tc>
        <w:tc>
          <w:tcPr>
            <w:tcW w:w="780" w:type="dxa"/>
            <w:vAlign w:val="bottom"/>
            <w:gridSpan w:val="2"/>
          </w:tcPr>
          <w:p>
            <w:pPr>
              <w:jc w:val="center"/>
              <w:ind w:right="80"/>
              <w:spacing w:after="0"/>
              <w:rPr>
                <w:sz w:val="20"/>
                <w:szCs w:val="20"/>
                <w:color w:val="auto"/>
              </w:rPr>
            </w:pPr>
            <w:r>
              <w:rPr>
                <w:rFonts w:ascii="Arial" w:cs="Arial" w:eastAsia="Arial" w:hAnsi="Arial"/>
                <w:sz w:val="11"/>
                <w:szCs w:val="11"/>
                <w:b w:val="1"/>
                <w:bCs w:val="1"/>
                <w:color w:val="050505"/>
              </w:rPr>
              <w:t>Purchase</w:t>
            </w:r>
          </w:p>
        </w:tc>
        <w:tc>
          <w:tcPr>
            <w:tcW w:w="0" w:type="dxa"/>
            <w:vAlign w:val="bottom"/>
          </w:tcPr>
          <w:p>
            <w:pPr>
              <w:spacing w:after="0"/>
              <w:rPr>
                <w:sz w:val="1"/>
                <w:szCs w:val="1"/>
                <w:color w:val="auto"/>
              </w:rPr>
            </w:pPr>
          </w:p>
        </w:tc>
      </w:tr>
      <w:tr>
        <w:trPr>
          <w:trHeight w:val="148"/>
        </w:trPr>
        <w:tc>
          <w:tcPr>
            <w:tcW w:w="1160" w:type="dxa"/>
            <w:vAlign w:val="bottom"/>
            <w:tcBorders>
              <w:bottom w:val="single" w:sz="8" w:color="auto"/>
            </w:tcBorders>
            <w:vMerge w:val="continue"/>
          </w:tcPr>
          <w:p>
            <w:pPr>
              <w:spacing w:after="0"/>
              <w:rPr>
                <w:sz w:val="12"/>
                <w:szCs w:val="12"/>
                <w:color w:val="auto"/>
              </w:rPr>
            </w:pPr>
          </w:p>
        </w:tc>
        <w:tc>
          <w:tcPr>
            <w:tcW w:w="4640" w:type="dxa"/>
            <w:vAlign w:val="bottom"/>
            <w:vMerge w:val="continue"/>
          </w:tcPr>
          <w:p>
            <w:pPr>
              <w:spacing w:after="0"/>
              <w:rPr>
                <w:sz w:val="12"/>
                <w:szCs w:val="12"/>
                <w:color w:val="auto"/>
              </w:rPr>
            </w:pPr>
          </w:p>
        </w:tc>
        <w:tc>
          <w:tcPr>
            <w:tcW w:w="78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050505"/>
                <w:w w:val="93"/>
              </w:rPr>
              <w:t>Stock</w:t>
            </w:r>
          </w:p>
        </w:tc>
        <w:tc>
          <w:tcPr>
            <w:tcW w:w="780" w:type="dxa"/>
            <w:vAlign w:val="bottom"/>
            <w:gridSpan w:val="2"/>
          </w:tcPr>
          <w:p>
            <w:pPr>
              <w:jc w:val="center"/>
              <w:ind w:right="80"/>
              <w:spacing w:after="0"/>
              <w:rPr>
                <w:sz w:val="20"/>
                <w:szCs w:val="20"/>
                <w:color w:val="auto"/>
              </w:rPr>
            </w:pPr>
            <w:r>
              <w:rPr>
                <w:rFonts w:ascii="Arial" w:cs="Arial" w:eastAsia="Arial" w:hAnsi="Arial"/>
                <w:sz w:val="11"/>
                <w:szCs w:val="11"/>
                <w:b w:val="1"/>
                <w:bCs w:val="1"/>
                <w:color w:val="050505"/>
                <w:w w:val="96"/>
              </w:rPr>
              <w:t>Price ($)</w:t>
            </w:r>
          </w:p>
        </w:tc>
        <w:tc>
          <w:tcPr>
            <w:tcW w:w="0" w:type="dxa"/>
            <w:vAlign w:val="bottom"/>
          </w:tcPr>
          <w:p>
            <w:pPr>
              <w:spacing w:after="0"/>
              <w:rPr>
                <w:sz w:val="1"/>
                <w:szCs w:val="1"/>
                <w:color w:val="auto"/>
              </w:rPr>
            </w:pPr>
          </w:p>
        </w:tc>
      </w:tr>
      <w:tr>
        <w:trPr>
          <w:trHeight w:val="104"/>
        </w:trPr>
        <w:tc>
          <w:tcPr>
            <w:tcW w:w="5800" w:type="dxa"/>
            <w:vAlign w:val="bottom"/>
            <w:tcBorders>
              <w:top w:val="single" w:sz="8" w:color="CCEEFF"/>
            </w:tcBorders>
            <w:gridSpan w:val="2"/>
            <w:shd w:val="clear" w:color="auto" w:fill="CCEEFF"/>
          </w:tcPr>
          <w:p>
            <w:pPr>
              <w:ind w:left="40"/>
              <w:spacing w:after="0" w:line="105" w:lineRule="exact"/>
              <w:rPr>
                <w:sz w:val="20"/>
                <w:szCs w:val="20"/>
                <w:color w:val="auto"/>
              </w:rPr>
            </w:pPr>
            <w:r>
              <w:rPr>
                <w:rFonts w:ascii="Arial" w:cs="Arial" w:eastAsia="Arial" w:hAnsi="Arial"/>
                <w:sz w:val="8"/>
                <w:szCs w:val="8"/>
                <w:color w:val="050505"/>
              </w:rPr>
              <w:t>Entities affiliated with TCV</w:t>
            </w:r>
            <w:r>
              <w:rPr>
                <w:rFonts w:ascii="Arial" w:cs="Arial" w:eastAsia="Arial" w:hAnsi="Arial"/>
                <w:sz w:val="12"/>
                <w:szCs w:val="12"/>
                <w:color w:val="050505"/>
                <w:vertAlign w:val="superscript"/>
              </w:rPr>
              <w:t>(1)</w:t>
            </w:r>
          </w:p>
        </w:tc>
        <w:tc>
          <w:tcPr>
            <w:tcW w:w="680" w:type="dxa"/>
            <w:vAlign w:val="bottom"/>
            <w:tcBorders>
              <w:top w:val="single" w:sz="8" w:color="auto"/>
            </w:tcBorders>
            <w:shd w:val="clear" w:color="auto" w:fill="CCEEFF"/>
          </w:tcPr>
          <w:p>
            <w:pPr>
              <w:jc w:val="right"/>
              <w:spacing w:after="0" w:line="104" w:lineRule="exact"/>
              <w:rPr>
                <w:sz w:val="20"/>
                <w:szCs w:val="20"/>
                <w:color w:val="auto"/>
              </w:rPr>
            </w:pPr>
            <w:r>
              <w:rPr>
                <w:rFonts w:ascii="Arial" w:cs="Arial" w:eastAsia="Arial" w:hAnsi="Arial"/>
                <w:sz w:val="11"/>
                <w:szCs w:val="11"/>
                <w:color w:val="050505"/>
              </w:rPr>
              <w:t>10,387,688</w:t>
            </w:r>
          </w:p>
        </w:tc>
        <w:tc>
          <w:tcPr>
            <w:tcW w:w="100" w:type="dxa"/>
            <w:vAlign w:val="bottom"/>
            <w:tcBorders>
              <w:top w:val="single" w:sz="8" w:color="CCEEFF"/>
            </w:tcBorders>
            <w:shd w:val="clear" w:color="auto" w:fill="CCEEFF"/>
          </w:tcPr>
          <w:p>
            <w:pPr>
              <w:spacing w:after="0"/>
              <w:rPr>
                <w:sz w:val="9"/>
                <w:szCs w:val="9"/>
                <w:color w:val="auto"/>
              </w:rPr>
            </w:pPr>
          </w:p>
        </w:tc>
        <w:tc>
          <w:tcPr>
            <w:tcW w:w="700" w:type="dxa"/>
            <w:vAlign w:val="bottom"/>
            <w:tcBorders>
              <w:top w:val="single" w:sz="8" w:color="auto"/>
            </w:tcBorders>
            <w:shd w:val="clear" w:color="auto" w:fill="CCEEFF"/>
          </w:tcPr>
          <w:p>
            <w:pPr>
              <w:jc w:val="right"/>
              <w:spacing w:after="0" w:line="104" w:lineRule="exact"/>
              <w:rPr>
                <w:sz w:val="20"/>
                <w:szCs w:val="20"/>
                <w:color w:val="auto"/>
              </w:rPr>
            </w:pPr>
            <w:r>
              <w:rPr>
                <w:rFonts w:ascii="Arial" w:cs="Arial" w:eastAsia="Arial" w:hAnsi="Arial"/>
                <w:sz w:val="11"/>
                <w:szCs w:val="11"/>
                <w:color w:val="050505"/>
              </w:rPr>
              <w:t>150,000,085</w:t>
            </w:r>
          </w:p>
        </w:tc>
        <w:tc>
          <w:tcPr>
            <w:tcW w:w="80" w:type="dxa"/>
            <w:vAlign w:val="bottom"/>
            <w:tcBorders>
              <w:top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5800" w:type="dxa"/>
            <w:vAlign w:val="bottom"/>
            <w:gridSpan w:val="2"/>
          </w:tcPr>
          <w:p>
            <w:pPr>
              <w:ind w:left="40"/>
              <w:spacing w:after="0"/>
              <w:rPr>
                <w:sz w:val="20"/>
                <w:szCs w:val="20"/>
                <w:color w:val="auto"/>
              </w:rPr>
            </w:pPr>
            <w:r>
              <w:rPr>
                <w:rFonts w:ascii="Arial" w:cs="Arial" w:eastAsia="Arial" w:hAnsi="Arial"/>
                <w:sz w:val="11"/>
                <w:szCs w:val="11"/>
                <w:color w:val="050505"/>
              </w:rPr>
              <w:t>True Ventures Select III, L.P.</w:t>
            </w:r>
          </w:p>
        </w:tc>
        <w:tc>
          <w:tcPr>
            <w:tcW w:w="680" w:type="dxa"/>
            <w:vAlign w:val="bottom"/>
          </w:tcPr>
          <w:p>
            <w:pPr>
              <w:jc w:val="right"/>
              <w:spacing w:after="0"/>
              <w:rPr>
                <w:sz w:val="20"/>
                <w:szCs w:val="20"/>
                <w:color w:val="auto"/>
              </w:rPr>
            </w:pPr>
            <w:r>
              <w:rPr>
                <w:rFonts w:ascii="Arial" w:cs="Arial" w:eastAsia="Arial" w:hAnsi="Arial"/>
                <w:sz w:val="11"/>
                <w:szCs w:val="11"/>
                <w:color w:val="050505"/>
              </w:rPr>
              <w:t>1,385,025</w:t>
            </w:r>
          </w:p>
        </w:tc>
        <w:tc>
          <w:tcPr>
            <w:tcW w:w="100" w:type="dxa"/>
            <w:vAlign w:val="bottom"/>
          </w:tcPr>
          <w:p>
            <w:pPr>
              <w:spacing w:after="0"/>
              <w:rPr>
                <w:sz w:val="10"/>
                <w:szCs w:val="10"/>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050505"/>
              </w:rPr>
              <w:t>20,000,010</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5800" w:type="dxa"/>
            <w:vAlign w:val="bottom"/>
            <w:gridSpan w:val="2"/>
            <w:shd w:val="clear" w:color="auto" w:fill="CCEEFF"/>
          </w:tcPr>
          <w:p>
            <w:pPr>
              <w:ind w:left="40"/>
              <w:spacing w:after="0" w:line="126" w:lineRule="exact"/>
              <w:rPr>
                <w:sz w:val="20"/>
                <w:szCs w:val="20"/>
                <w:color w:val="auto"/>
              </w:rPr>
            </w:pPr>
            <w:r>
              <w:rPr>
                <w:rFonts w:ascii="Arial" w:cs="Arial" w:eastAsia="Arial" w:hAnsi="Arial"/>
                <w:sz w:val="9"/>
                <w:szCs w:val="9"/>
                <w:color w:val="050505"/>
              </w:rPr>
              <w:t>Affiliates of Tiger</w:t>
            </w:r>
            <w:r>
              <w:rPr>
                <w:rFonts w:ascii="Arial" w:cs="Arial" w:eastAsia="Arial" w:hAnsi="Arial"/>
                <w:sz w:val="14"/>
                <w:szCs w:val="14"/>
                <w:color w:val="050505"/>
                <w:vertAlign w:val="superscript"/>
              </w:rPr>
              <w:t>(2)</w:t>
            </w:r>
          </w:p>
        </w:tc>
        <w:tc>
          <w:tcPr>
            <w:tcW w:w="680" w:type="dxa"/>
            <w:vAlign w:val="bottom"/>
            <w:shd w:val="clear" w:color="auto" w:fill="CCEEFF"/>
          </w:tcPr>
          <w:p>
            <w:pPr>
              <w:jc w:val="right"/>
              <w:spacing w:after="0"/>
              <w:rPr>
                <w:sz w:val="20"/>
                <w:szCs w:val="20"/>
                <w:color w:val="auto"/>
              </w:rPr>
            </w:pPr>
            <w:r>
              <w:rPr>
                <w:rFonts w:ascii="Arial" w:cs="Arial" w:eastAsia="Arial" w:hAnsi="Arial"/>
                <w:sz w:val="11"/>
                <w:szCs w:val="11"/>
                <w:color w:val="050505"/>
              </w:rPr>
              <w:t>4,439,755</w:t>
            </w:r>
          </w:p>
        </w:tc>
        <w:tc>
          <w:tcPr>
            <w:tcW w:w="100" w:type="dxa"/>
            <w:vAlign w:val="bottom"/>
            <w:shd w:val="clear" w:color="auto" w:fill="CCEEFF"/>
          </w:tcPr>
          <w:p>
            <w:pPr>
              <w:spacing w:after="0"/>
              <w:rPr>
                <w:sz w:val="10"/>
                <w:szCs w:val="10"/>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1"/>
                <w:szCs w:val="11"/>
                <w:color w:val="050505"/>
              </w:rPr>
              <w:t>64,110,861</w:t>
            </w: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5800" w:type="dxa"/>
            <w:vAlign w:val="bottom"/>
            <w:gridSpan w:val="2"/>
          </w:tcPr>
          <w:p>
            <w:pPr>
              <w:ind w:left="40"/>
              <w:spacing w:after="0" w:line="126" w:lineRule="exact"/>
              <w:rPr>
                <w:sz w:val="20"/>
                <w:szCs w:val="20"/>
                <w:color w:val="auto"/>
              </w:rPr>
            </w:pPr>
            <w:r>
              <w:rPr>
                <w:rFonts w:ascii="Arial" w:cs="Arial" w:eastAsia="Arial" w:hAnsi="Arial"/>
                <w:sz w:val="9"/>
                <w:szCs w:val="9"/>
                <w:color w:val="050505"/>
              </w:rPr>
              <w:t>Entities affiliated with Fidelity</w:t>
            </w:r>
            <w:r>
              <w:rPr>
                <w:rFonts w:ascii="Arial" w:cs="Arial" w:eastAsia="Arial" w:hAnsi="Arial"/>
                <w:sz w:val="14"/>
                <w:szCs w:val="14"/>
                <w:color w:val="050505"/>
                <w:vertAlign w:val="superscript"/>
              </w:rPr>
              <w:t>(3)</w:t>
            </w:r>
          </w:p>
        </w:tc>
        <w:tc>
          <w:tcPr>
            <w:tcW w:w="680" w:type="dxa"/>
            <w:vAlign w:val="bottom"/>
          </w:tcPr>
          <w:p>
            <w:pPr>
              <w:jc w:val="right"/>
              <w:spacing w:after="0"/>
              <w:rPr>
                <w:sz w:val="20"/>
                <w:szCs w:val="20"/>
                <w:color w:val="auto"/>
              </w:rPr>
            </w:pPr>
            <w:r>
              <w:rPr>
                <w:rFonts w:ascii="Arial" w:cs="Arial" w:eastAsia="Arial" w:hAnsi="Arial"/>
                <w:sz w:val="11"/>
                <w:szCs w:val="11"/>
                <w:color w:val="050505"/>
              </w:rPr>
              <w:t>2,077,536</w:t>
            </w:r>
          </w:p>
        </w:tc>
        <w:tc>
          <w:tcPr>
            <w:tcW w:w="100" w:type="dxa"/>
            <w:vAlign w:val="bottom"/>
          </w:tcPr>
          <w:p>
            <w:pPr>
              <w:spacing w:after="0"/>
              <w:rPr>
                <w:sz w:val="10"/>
                <w:szCs w:val="10"/>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050505"/>
              </w:rPr>
              <w:t>29,999,994</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5800" w:type="dxa"/>
            <w:vAlign w:val="bottom"/>
            <w:gridSpan w:val="2"/>
            <w:shd w:val="clear" w:color="auto" w:fill="CCEEFF"/>
          </w:tcPr>
          <w:p>
            <w:pPr>
              <w:ind w:left="40"/>
              <w:spacing w:after="0" w:line="126" w:lineRule="exact"/>
              <w:rPr>
                <w:sz w:val="20"/>
                <w:szCs w:val="20"/>
                <w:color w:val="auto"/>
              </w:rPr>
            </w:pPr>
            <w:r>
              <w:rPr>
                <w:rFonts w:ascii="Arial" w:cs="Arial" w:eastAsia="Arial" w:hAnsi="Arial"/>
                <w:sz w:val="9"/>
                <w:szCs w:val="9"/>
                <w:color w:val="050505"/>
              </w:rPr>
              <w:t>LFX Trust, L.L.C.</w:t>
            </w:r>
            <w:r>
              <w:rPr>
                <w:rFonts w:ascii="Arial" w:cs="Arial" w:eastAsia="Arial" w:hAnsi="Arial"/>
                <w:sz w:val="14"/>
                <w:szCs w:val="14"/>
                <w:color w:val="050505"/>
                <w:vertAlign w:val="superscript"/>
              </w:rPr>
              <w:t>(4)</w:t>
            </w:r>
          </w:p>
        </w:tc>
        <w:tc>
          <w:tcPr>
            <w:tcW w:w="680" w:type="dxa"/>
            <w:vAlign w:val="bottom"/>
            <w:shd w:val="clear" w:color="auto" w:fill="CCEEFF"/>
          </w:tcPr>
          <w:p>
            <w:pPr>
              <w:jc w:val="right"/>
              <w:spacing w:after="0"/>
              <w:rPr>
                <w:sz w:val="20"/>
                <w:szCs w:val="20"/>
                <w:color w:val="auto"/>
              </w:rPr>
            </w:pPr>
            <w:r>
              <w:rPr>
                <w:rFonts w:ascii="Arial" w:cs="Arial" w:eastAsia="Arial" w:hAnsi="Arial"/>
                <w:sz w:val="11"/>
                <w:szCs w:val="11"/>
                <w:color w:val="050505"/>
              </w:rPr>
              <w:t>227,776</w:t>
            </w:r>
          </w:p>
        </w:tc>
        <w:tc>
          <w:tcPr>
            <w:tcW w:w="100" w:type="dxa"/>
            <w:vAlign w:val="bottom"/>
            <w:shd w:val="clear" w:color="auto" w:fill="CCEEFF"/>
          </w:tcPr>
          <w:p>
            <w:pPr>
              <w:spacing w:after="0"/>
              <w:rPr>
                <w:sz w:val="10"/>
                <w:szCs w:val="10"/>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1"/>
                <w:szCs w:val="11"/>
                <w:color w:val="050505"/>
              </w:rPr>
              <w:t>3,289,126</w:t>
            </w: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1310640</wp:posOffset>
            </wp:positionH>
            <wp:positionV relativeFrom="paragraph">
              <wp:posOffset>57150</wp:posOffset>
            </wp:positionV>
            <wp:extent cx="1212215" cy="571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1212215" cy="5715"/>
                    </a:xfrm>
                    <a:prstGeom prst="rect">
                      <a:avLst/>
                    </a:prstGeom>
                    <a:noFill/>
                  </pic:spPr>
                </pic:pic>
              </a:graphicData>
            </a:graphic>
          </wp:anchor>
        </w:drawing>
      </w:r>
    </w:p>
    <w:p>
      <w:pPr>
        <w:spacing w:after="0" w:line="102" w:lineRule="exact"/>
        <w:rPr>
          <w:sz w:val="20"/>
          <w:szCs w:val="20"/>
          <w:color w:val="auto"/>
        </w:rPr>
      </w:pPr>
    </w:p>
    <w:p>
      <w:pPr>
        <w:jc w:val="both"/>
        <w:ind w:left="2280" w:right="839" w:hanging="221"/>
        <w:spacing w:after="0" w:line="245" w:lineRule="auto"/>
        <w:tabs>
          <w:tab w:leader="none" w:pos="2280" w:val="left"/>
        </w:tabs>
        <w:numPr>
          <w:ilvl w:val="0"/>
          <w:numId w:val="90"/>
        </w:numPr>
        <w:rPr>
          <w:rFonts w:ascii="Arial" w:cs="Arial" w:eastAsia="Arial" w:hAnsi="Arial"/>
          <w:sz w:val="8"/>
          <w:szCs w:val="8"/>
          <w:color w:val="050505"/>
        </w:rPr>
      </w:pPr>
      <w:r>
        <w:rPr>
          <w:rFonts w:ascii="Arial" w:cs="Arial" w:eastAsia="Arial" w:hAnsi="Arial"/>
          <w:sz w:val="8"/>
          <w:szCs w:val="8"/>
          <w:color w:val="050505"/>
        </w:rPr>
        <w:t>Consists of (a) 7,350,467 shares of our Class B common stock held of record held by TCV IX Cycle, L.P., (b) 2,074,031 shares of our Class B common stock held of record held by TCV IX (A), L.P., (c) 392,570 shares of our Class B common stock held of record held by TCV IX Cycle (B), L.P., and (d) 570,620 shares of our Class B common stock held of record by TCV IX Cycle (MF), L.P. Erik Blachford, a Venture Partner at TCV, and Jay Hoag a General Partner of TCV, are both members of our board of directors.</w:t>
      </w:r>
    </w:p>
    <w:p>
      <w:pPr>
        <w:spacing w:after="0" w:line="33" w:lineRule="exact"/>
        <w:rPr>
          <w:rFonts w:ascii="Arial" w:cs="Arial" w:eastAsia="Arial" w:hAnsi="Arial"/>
          <w:sz w:val="8"/>
          <w:szCs w:val="8"/>
          <w:color w:val="050505"/>
        </w:rPr>
      </w:pPr>
    </w:p>
    <w:p>
      <w:pPr>
        <w:jc w:val="both"/>
        <w:ind w:left="2280" w:right="839" w:hanging="221"/>
        <w:spacing w:after="0" w:line="247" w:lineRule="auto"/>
        <w:tabs>
          <w:tab w:leader="none" w:pos="2280" w:val="left"/>
        </w:tabs>
        <w:numPr>
          <w:ilvl w:val="0"/>
          <w:numId w:val="90"/>
        </w:numPr>
        <w:rPr>
          <w:rFonts w:ascii="Arial" w:cs="Arial" w:eastAsia="Arial" w:hAnsi="Arial"/>
          <w:sz w:val="8"/>
          <w:szCs w:val="8"/>
          <w:color w:val="050505"/>
        </w:rPr>
      </w:pPr>
      <w:r>
        <w:rPr>
          <w:rFonts w:ascii="Arial" w:cs="Arial" w:eastAsia="Arial" w:hAnsi="Arial"/>
          <w:sz w:val="8"/>
          <w:szCs w:val="8"/>
          <w:color w:val="050505"/>
        </w:rPr>
        <w:t>Consists of shares of Class B common stock held by Tiger Global Private Investment Partners VII, L.P. and an affiliate of Tiger Global Management, LLC. Tiger Global Management, LLC is controlled by Chase Coleman and Scott Shleifer. The business address for each of these entities and individuals is c/o Tiger Global Management, LLC, 9 West 57th Street, 35th Floor, New York, New York 10019.</w:t>
      </w:r>
    </w:p>
    <w:p>
      <w:pPr>
        <w:spacing w:after="0" w:line="123" w:lineRule="exact"/>
        <w:rPr>
          <w:rFonts w:ascii="Arial" w:cs="Arial" w:eastAsia="Arial" w:hAnsi="Arial"/>
          <w:sz w:val="8"/>
          <w:szCs w:val="8"/>
          <w:color w:val="050505"/>
        </w:rPr>
      </w:pPr>
    </w:p>
    <w:p>
      <w:pPr>
        <w:ind w:left="2280" w:hanging="221"/>
        <w:spacing w:after="0"/>
        <w:tabs>
          <w:tab w:leader="none" w:pos="2280" w:val="left"/>
        </w:tabs>
        <w:numPr>
          <w:ilvl w:val="0"/>
          <w:numId w:val="90"/>
        </w:numPr>
        <w:rPr>
          <w:rFonts w:ascii="Arial" w:cs="Arial" w:eastAsia="Arial" w:hAnsi="Arial"/>
          <w:sz w:val="8"/>
          <w:szCs w:val="8"/>
          <w:color w:val="050505"/>
        </w:rPr>
      </w:pPr>
      <w:r>
        <w:rPr>
          <w:rFonts w:ascii="Arial" w:cs="Arial" w:eastAsia="Arial" w:hAnsi="Arial"/>
          <w:sz w:val="8"/>
          <w:szCs w:val="8"/>
          <w:color w:val="050505"/>
        </w:rPr>
        <w:t>Consists of (a) 748,920 shares of our Class B common stock held of record by Fidelity Concord Street Trust: Fidelity Mid-Cap Stock Fund, (b) 298,932 shares of our Class B common stock</w:t>
      </w:r>
    </w:p>
    <w:p>
      <w:pPr>
        <w:ind w:left="2280" w:right="839"/>
        <w:spacing w:after="0" w:line="256" w:lineRule="auto"/>
        <w:rPr>
          <w:rFonts w:ascii="Arial" w:cs="Arial" w:eastAsia="Arial" w:hAnsi="Arial"/>
          <w:sz w:val="8"/>
          <w:szCs w:val="8"/>
          <w:color w:val="050505"/>
        </w:rPr>
      </w:pPr>
      <w:r>
        <w:rPr>
          <w:rFonts w:ascii="Arial" w:cs="Arial" w:eastAsia="Arial" w:hAnsi="Arial"/>
          <w:sz w:val="8"/>
          <w:szCs w:val="8"/>
          <w:color w:val="050505"/>
        </w:rPr>
        <w:t>held of record by Fidelity Mt. Vernon Street Trust: Fidelity New Millennium Fund, (c) 990,692 shares of our Class B common stock held of record by Fidelity Contrafund: Fidelity Advisor New Insights Fund, and (d) 38,992 shares of our Class B common stock held of record by Fidelity Mid-Cap Stock Commingled Pool.</w:t>
      </w:r>
    </w:p>
    <w:p>
      <w:pPr>
        <w:spacing w:after="0" w:line="28" w:lineRule="exact"/>
        <w:rPr>
          <w:rFonts w:ascii="Arial" w:cs="Arial" w:eastAsia="Arial" w:hAnsi="Arial"/>
          <w:sz w:val="8"/>
          <w:szCs w:val="8"/>
          <w:color w:val="050505"/>
        </w:rPr>
      </w:pPr>
    </w:p>
    <w:p>
      <w:pPr>
        <w:ind w:left="2280" w:hanging="221"/>
        <w:spacing w:after="0"/>
        <w:tabs>
          <w:tab w:leader="none" w:pos="2280" w:val="left"/>
        </w:tabs>
        <w:numPr>
          <w:ilvl w:val="0"/>
          <w:numId w:val="90"/>
        </w:numPr>
        <w:rPr>
          <w:rFonts w:ascii="Arial" w:cs="Arial" w:eastAsia="Arial" w:hAnsi="Arial"/>
          <w:sz w:val="8"/>
          <w:szCs w:val="8"/>
          <w:color w:val="050505"/>
        </w:rPr>
      </w:pPr>
      <w:r>
        <w:rPr>
          <w:rFonts w:ascii="Arial" w:cs="Arial" w:eastAsia="Arial" w:hAnsi="Arial"/>
          <w:sz w:val="8"/>
          <w:szCs w:val="8"/>
          <w:color w:val="050505"/>
        </w:rPr>
        <w:t>Consists of shares of Class B common stock held by LFX Trust, L.L.C., or LFX. Lee Fixel, a former member of our board of directors, is the manager of LFX.</w:t>
      </w:r>
    </w:p>
    <w:p>
      <w:pPr>
        <w:spacing w:after="0" w:line="208" w:lineRule="exact"/>
        <w:rPr>
          <w:sz w:val="20"/>
          <w:szCs w:val="20"/>
          <w:color w:val="auto"/>
        </w:rPr>
      </w:pPr>
    </w:p>
    <w:p>
      <w:pPr>
        <w:ind w:left="2060"/>
        <w:spacing w:after="0"/>
        <w:rPr>
          <w:sz w:val="20"/>
          <w:szCs w:val="20"/>
          <w:color w:val="auto"/>
        </w:rPr>
      </w:pPr>
      <w:r>
        <w:rPr>
          <w:rFonts w:ascii="Arial" w:cs="Arial" w:eastAsia="Arial" w:hAnsi="Arial"/>
          <w:sz w:val="11"/>
          <w:szCs w:val="11"/>
          <w:b w:val="1"/>
          <w:bCs w:val="1"/>
          <w:u w:val="single" w:color="auto"/>
          <w:color w:val="auto"/>
        </w:rPr>
        <w:t>Employment Arrangement with an Immediate Family Member of Our Chairman of the Board of Directors and Chief Executive Officer</w:t>
      </w:r>
    </w:p>
    <w:p>
      <w:pPr>
        <w:spacing w:after="0" w:line="12" w:lineRule="exact"/>
        <w:rPr>
          <w:sz w:val="20"/>
          <w:szCs w:val="20"/>
          <w:color w:val="auto"/>
        </w:rPr>
      </w:pPr>
    </w:p>
    <w:p>
      <w:pPr>
        <w:jc w:val="both"/>
        <w:ind w:left="2060" w:right="839"/>
        <w:spacing w:after="0"/>
        <w:rPr>
          <w:sz w:val="20"/>
          <w:szCs w:val="20"/>
          <w:color w:val="auto"/>
        </w:rPr>
      </w:pPr>
      <w:r>
        <w:rPr>
          <w:rFonts w:ascii="Arial" w:cs="Arial" w:eastAsia="Arial" w:hAnsi="Arial"/>
          <w:sz w:val="11"/>
          <w:szCs w:val="11"/>
          <w:color w:val="050505"/>
        </w:rPr>
        <w:t>Jill Foley, the spouse of John Foley, Chairman of our board of directors and Chief Executive Officer, is our Vice President of Boutique. During fiscal 2017, 2018, and 2019, Ms. Foley received an annual base salary of $127,500, $141,042, and $191,250, respectively, in addition to equity and annual bonus payments. For each fiscal period, Ms. Foley’s compensation was based on reference to external market practice of similar positions or internal pay equity when compared to the compensation paid to employees in similar positions who were not related to the Chairman of our board of directors and Chief Executive Officer. Ms. Foley was also eligible for equity awards on the same general terms and conditions as applicable to employees in similar positions who were not related to the Chairman of our board of directors and Chief Executive Officer.</w:t>
      </w:r>
    </w:p>
    <w:p>
      <w:pPr>
        <w:spacing w:after="0" w:line="202" w:lineRule="exact"/>
        <w:rPr>
          <w:sz w:val="20"/>
          <w:szCs w:val="20"/>
          <w:color w:val="auto"/>
        </w:rPr>
      </w:pPr>
    </w:p>
    <w:p>
      <w:pPr>
        <w:ind w:left="2060"/>
        <w:spacing w:after="0"/>
        <w:rPr>
          <w:sz w:val="20"/>
          <w:szCs w:val="20"/>
          <w:color w:val="auto"/>
        </w:rPr>
      </w:pPr>
      <w:r>
        <w:rPr>
          <w:rFonts w:ascii="Arial" w:cs="Arial" w:eastAsia="Arial" w:hAnsi="Arial"/>
          <w:sz w:val="11"/>
          <w:szCs w:val="11"/>
          <w:b w:val="1"/>
          <w:bCs w:val="1"/>
          <w:u w:val="single" w:color="auto"/>
          <w:color w:val="auto"/>
        </w:rPr>
        <w:t>Employment Arrangement with an Immediate Family Member of Our Chief Legal Officer and Secretary</w:t>
      </w:r>
    </w:p>
    <w:p>
      <w:pPr>
        <w:spacing w:after="0" w:line="12" w:lineRule="exact"/>
        <w:rPr>
          <w:sz w:val="20"/>
          <w:szCs w:val="20"/>
          <w:color w:val="auto"/>
        </w:rPr>
      </w:pPr>
    </w:p>
    <w:p>
      <w:pPr>
        <w:jc w:val="both"/>
        <w:ind w:left="2060" w:right="839"/>
        <w:spacing w:after="0"/>
        <w:rPr>
          <w:sz w:val="20"/>
          <w:szCs w:val="20"/>
          <w:color w:val="auto"/>
        </w:rPr>
      </w:pPr>
      <w:r>
        <w:rPr>
          <w:rFonts w:ascii="Arial" w:cs="Arial" w:eastAsia="Arial" w:hAnsi="Arial"/>
          <w:sz w:val="11"/>
          <w:szCs w:val="11"/>
          <w:color w:val="050505"/>
        </w:rPr>
        <w:t>Kate Kushi, the daughter of Hisao Kushi, our Chief Legal Officer and Secretary, has served as our Brand Marketing Campaign Coordinator since August 2018. For fiscal 2019, Ms. Kushi’s annual base salary was $56,934, in addition to equity compensation. Ms. Kushi’s compensation was based on reference to external market practice of similar positions or internal pay equity when compared to the compensation paid to employees in similar positions who were not related to our Chief Legal Officer and Secretary. Ms. Kushi was also eligible for equity awards on the same general terms and conditions as applicable to employees in similar positions who were not related to our Chief Legal Officer and Secretary.</w:t>
      </w:r>
    </w:p>
    <w:p>
      <w:pPr>
        <w:spacing w:after="0" w:line="97" w:lineRule="exact"/>
        <w:rPr>
          <w:sz w:val="20"/>
          <w:szCs w:val="20"/>
          <w:color w:val="auto"/>
        </w:rPr>
      </w:pPr>
    </w:p>
    <w:p>
      <w:pPr>
        <w:ind w:left="5640"/>
        <w:spacing w:after="0"/>
        <w:rPr>
          <w:sz w:val="20"/>
          <w:szCs w:val="20"/>
          <w:color w:val="auto"/>
        </w:rPr>
      </w:pPr>
      <w:r>
        <w:rPr>
          <w:rFonts w:ascii="Arial" w:cs="Arial" w:eastAsia="Arial" w:hAnsi="Arial"/>
          <w:sz w:val="11"/>
          <w:szCs w:val="11"/>
          <w:color w:val="050505"/>
        </w:rPr>
        <w:t>131</w:t>
      </w:r>
    </w:p>
    <w:p>
      <w:pPr>
        <w:sectPr>
          <w:pgSz w:w="11900" w:h="16838" w:orient="portrait"/>
          <w:cols w:equalWidth="0" w:num="1">
            <w:col w:w="10239"/>
          </w:cols>
          <w:pgMar w:left="220" w:top="354" w:right="1440" w:bottom="1440" w:gutter="0" w:footer="0" w:header="0"/>
        </w:sectPr>
      </w:pPr>
    </w:p>
    <w:bookmarkStart w:id="141" w:name="page142"/>
    <w:bookmarkEnd w:id="141"/>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hyperlink w:anchor="page5">
        <w:r>
          <w:rPr>
            <w:rFonts w:ascii="Arial" w:cs="Arial" w:eastAsia="Arial" w:hAnsi="Arial"/>
            <w:sz w:val="12"/>
            <w:szCs w:val="12"/>
            <w:b w:val="1"/>
            <w:bCs w:val="1"/>
            <w:u w:val="single" w:color="auto"/>
            <w:color w:val="0000EE"/>
          </w:rPr>
          <w:t>Table of Contents</w:t>
        </w:r>
      </w:hyperlink>
    </w:p>
    <w:p>
      <w:pPr>
        <w:spacing w:after="0" w:line="204" w:lineRule="exact"/>
        <w:rPr>
          <w:sz w:val="20"/>
          <w:szCs w:val="20"/>
          <w:color w:val="auto"/>
        </w:rPr>
      </w:pPr>
    </w:p>
    <w:p>
      <w:pPr>
        <w:ind w:left="2060"/>
        <w:spacing w:after="0"/>
        <w:rPr>
          <w:sz w:val="20"/>
          <w:szCs w:val="20"/>
          <w:color w:val="auto"/>
        </w:rPr>
      </w:pPr>
      <w:r>
        <w:rPr>
          <w:rFonts w:ascii="Arial" w:cs="Arial" w:eastAsia="Arial" w:hAnsi="Arial"/>
          <w:sz w:val="11"/>
          <w:szCs w:val="11"/>
          <w:b w:val="1"/>
          <w:bCs w:val="1"/>
          <w:u w:val="single" w:color="auto"/>
          <w:color w:val="auto"/>
        </w:rPr>
        <w:t>2018 Tender Offer</w:t>
      </w:r>
    </w:p>
    <w:p>
      <w:pPr>
        <w:spacing w:after="0" w:line="12" w:lineRule="exact"/>
        <w:rPr>
          <w:sz w:val="20"/>
          <w:szCs w:val="20"/>
          <w:color w:val="auto"/>
        </w:rPr>
      </w:pPr>
    </w:p>
    <w:p>
      <w:pPr>
        <w:jc w:val="both"/>
        <w:ind w:left="2060" w:right="839"/>
        <w:spacing w:after="0" w:line="273" w:lineRule="auto"/>
        <w:rPr>
          <w:sz w:val="20"/>
          <w:szCs w:val="20"/>
          <w:color w:val="auto"/>
        </w:rPr>
      </w:pPr>
      <w:r>
        <w:rPr>
          <w:rFonts w:ascii="Arial" w:cs="Arial" w:eastAsia="Arial" w:hAnsi="Arial"/>
          <w:sz w:val="10"/>
          <w:szCs w:val="10"/>
          <w:color w:val="050505"/>
        </w:rPr>
        <w:t>In September 2018, we commenced a tender offer to purchase up to an aggregate of 13,850,242 shares of outstanding common stock, options to purchase common stock, and redeemable convertible preferred stock at a purchase price of approximately $14.44 per share, pursuant to an Offer to Purchase. In October 2018, upon the closing of the tender offer, we repurchased an aggregate of 9,264,518 shares of our capital stock, for an aggregate total repurchase price of approximately $133.8 million. Among other sellers, the following directors and executive officers, participated in the tender offer:</w:t>
      </w:r>
    </w:p>
    <w:p>
      <w:pPr>
        <w:spacing w:after="0" w:line="143" w:lineRule="exact"/>
        <w:rPr>
          <w:sz w:val="20"/>
          <w:szCs w:val="20"/>
          <w:color w:val="auto"/>
        </w:rPr>
      </w:pPr>
    </w:p>
    <w:p>
      <w:pPr>
        <w:ind w:left="2420" w:right="839" w:hanging="217"/>
        <w:spacing w:after="0" w:line="245" w:lineRule="auto"/>
        <w:tabs>
          <w:tab w:leader="none" w:pos="2420" w:val="left"/>
        </w:tabs>
        <w:numPr>
          <w:ilvl w:val="0"/>
          <w:numId w:val="91"/>
        </w:numPr>
        <w:rPr>
          <w:rFonts w:ascii="Arial" w:cs="Arial" w:eastAsia="Arial" w:hAnsi="Arial"/>
          <w:sz w:val="11"/>
          <w:szCs w:val="11"/>
          <w:color w:val="F7323F"/>
        </w:rPr>
      </w:pPr>
      <w:r>
        <w:rPr>
          <w:rFonts w:ascii="Arial" w:cs="Arial" w:eastAsia="Arial" w:hAnsi="Arial"/>
          <w:sz w:val="11"/>
          <w:szCs w:val="11"/>
          <w:color w:val="050505"/>
        </w:rPr>
        <w:t>John Foley, Chairman of the board of directors and Chief Executive Officer, sold 1,769,164 shares of common stock for an aggregate price of approximately $24.5 million;</w:t>
      </w:r>
    </w:p>
    <w:p>
      <w:pPr>
        <w:spacing w:after="0" w:line="38" w:lineRule="exact"/>
        <w:rPr>
          <w:rFonts w:ascii="Arial" w:cs="Arial" w:eastAsia="Arial" w:hAnsi="Arial"/>
          <w:sz w:val="11"/>
          <w:szCs w:val="11"/>
          <w:color w:val="F7323F"/>
        </w:rPr>
      </w:pPr>
    </w:p>
    <w:p>
      <w:pPr>
        <w:ind w:left="2420" w:right="839" w:hanging="217"/>
        <w:spacing w:after="0" w:line="245" w:lineRule="auto"/>
        <w:tabs>
          <w:tab w:leader="none" w:pos="2420" w:val="left"/>
        </w:tabs>
        <w:numPr>
          <w:ilvl w:val="0"/>
          <w:numId w:val="91"/>
        </w:numPr>
        <w:rPr>
          <w:rFonts w:ascii="Arial" w:cs="Arial" w:eastAsia="Arial" w:hAnsi="Arial"/>
          <w:sz w:val="11"/>
          <w:szCs w:val="11"/>
          <w:color w:val="F7323F"/>
        </w:rPr>
      </w:pPr>
      <w:r>
        <w:rPr>
          <w:rFonts w:ascii="Arial" w:cs="Arial" w:eastAsia="Arial" w:hAnsi="Arial"/>
          <w:sz w:val="11"/>
          <w:szCs w:val="11"/>
          <w:color w:val="050505"/>
        </w:rPr>
        <w:t>William Lynch, President, sold 227,600 shares of common stock, including shares issued upon exercise of vested stock options, for an aggregate price of approximately $3.3 million;</w:t>
      </w:r>
    </w:p>
    <w:p>
      <w:pPr>
        <w:spacing w:after="0" w:line="38" w:lineRule="exact"/>
        <w:rPr>
          <w:rFonts w:ascii="Arial" w:cs="Arial" w:eastAsia="Arial" w:hAnsi="Arial"/>
          <w:sz w:val="11"/>
          <w:szCs w:val="11"/>
          <w:color w:val="F7323F"/>
        </w:rPr>
      </w:pPr>
    </w:p>
    <w:p>
      <w:pPr>
        <w:ind w:left="2420" w:right="839" w:hanging="217"/>
        <w:spacing w:after="0" w:line="245" w:lineRule="auto"/>
        <w:tabs>
          <w:tab w:leader="none" w:pos="2420" w:val="left"/>
        </w:tabs>
        <w:numPr>
          <w:ilvl w:val="0"/>
          <w:numId w:val="91"/>
        </w:numPr>
        <w:rPr>
          <w:rFonts w:ascii="Arial" w:cs="Arial" w:eastAsia="Arial" w:hAnsi="Arial"/>
          <w:sz w:val="11"/>
          <w:szCs w:val="11"/>
          <w:color w:val="F7323F"/>
        </w:rPr>
      </w:pPr>
      <w:r>
        <w:rPr>
          <w:rFonts w:ascii="Arial" w:cs="Arial" w:eastAsia="Arial" w:hAnsi="Arial"/>
          <w:sz w:val="11"/>
          <w:szCs w:val="11"/>
          <w:color w:val="050505"/>
        </w:rPr>
        <w:t>Thomas Cortese, Chief Operating Officer and Head of Product Development, sold 700,000 shares of common stock for an aggregate price of approximately $10.1 million; and</w:t>
      </w:r>
    </w:p>
    <w:p>
      <w:pPr>
        <w:spacing w:after="0" w:line="38" w:lineRule="exact"/>
        <w:rPr>
          <w:rFonts w:ascii="Arial" w:cs="Arial" w:eastAsia="Arial" w:hAnsi="Arial"/>
          <w:sz w:val="11"/>
          <w:szCs w:val="11"/>
          <w:color w:val="F7323F"/>
        </w:rPr>
      </w:pPr>
    </w:p>
    <w:p>
      <w:pPr>
        <w:ind w:left="2420" w:hanging="217"/>
        <w:spacing w:after="0"/>
        <w:tabs>
          <w:tab w:leader="none" w:pos="2420" w:val="left"/>
        </w:tabs>
        <w:numPr>
          <w:ilvl w:val="0"/>
          <w:numId w:val="91"/>
        </w:numPr>
        <w:rPr>
          <w:rFonts w:ascii="Arial" w:cs="Arial" w:eastAsia="Arial" w:hAnsi="Arial"/>
          <w:sz w:val="11"/>
          <w:szCs w:val="11"/>
          <w:color w:val="F7323F"/>
        </w:rPr>
      </w:pPr>
      <w:r>
        <w:rPr>
          <w:rFonts w:ascii="Arial" w:cs="Arial" w:eastAsia="Arial" w:hAnsi="Arial"/>
          <w:sz w:val="11"/>
          <w:szCs w:val="11"/>
          <w:color w:val="050505"/>
        </w:rPr>
        <w:t>Hisao Kushi, Chief Legal Officer and Secretary, sold 320,000 shares of common stock for an aggregate price of approximately $4.6 million.</w:t>
      </w:r>
    </w:p>
    <w:p>
      <w:pPr>
        <w:spacing w:after="0" w:line="204" w:lineRule="exact"/>
        <w:rPr>
          <w:sz w:val="20"/>
          <w:szCs w:val="20"/>
          <w:color w:val="auto"/>
        </w:rPr>
      </w:pPr>
    </w:p>
    <w:p>
      <w:pPr>
        <w:ind w:left="2060"/>
        <w:spacing w:after="0"/>
        <w:rPr>
          <w:sz w:val="20"/>
          <w:szCs w:val="20"/>
          <w:color w:val="auto"/>
        </w:rPr>
      </w:pPr>
      <w:r>
        <w:rPr>
          <w:rFonts w:ascii="Arial" w:cs="Arial" w:eastAsia="Arial" w:hAnsi="Arial"/>
          <w:sz w:val="11"/>
          <w:szCs w:val="11"/>
          <w:b w:val="1"/>
          <w:bCs w:val="1"/>
          <w:u w:val="single" w:color="auto"/>
          <w:color w:val="auto"/>
        </w:rPr>
        <w:t>Fourth Amended and Restated Investors’ Rights Agreement</w:t>
      </w:r>
    </w:p>
    <w:p>
      <w:pPr>
        <w:spacing w:after="0" w:line="12" w:lineRule="exact"/>
        <w:rPr>
          <w:sz w:val="20"/>
          <w:szCs w:val="20"/>
          <w:color w:val="auto"/>
        </w:rPr>
      </w:pPr>
    </w:p>
    <w:p>
      <w:pPr>
        <w:jc w:val="both"/>
        <w:ind w:left="2060" w:right="839"/>
        <w:spacing w:after="0" w:line="241" w:lineRule="auto"/>
        <w:rPr>
          <w:sz w:val="20"/>
          <w:szCs w:val="20"/>
          <w:color w:val="auto"/>
        </w:rPr>
      </w:pPr>
      <w:r>
        <w:rPr>
          <w:rFonts w:ascii="Arial" w:cs="Arial" w:eastAsia="Arial" w:hAnsi="Arial"/>
          <w:sz w:val="11"/>
          <w:szCs w:val="11"/>
          <w:color w:val="050505"/>
        </w:rPr>
        <w:t>In April 2019, we entered into our fourth amended and restated investors’ rights agreement with certain holders of our redeemable convertible preferred stock, including entities with which certain of our executive officers and directors are affiliated. These stockholders are entitled to rights with respect to the registration of their shares following this offering. For a description of these registration rights, see the section titled “Description of Capital Stock— Registration Rights.”</w:t>
      </w:r>
    </w:p>
    <w:p>
      <w:pPr>
        <w:spacing w:after="0" w:line="201" w:lineRule="exact"/>
        <w:rPr>
          <w:sz w:val="20"/>
          <w:szCs w:val="20"/>
          <w:color w:val="auto"/>
        </w:rPr>
      </w:pPr>
    </w:p>
    <w:p>
      <w:pPr>
        <w:ind w:left="2060"/>
        <w:spacing w:after="0"/>
        <w:rPr>
          <w:sz w:val="20"/>
          <w:szCs w:val="20"/>
          <w:color w:val="auto"/>
        </w:rPr>
      </w:pPr>
      <w:r>
        <w:rPr>
          <w:rFonts w:ascii="Arial" w:cs="Arial" w:eastAsia="Arial" w:hAnsi="Arial"/>
          <w:sz w:val="11"/>
          <w:szCs w:val="11"/>
          <w:b w:val="1"/>
          <w:bCs w:val="1"/>
          <w:u w:val="single" w:color="auto"/>
          <w:color w:val="auto"/>
        </w:rPr>
        <w:t>Loan to Executive Officer</w:t>
      </w:r>
    </w:p>
    <w:p>
      <w:pPr>
        <w:spacing w:after="0" w:line="12" w:lineRule="exact"/>
        <w:rPr>
          <w:sz w:val="20"/>
          <w:szCs w:val="20"/>
          <w:color w:val="auto"/>
        </w:rPr>
      </w:pPr>
    </w:p>
    <w:p>
      <w:pPr>
        <w:jc w:val="both"/>
        <w:ind w:left="2060" w:right="839"/>
        <w:spacing w:after="0" w:line="242" w:lineRule="auto"/>
        <w:rPr>
          <w:sz w:val="20"/>
          <w:szCs w:val="20"/>
          <w:color w:val="auto"/>
        </w:rPr>
      </w:pPr>
      <w:r>
        <w:rPr>
          <w:rFonts w:ascii="Arial" w:cs="Arial" w:eastAsia="Arial" w:hAnsi="Arial"/>
          <w:sz w:val="11"/>
          <w:szCs w:val="11"/>
          <w:color w:val="050505"/>
        </w:rPr>
        <w:t>In June 2019, we remitted $4.4 million to the U.S. Internal Revenue Service on behalf of William Lynch, our President, in connection with his exercise of non-qualified stock options to purchase 900,000 shares of Class B common stock. Mr. Lynch repaid the full amount of the tax remittance to us in July 2019.</w:t>
      </w:r>
    </w:p>
    <w:p>
      <w:pPr>
        <w:spacing w:after="0" w:line="200" w:lineRule="exact"/>
        <w:rPr>
          <w:sz w:val="20"/>
          <w:szCs w:val="20"/>
          <w:color w:val="auto"/>
        </w:rPr>
      </w:pPr>
    </w:p>
    <w:p>
      <w:pPr>
        <w:ind w:left="2060"/>
        <w:spacing w:after="0"/>
        <w:rPr>
          <w:sz w:val="20"/>
          <w:szCs w:val="20"/>
          <w:color w:val="auto"/>
        </w:rPr>
      </w:pPr>
      <w:r>
        <w:rPr>
          <w:rFonts w:ascii="Arial" w:cs="Arial" w:eastAsia="Arial" w:hAnsi="Arial"/>
          <w:sz w:val="11"/>
          <w:szCs w:val="11"/>
          <w:b w:val="1"/>
          <w:bCs w:val="1"/>
          <w:u w:val="single" w:color="auto"/>
          <w:color w:val="auto"/>
        </w:rPr>
        <w:t>Indemnification Agreements</w:t>
      </w:r>
    </w:p>
    <w:p>
      <w:pPr>
        <w:spacing w:after="0" w:line="12" w:lineRule="exact"/>
        <w:rPr>
          <w:sz w:val="20"/>
          <w:szCs w:val="20"/>
          <w:color w:val="auto"/>
        </w:rPr>
      </w:pPr>
    </w:p>
    <w:p>
      <w:pPr>
        <w:jc w:val="both"/>
        <w:ind w:left="2060" w:right="839"/>
        <w:spacing w:after="0"/>
        <w:rPr>
          <w:sz w:val="20"/>
          <w:szCs w:val="20"/>
          <w:color w:val="auto"/>
        </w:rPr>
      </w:pPr>
      <w:r>
        <w:rPr>
          <w:rFonts w:ascii="Arial" w:cs="Arial" w:eastAsia="Arial" w:hAnsi="Arial"/>
          <w:sz w:val="11"/>
          <w:szCs w:val="11"/>
          <w:color w:val="050505"/>
        </w:rPr>
        <w:t>We have entered into, and plan on entering into, indemnification agreements with each of our directors and executive officers. The indemnification agreements, our restated certificate of incorporation, and our restated bylaws, which will become effective upon the completion of this offering, will require us to indemnify our directors to the fullest extent not prohibited by Delaware law. Subject to certain limitations, our restated bylaws also require us to advance expenses incurred by our directors and officers. For more information regarding these agreements, see the section titled “Executive Compensation—Limitation of Liability and Indemnification of Directors and Officers.”</w:t>
      </w:r>
    </w:p>
    <w:p>
      <w:pPr>
        <w:spacing w:after="0" w:line="202" w:lineRule="exact"/>
        <w:rPr>
          <w:sz w:val="20"/>
          <w:szCs w:val="20"/>
          <w:color w:val="auto"/>
        </w:rPr>
      </w:pPr>
    </w:p>
    <w:p>
      <w:pPr>
        <w:ind w:left="2060"/>
        <w:spacing w:after="0"/>
        <w:rPr>
          <w:sz w:val="20"/>
          <w:szCs w:val="20"/>
          <w:color w:val="auto"/>
        </w:rPr>
      </w:pPr>
      <w:r>
        <w:rPr>
          <w:rFonts w:ascii="Arial" w:cs="Arial" w:eastAsia="Arial" w:hAnsi="Arial"/>
          <w:sz w:val="11"/>
          <w:szCs w:val="11"/>
          <w:b w:val="1"/>
          <w:bCs w:val="1"/>
          <w:u w:val="single" w:color="auto"/>
          <w:color w:val="auto"/>
        </w:rPr>
        <w:t>Review, Approval, or Ratification of Transactions with Related Parties</w:t>
      </w:r>
    </w:p>
    <w:p>
      <w:pPr>
        <w:spacing w:after="0" w:line="12" w:lineRule="exact"/>
        <w:rPr>
          <w:sz w:val="20"/>
          <w:szCs w:val="20"/>
          <w:color w:val="auto"/>
        </w:rPr>
      </w:pPr>
    </w:p>
    <w:p>
      <w:pPr>
        <w:jc w:val="both"/>
        <w:ind w:left="2060" w:right="839"/>
        <w:spacing w:after="0"/>
        <w:rPr>
          <w:sz w:val="20"/>
          <w:szCs w:val="20"/>
          <w:color w:val="auto"/>
        </w:rPr>
      </w:pPr>
      <w:r>
        <w:rPr>
          <w:rFonts w:ascii="Arial" w:cs="Arial" w:eastAsia="Arial" w:hAnsi="Arial"/>
          <w:sz w:val="11"/>
          <w:szCs w:val="11"/>
          <w:color w:val="050505"/>
        </w:rPr>
        <w:t>Our written related party transactions policy and the charters of our audit committee and nominating, governance, and corporate responsibility committee, to be adopted by our board of directors and in effect upon the completion of this offering, require that any transaction with a related person that must be reported under applicable rules of the SEC must be reviewed and approved or ratified by our audit committee, unless the related party is, or is associated with, a member of that committee, in which event the transaction must be reviewed and approved by our nominating, governance, and corporate responsibility committee.</w:t>
      </w:r>
    </w:p>
    <w:p>
      <w:pPr>
        <w:spacing w:after="0" w:line="142" w:lineRule="exact"/>
        <w:rPr>
          <w:sz w:val="20"/>
          <w:szCs w:val="20"/>
          <w:color w:val="auto"/>
        </w:rPr>
      </w:pPr>
    </w:p>
    <w:p>
      <w:pPr>
        <w:jc w:val="both"/>
        <w:ind w:left="2060" w:right="839"/>
        <w:spacing w:after="0" w:line="242" w:lineRule="auto"/>
        <w:rPr>
          <w:sz w:val="20"/>
          <w:szCs w:val="20"/>
          <w:color w:val="auto"/>
        </w:rPr>
      </w:pPr>
      <w:r>
        <w:rPr>
          <w:rFonts w:ascii="Arial" w:cs="Arial" w:eastAsia="Arial" w:hAnsi="Arial"/>
          <w:sz w:val="11"/>
          <w:szCs w:val="11"/>
          <w:color w:val="050505"/>
        </w:rPr>
        <w:t>Prior to this offering we had no formal, written policy or procedure for the review and approval of related party transactions. However, our practice has been to have all related party transactions reviewed and approved by a majority of the disinterested members of our board of directors, including the transactions described above.</w:t>
      </w:r>
    </w:p>
    <w:p>
      <w:pPr>
        <w:spacing w:after="0" w:line="95" w:lineRule="exact"/>
        <w:rPr>
          <w:sz w:val="20"/>
          <w:szCs w:val="20"/>
          <w:color w:val="auto"/>
        </w:rPr>
      </w:pPr>
    </w:p>
    <w:p>
      <w:pPr>
        <w:ind w:left="5640"/>
        <w:spacing w:after="0"/>
        <w:rPr>
          <w:sz w:val="20"/>
          <w:szCs w:val="20"/>
          <w:color w:val="auto"/>
        </w:rPr>
      </w:pPr>
      <w:r>
        <w:rPr>
          <w:rFonts w:ascii="Arial" w:cs="Arial" w:eastAsia="Arial" w:hAnsi="Arial"/>
          <w:sz w:val="11"/>
          <w:szCs w:val="11"/>
          <w:color w:val="050505"/>
        </w:rPr>
        <w:t>132</w:t>
      </w:r>
    </w:p>
    <w:p>
      <w:pPr>
        <w:sectPr>
          <w:pgSz w:w="11900" w:h="16838" w:orient="portrait"/>
          <w:cols w:equalWidth="0" w:num="1">
            <w:col w:w="10239"/>
          </w:cols>
          <w:pgMar w:left="220" w:top="354" w:right="1440" w:bottom="1440" w:gutter="0" w:footer="0" w:header="0"/>
        </w:sectPr>
      </w:pPr>
    </w:p>
    <w:bookmarkStart w:id="142" w:name="page143"/>
    <w:bookmarkEnd w:id="142"/>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hyperlink w:anchor="page5">
        <w:r>
          <w:rPr>
            <w:rFonts w:ascii="Arial" w:cs="Arial" w:eastAsia="Arial" w:hAnsi="Arial"/>
            <w:sz w:val="12"/>
            <w:szCs w:val="12"/>
            <w:b w:val="1"/>
            <w:bCs w:val="1"/>
            <w:u w:val="single" w:color="auto"/>
            <w:color w:val="0000EE"/>
          </w:rPr>
          <w:t>Table of Contents</w:t>
        </w:r>
      </w:hyperlink>
    </w:p>
    <w:p>
      <w:pPr>
        <w:spacing w:after="0" w:line="200" w:lineRule="exact"/>
        <w:rPr>
          <w:sz w:val="20"/>
          <w:szCs w:val="20"/>
          <w:color w:val="auto"/>
        </w:rPr>
      </w:pPr>
    </w:p>
    <w:p>
      <w:pPr>
        <w:jc w:val="center"/>
        <w:ind w:right="-1220"/>
        <w:spacing w:after="0"/>
        <w:rPr>
          <w:sz w:val="20"/>
          <w:szCs w:val="20"/>
          <w:color w:val="auto"/>
        </w:rPr>
      </w:pPr>
      <w:r>
        <w:rPr>
          <w:rFonts w:ascii="Arial" w:cs="Arial" w:eastAsia="Arial" w:hAnsi="Arial"/>
          <w:sz w:val="12"/>
          <w:szCs w:val="12"/>
          <w:b w:val="1"/>
          <w:bCs w:val="1"/>
          <w:color w:val="auto"/>
        </w:rPr>
        <w:t>PRINCIPAL STOCKHOLDERS</w:t>
      </w:r>
    </w:p>
    <w:p>
      <w:pPr>
        <w:spacing w:after="0" w:line="157" w:lineRule="exact"/>
        <w:rPr>
          <w:sz w:val="20"/>
          <w:szCs w:val="20"/>
          <w:color w:val="auto"/>
        </w:rPr>
      </w:pPr>
    </w:p>
    <w:p>
      <w:pPr>
        <w:jc w:val="both"/>
        <w:ind w:left="2060" w:right="839"/>
        <w:spacing w:after="0" w:line="242" w:lineRule="auto"/>
        <w:rPr>
          <w:sz w:val="20"/>
          <w:szCs w:val="20"/>
          <w:color w:val="auto"/>
        </w:rPr>
      </w:pPr>
      <w:r>
        <w:rPr>
          <w:rFonts w:ascii="Arial" w:cs="Arial" w:eastAsia="Arial" w:hAnsi="Arial"/>
          <w:sz w:val="11"/>
          <w:szCs w:val="11"/>
          <w:color w:val="050505"/>
        </w:rPr>
        <w:t>The following table presents certain information with respect to the beneficial ownership of our common stock as of August 31, 2019, and as adjusted to reflect the sale of Class A common stock offered in this offering and the private placement, and assuming no exercise of the underwriters’ option to purchase additional shares of our Class A common stock, by:</w:t>
      </w:r>
    </w:p>
    <w:p>
      <w:pPr>
        <w:spacing w:after="0" w:line="158" w:lineRule="exact"/>
        <w:rPr>
          <w:sz w:val="20"/>
          <w:szCs w:val="20"/>
          <w:color w:val="auto"/>
        </w:rPr>
      </w:pPr>
    </w:p>
    <w:p>
      <w:pPr>
        <w:ind w:left="2420" w:hanging="217"/>
        <w:spacing w:after="0"/>
        <w:tabs>
          <w:tab w:leader="none" w:pos="2420" w:val="left"/>
        </w:tabs>
        <w:numPr>
          <w:ilvl w:val="0"/>
          <w:numId w:val="92"/>
        </w:numPr>
        <w:rPr>
          <w:rFonts w:ascii="Arial" w:cs="Arial" w:eastAsia="Arial" w:hAnsi="Arial"/>
          <w:sz w:val="11"/>
          <w:szCs w:val="11"/>
          <w:color w:val="F7323F"/>
        </w:rPr>
      </w:pPr>
      <w:r>
        <w:rPr>
          <w:rFonts w:ascii="Arial" w:cs="Arial" w:eastAsia="Arial" w:hAnsi="Arial"/>
          <w:sz w:val="11"/>
          <w:szCs w:val="11"/>
          <w:color w:val="050505"/>
        </w:rPr>
        <w:t>each of our directors;</w:t>
      </w:r>
    </w:p>
    <w:p>
      <w:pPr>
        <w:spacing w:after="0" w:line="44" w:lineRule="exact"/>
        <w:rPr>
          <w:rFonts w:ascii="Arial" w:cs="Arial" w:eastAsia="Arial" w:hAnsi="Arial"/>
          <w:sz w:val="11"/>
          <w:szCs w:val="11"/>
          <w:color w:val="F7323F"/>
        </w:rPr>
      </w:pPr>
    </w:p>
    <w:p>
      <w:pPr>
        <w:ind w:left="2420" w:hanging="217"/>
        <w:spacing w:after="0"/>
        <w:tabs>
          <w:tab w:leader="none" w:pos="2420" w:val="left"/>
        </w:tabs>
        <w:numPr>
          <w:ilvl w:val="0"/>
          <w:numId w:val="92"/>
        </w:numPr>
        <w:rPr>
          <w:rFonts w:ascii="Arial" w:cs="Arial" w:eastAsia="Arial" w:hAnsi="Arial"/>
          <w:sz w:val="11"/>
          <w:szCs w:val="11"/>
          <w:color w:val="F7323F"/>
        </w:rPr>
      </w:pPr>
      <w:r>
        <w:rPr>
          <w:rFonts w:ascii="Arial" w:cs="Arial" w:eastAsia="Arial" w:hAnsi="Arial"/>
          <w:sz w:val="11"/>
          <w:szCs w:val="11"/>
          <w:color w:val="050505"/>
        </w:rPr>
        <w:t>each of our Named Executive Officers;</w:t>
      </w:r>
    </w:p>
    <w:p>
      <w:pPr>
        <w:spacing w:after="0" w:line="44" w:lineRule="exact"/>
        <w:rPr>
          <w:rFonts w:ascii="Arial" w:cs="Arial" w:eastAsia="Arial" w:hAnsi="Arial"/>
          <w:sz w:val="11"/>
          <w:szCs w:val="11"/>
          <w:color w:val="F7323F"/>
        </w:rPr>
      </w:pPr>
    </w:p>
    <w:p>
      <w:pPr>
        <w:ind w:left="2420" w:hanging="217"/>
        <w:spacing w:after="0"/>
        <w:tabs>
          <w:tab w:leader="none" w:pos="2420" w:val="left"/>
        </w:tabs>
        <w:numPr>
          <w:ilvl w:val="0"/>
          <w:numId w:val="92"/>
        </w:numPr>
        <w:rPr>
          <w:rFonts w:ascii="Arial" w:cs="Arial" w:eastAsia="Arial" w:hAnsi="Arial"/>
          <w:sz w:val="11"/>
          <w:szCs w:val="11"/>
          <w:color w:val="F7323F"/>
        </w:rPr>
      </w:pPr>
      <w:r>
        <w:rPr>
          <w:rFonts w:ascii="Arial" w:cs="Arial" w:eastAsia="Arial" w:hAnsi="Arial"/>
          <w:sz w:val="11"/>
          <w:szCs w:val="11"/>
          <w:color w:val="050505"/>
        </w:rPr>
        <w:t>all of our directors and executive officers as a group; and</w:t>
      </w:r>
    </w:p>
    <w:p>
      <w:pPr>
        <w:spacing w:after="0" w:line="44" w:lineRule="exact"/>
        <w:rPr>
          <w:rFonts w:ascii="Arial" w:cs="Arial" w:eastAsia="Arial" w:hAnsi="Arial"/>
          <w:sz w:val="11"/>
          <w:szCs w:val="11"/>
          <w:color w:val="F7323F"/>
        </w:rPr>
      </w:pPr>
    </w:p>
    <w:p>
      <w:pPr>
        <w:ind w:left="2420" w:hanging="217"/>
        <w:spacing w:after="0"/>
        <w:tabs>
          <w:tab w:leader="none" w:pos="2420" w:val="left"/>
        </w:tabs>
        <w:numPr>
          <w:ilvl w:val="0"/>
          <w:numId w:val="92"/>
        </w:numPr>
        <w:rPr>
          <w:rFonts w:ascii="Arial" w:cs="Arial" w:eastAsia="Arial" w:hAnsi="Arial"/>
          <w:sz w:val="11"/>
          <w:szCs w:val="11"/>
          <w:color w:val="F7323F"/>
        </w:rPr>
      </w:pPr>
      <w:r>
        <w:rPr>
          <w:rFonts w:ascii="Arial" w:cs="Arial" w:eastAsia="Arial" w:hAnsi="Arial"/>
          <w:sz w:val="11"/>
          <w:szCs w:val="11"/>
          <w:color w:val="050505"/>
        </w:rPr>
        <w:t>each stockholder known by us to be the beneficial owner of more than 5% of our outstanding shares of Class A or Class B common stock.</w:t>
      </w:r>
    </w:p>
    <w:p>
      <w:pPr>
        <w:spacing w:after="0" w:line="144" w:lineRule="exact"/>
        <w:rPr>
          <w:sz w:val="20"/>
          <w:szCs w:val="20"/>
          <w:color w:val="auto"/>
        </w:rPr>
      </w:pPr>
    </w:p>
    <w:p>
      <w:pPr>
        <w:jc w:val="both"/>
        <w:ind w:left="2060" w:right="839"/>
        <w:spacing w:after="0"/>
        <w:rPr>
          <w:sz w:val="20"/>
          <w:szCs w:val="20"/>
          <w:color w:val="auto"/>
        </w:rPr>
      </w:pPr>
      <w:r>
        <w:rPr>
          <w:rFonts w:ascii="Arial" w:cs="Arial" w:eastAsia="Arial" w:hAnsi="Arial"/>
          <w:sz w:val="11"/>
          <w:szCs w:val="11"/>
          <w:color w:val="050505"/>
        </w:rPr>
        <w:t>We have determined beneficial ownership in accordance with the rules of the SEC. Unless otherwise indicated below, to our knowledge, based on information furnished to us, the persons and entities named in the table have sole voting and investment power with respect to all shares that they beneficially own, subject to applicable community property laws. Shares of our Class B common stock subject to stock options that are currently exercisable or exercisable within 60 days of August 31, 2019 are deemed to be outstanding and to be beneficially owned by the person holding the options for the purpose of computing the percentage ownership of that person but are not treated as outstanding for the purpose of computing the percentage ownership of any other person.</w:t>
      </w:r>
    </w:p>
    <w:p>
      <w:pPr>
        <w:spacing w:after="0" w:line="142" w:lineRule="exact"/>
        <w:rPr>
          <w:sz w:val="20"/>
          <w:szCs w:val="20"/>
          <w:color w:val="auto"/>
        </w:rPr>
      </w:pPr>
    </w:p>
    <w:p>
      <w:pPr>
        <w:jc w:val="both"/>
        <w:ind w:left="2060" w:right="839"/>
        <w:spacing w:after="0"/>
        <w:rPr>
          <w:sz w:val="20"/>
          <w:szCs w:val="20"/>
          <w:color w:val="auto"/>
        </w:rPr>
      </w:pPr>
      <w:r>
        <w:rPr>
          <w:rFonts w:ascii="Arial" w:cs="Arial" w:eastAsia="Arial" w:hAnsi="Arial"/>
          <w:sz w:val="11"/>
          <w:szCs w:val="11"/>
          <w:color w:val="050505"/>
        </w:rPr>
        <w:t>We have based our calculation of the percentage ownership of our common stock before this offering on zero shares of our Class A common stock and 236,129,142 shares of our Class B common stock outstanding on August 31, 2019, which includes 210,640,629 shares of our Class B common stock resulting from the conversion of an equivalent number of outstanding shares of our redeemable convertible preferred stock in connection with this offering, as if this conversion had occurred as of August 31, 2019. Percentage ownership of our common stock after this offering and the private placement also assumes the sale of 43,448,275 shares of our Class A common stock in this offering and the private placement but</w:t>
      </w:r>
    </w:p>
    <w:p>
      <w:pPr>
        <w:spacing w:after="0" w:line="97" w:lineRule="exact"/>
        <w:rPr>
          <w:sz w:val="20"/>
          <w:szCs w:val="20"/>
          <w:color w:val="auto"/>
        </w:rPr>
      </w:pPr>
    </w:p>
    <w:p>
      <w:pPr>
        <w:ind w:left="5640"/>
        <w:spacing w:after="0"/>
        <w:rPr>
          <w:sz w:val="20"/>
          <w:szCs w:val="20"/>
          <w:color w:val="auto"/>
        </w:rPr>
      </w:pPr>
      <w:r>
        <w:rPr>
          <w:rFonts w:ascii="Arial" w:cs="Arial" w:eastAsia="Arial" w:hAnsi="Arial"/>
          <w:sz w:val="11"/>
          <w:szCs w:val="11"/>
          <w:color w:val="050505"/>
        </w:rPr>
        <w:t>133</w:t>
      </w:r>
    </w:p>
    <w:p>
      <w:pPr>
        <w:sectPr>
          <w:pgSz w:w="11900" w:h="16838" w:orient="portrait"/>
          <w:cols w:equalWidth="0" w:num="1">
            <w:col w:w="10239"/>
          </w:cols>
          <w:pgMar w:left="220" w:top="354" w:right="1440" w:bottom="1440" w:gutter="0" w:footer="0" w:header="0"/>
        </w:sectPr>
      </w:pPr>
    </w:p>
    <w:bookmarkStart w:id="143" w:name="page144"/>
    <w:bookmarkEnd w:id="143"/>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hyperlink w:anchor="page5">
        <w:r>
          <w:rPr>
            <w:rFonts w:ascii="Arial" w:cs="Arial" w:eastAsia="Arial" w:hAnsi="Arial"/>
            <w:sz w:val="12"/>
            <w:szCs w:val="12"/>
            <w:b w:val="1"/>
            <w:bCs w:val="1"/>
            <w:u w:val="single" w:color="auto"/>
            <w:color w:val="0000EE"/>
          </w:rPr>
          <w:t>Table of Contents</w:t>
        </w:r>
      </w:hyperlink>
    </w:p>
    <w:p>
      <w:pPr>
        <w:spacing w:after="0" w:line="216" w:lineRule="exact"/>
        <w:rPr>
          <w:sz w:val="20"/>
          <w:szCs w:val="20"/>
          <w:color w:val="auto"/>
        </w:rPr>
      </w:pPr>
    </w:p>
    <w:p>
      <w:pPr>
        <w:jc w:val="both"/>
        <w:ind w:left="2060" w:right="839"/>
        <w:spacing w:after="0" w:line="242" w:lineRule="auto"/>
        <w:rPr>
          <w:sz w:val="20"/>
          <w:szCs w:val="20"/>
          <w:color w:val="auto"/>
        </w:rPr>
      </w:pPr>
      <w:r>
        <w:rPr>
          <w:rFonts w:ascii="Arial" w:cs="Arial" w:eastAsia="Arial" w:hAnsi="Arial"/>
          <w:sz w:val="11"/>
          <w:szCs w:val="11"/>
          <w:color w:val="050505"/>
        </w:rPr>
        <w:t>does not assume the purchase of Class A shares in this offering by Karen Boone and Howard Draft, two of our directors, who have expressed an interest in purchasing shares of our Class A common stock in this offering. Unless otherwise indicated, the address of each beneficial owner in the table below is c/o Peloton Interactive, Inc., 125 West 25th Street, 11th Floor, New York, New York 10001.</w:t>
      </w:r>
    </w:p>
    <w:p>
      <w:pPr>
        <w:spacing w:after="0" w:line="146" w:lineRule="exact"/>
        <w:rPr>
          <w:sz w:val="20"/>
          <w:szCs w:val="20"/>
          <w:color w:val="auto"/>
        </w:rPr>
      </w:pPr>
    </w:p>
    <w:tbl>
      <w:tblPr>
        <w:tblLayout w:type="fixed"/>
        <w:tblInd w:w="2060" w:type="dxa"/>
        <w:tblCellMar>
          <w:top w:w="0" w:type="dxa"/>
          <w:left w:w="0" w:type="dxa"/>
          <w:bottom w:w="0" w:type="dxa"/>
          <w:right w:w="0" w:type="dxa"/>
        </w:tblCellMar>
      </w:tblPr>
      <w:tr>
        <w:trPr>
          <w:trHeight w:val="128"/>
        </w:trPr>
        <w:tc>
          <w:tcPr>
            <w:tcW w:w="134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680" w:type="dxa"/>
            <w:vAlign w:val="bottom"/>
            <w:gridSpan w:val="2"/>
          </w:tcPr>
          <w:p>
            <w:pPr>
              <w:jc w:val="center"/>
              <w:ind w:left="186"/>
              <w:spacing w:after="0"/>
              <w:rPr>
                <w:sz w:val="20"/>
                <w:szCs w:val="20"/>
                <w:color w:val="auto"/>
              </w:rPr>
            </w:pPr>
            <w:r>
              <w:rPr>
                <w:rFonts w:ascii="Arial" w:cs="Arial" w:eastAsia="Arial" w:hAnsi="Arial"/>
                <w:sz w:val="11"/>
                <w:szCs w:val="11"/>
                <w:b w:val="1"/>
                <w:bCs w:val="1"/>
                <w:color w:val="050505"/>
                <w:w w:val="97"/>
              </w:rPr>
              <w:t>Shares</w:t>
            </w: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gridSpan w:val="4"/>
          </w:tcPr>
          <w:p>
            <w:pPr>
              <w:jc w:val="center"/>
              <w:ind w:right="440"/>
              <w:spacing w:after="0"/>
              <w:rPr>
                <w:sz w:val="20"/>
                <w:szCs w:val="20"/>
                <w:color w:val="auto"/>
              </w:rPr>
            </w:pPr>
            <w:r>
              <w:rPr>
                <w:rFonts w:ascii="Arial" w:cs="Arial" w:eastAsia="Arial" w:hAnsi="Arial"/>
                <w:sz w:val="11"/>
                <w:szCs w:val="11"/>
                <w:b w:val="1"/>
                <w:bCs w:val="1"/>
                <w:color w:val="050505"/>
                <w:w w:val="97"/>
              </w:rPr>
              <w:t>Shares</w:t>
            </w: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gridSpan w:val="2"/>
          </w:tcPr>
          <w:p>
            <w:pPr>
              <w:jc w:val="center"/>
              <w:ind w:right="40"/>
              <w:spacing w:after="0"/>
              <w:rPr>
                <w:sz w:val="20"/>
                <w:szCs w:val="20"/>
                <w:color w:val="auto"/>
              </w:rPr>
            </w:pPr>
            <w:r>
              <w:rPr>
                <w:rFonts w:ascii="Arial" w:cs="Arial" w:eastAsia="Arial" w:hAnsi="Arial"/>
                <w:sz w:val="11"/>
                <w:szCs w:val="11"/>
                <w:b w:val="1"/>
                <w:bCs w:val="1"/>
                <w:color w:val="050505"/>
                <w:w w:val="97"/>
              </w:rPr>
              <w:t>% Total</w:t>
            </w:r>
          </w:p>
        </w:tc>
        <w:tc>
          <w:tcPr>
            <w:tcW w:w="0" w:type="dxa"/>
            <w:vAlign w:val="bottom"/>
          </w:tcPr>
          <w:p>
            <w:pPr>
              <w:spacing w:after="0"/>
              <w:rPr>
                <w:sz w:val="1"/>
                <w:szCs w:val="1"/>
                <w:color w:val="auto"/>
              </w:rPr>
            </w:pPr>
          </w:p>
        </w:tc>
      </w:tr>
      <w:tr>
        <w:trPr>
          <w:trHeight w:val="126"/>
        </w:trPr>
        <w:tc>
          <w:tcPr>
            <w:tcW w:w="134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940" w:type="dxa"/>
            <w:vAlign w:val="bottom"/>
            <w:gridSpan w:val="3"/>
          </w:tcPr>
          <w:p>
            <w:pPr>
              <w:jc w:val="center"/>
              <w:spacing w:after="0"/>
              <w:rPr>
                <w:sz w:val="20"/>
                <w:szCs w:val="20"/>
                <w:color w:val="auto"/>
              </w:rPr>
            </w:pPr>
            <w:r>
              <w:rPr>
                <w:rFonts w:ascii="Arial" w:cs="Arial" w:eastAsia="Arial" w:hAnsi="Arial"/>
                <w:sz w:val="11"/>
                <w:szCs w:val="11"/>
                <w:b w:val="1"/>
                <w:bCs w:val="1"/>
                <w:color w:val="050505"/>
                <w:w w:val="98"/>
              </w:rPr>
              <w:t>Beneficially</w:t>
            </w: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80" w:type="dxa"/>
            <w:vAlign w:val="bottom"/>
            <w:gridSpan w:val="4"/>
          </w:tcPr>
          <w:p>
            <w:pPr>
              <w:jc w:val="center"/>
              <w:ind w:right="440"/>
              <w:spacing w:after="0"/>
              <w:rPr>
                <w:sz w:val="20"/>
                <w:szCs w:val="20"/>
                <w:color w:val="auto"/>
              </w:rPr>
            </w:pPr>
            <w:r>
              <w:rPr>
                <w:rFonts w:ascii="Arial" w:cs="Arial" w:eastAsia="Arial" w:hAnsi="Arial"/>
                <w:sz w:val="11"/>
                <w:szCs w:val="11"/>
                <w:b w:val="1"/>
                <w:bCs w:val="1"/>
                <w:color w:val="050505"/>
                <w:w w:val="98"/>
              </w:rPr>
              <w:t>Beneficially</w:t>
            </w: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gridSpan w:val="2"/>
          </w:tcPr>
          <w:p>
            <w:pPr>
              <w:jc w:val="center"/>
              <w:ind w:right="60"/>
              <w:spacing w:after="0"/>
              <w:rPr>
                <w:sz w:val="20"/>
                <w:szCs w:val="20"/>
                <w:color w:val="auto"/>
              </w:rPr>
            </w:pPr>
            <w:r>
              <w:rPr>
                <w:rFonts w:ascii="Arial" w:cs="Arial" w:eastAsia="Arial" w:hAnsi="Arial"/>
                <w:sz w:val="11"/>
                <w:szCs w:val="11"/>
                <w:b w:val="1"/>
                <w:bCs w:val="1"/>
                <w:color w:val="050505"/>
                <w:w w:val="93"/>
              </w:rPr>
              <w:t>Voting</w:t>
            </w:r>
          </w:p>
        </w:tc>
        <w:tc>
          <w:tcPr>
            <w:tcW w:w="0" w:type="dxa"/>
            <w:vAlign w:val="bottom"/>
          </w:tcPr>
          <w:p>
            <w:pPr>
              <w:spacing w:after="0"/>
              <w:rPr>
                <w:sz w:val="1"/>
                <w:szCs w:val="1"/>
                <w:color w:val="auto"/>
              </w:rPr>
            </w:pPr>
          </w:p>
        </w:tc>
      </w:tr>
      <w:tr>
        <w:trPr>
          <w:trHeight w:val="126"/>
        </w:trPr>
        <w:tc>
          <w:tcPr>
            <w:tcW w:w="134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940" w:type="dxa"/>
            <w:vAlign w:val="bottom"/>
            <w:gridSpan w:val="3"/>
          </w:tcPr>
          <w:p>
            <w:pPr>
              <w:jc w:val="center"/>
              <w:spacing w:after="0"/>
              <w:rPr>
                <w:sz w:val="20"/>
                <w:szCs w:val="20"/>
                <w:color w:val="auto"/>
              </w:rPr>
            </w:pPr>
            <w:r>
              <w:rPr>
                <w:rFonts w:ascii="Arial" w:cs="Arial" w:eastAsia="Arial" w:hAnsi="Arial"/>
                <w:sz w:val="11"/>
                <w:szCs w:val="11"/>
                <w:b w:val="1"/>
                <w:bCs w:val="1"/>
                <w:color w:val="050505"/>
                <w:w w:val="99"/>
              </w:rPr>
              <w:t>Owned Before</w:t>
            </w:r>
          </w:p>
        </w:tc>
        <w:tc>
          <w:tcPr>
            <w:tcW w:w="100" w:type="dxa"/>
            <w:vAlign w:val="bottom"/>
          </w:tcPr>
          <w:p>
            <w:pPr>
              <w:spacing w:after="0"/>
              <w:rPr>
                <w:sz w:val="10"/>
                <w:szCs w:val="10"/>
                <w:color w:val="auto"/>
              </w:rPr>
            </w:pPr>
          </w:p>
        </w:tc>
        <w:tc>
          <w:tcPr>
            <w:tcW w:w="64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050505"/>
                <w:w w:val="97"/>
              </w:rPr>
              <w:t>% Total</w:t>
            </w: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80" w:type="dxa"/>
            <w:vAlign w:val="bottom"/>
            <w:gridSpan w:val="4"/>
          </w:tcPr>
          <w:p>
            <w:pPr>
              <w:jc w:val="center"/>
              <w:ind w:right="440"/>
              <w:spacing w:after="0"/>
              <w:rPr>
                <w:sz w:val="20"/>
                <w:szCs w:val="20"/>
                <w:color w:val="auto"/>
              </w:rPr>
            </w:pPr>
            <w:r>
              <w:rPr>
                <w:rFonts w:ascii="Arial" w:cs="Arial" w:eastAsia="Arial" w:hAnsi="Arial"/>
                <w:sz w:val="11"/>
                <w:szCs w:val="11"/>
                <w:b w:val="1"/>
                <w:bCs w:val="1"/>
                <w:color w:val="050505"/>
                <w:w w:val="97"/>
              </w:rPr>
              <w:t>Owned After</w:t>
            </w: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gridSpan w:val="2"/>
          </w:tcPr>
          <w:p>
            <w:pPr>
              <w:jc w:val="center"/>
              <w:ind w:right="60"/>
              <w:spacing w:after="0"/>
              <w:rPr>
                <w:sz w:val="20"/>
                <w:szCs w:val="20"/>
                <w:color w:val="auto"/>
              </w:rPr>
            </w:pPr>
            <w:r>
              <w:rPr>
                <w:rFonts w:ascii="Arial" w:cs="Arial" w:eastAsia="Arial" w:hAnsi="Arial"/>
                <w:sz w:val="11"/>
                <w:szCs w:val="11"/>
                <w:b w:val="1"/>
                <w:bCs w:val="1"/>
                <w:color w:val="050505"/>
                <w:w w:val="96"/>
              </w:rPr>
              <w:t>Power</w:t>
            </w:r>
          </w:p>
        </w:tc>
        <w:tc>
          <w:tcPr>
            <w:tcW w:w="0" w:type="dxa"/>
            <w:vAlign w:val="bottom"/>
          </w:tcPr>
          <w:p>
            <w:pPr>
              <w:spacing w:after="0"/>
              <w:rPr>
                <w:sz w:val="1"/>
                <w:szCs w:val="1"/>
                <w:color w:val="auto"/>
              </w:rPr>
            </w:pPr>
          </w:p>
        </w:tc>
      </w:tr>
      <w:tr>
        <w:trPr>
          <w:trHeight w:val="126"/>
        </w:trPr>
        <w:tc>
          <w:tcPr>
            <w:tcW w:w="134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940" w:type="dxa"/>
            <w:vAlign w:val="bottom"/>
            <w:gridSpan w:val="3"/>
          </w:tcPr>
          <w:p>
            <w:pPr>
              <w:jc w:val="center"/>
              <w:spacing w:after="0"/>
              <w:rPr>
                <w:sz w:val="20"/>
                <w:szCs w:val="20"/>
                <w:color w:val="auto"/>
              </w:rPr>
            </w:pPr>
            <w:r>
              <w:rPr>
                <w:rFonts w:ascii="Arial" w:cs="Arial" w:eastAsia="Arial" w:hAnsi="Arial"/>
                <w:sz w:val="11"/>
                <w:szCs w:val="11"/>
                <w:b w:val="1"/>
                <w:bCs w:val="1"/>
                <w:color w:val="050505"/>
                <w:w w:val="97"/>
              </w:rPr>
              <w:t>this Offering</w:t>
            </w:r>
          </w:p>
        </w:tc>
        <w:tc>
          <w:tcPr>
            <w:tcW w:w="100" w:type="dxa"/>
            <w:vAlign w:val="bottom"/>
          </w:tcPr>
          <w:p>
            <w:pPr>
              <w:spacing w:after="0"/>
              <w:rPr>
                <w:sz w:val="10"/>
                <w:szCs w:val="10"/>
                <w:color w:val="auto"/>
              </w:rPr>
            </w:pPr>
          </w:p>
        </w:tc>
        <w:tc>
          <w:tcPr>
            <w:tcW w:w="64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050505"/>
                <w:w w:val="93"/>
              </w:rPr>
              <w:t>Voting</w:t>
            </w: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80" w:type="dxa"/>
            <w:vAlign w:val="bottom"/>
            <w:gridSpan w:val="4"/>
          </w:tcPr>
          <w:p>
            <w:pPr>
              <w:jc w:val="center"/>
              <w:ind w:right="440"/>
              <w:spacing w:after="0"/>
              <w:rPr>
                <w:sz w:val="20"/>
                <w:szCs w:val="20"/>
                <w:color w:val="auto"/>
              </w:rPr>
            </w:pPr>
            <w:r>
              <w:rPr>
                <w:rFonts w:ascii="Arial" w:cs="Arial" w:eastAsia="Arial" w:hAnsi="Arial"/>
                <w:sz w:val="11"/>
                <w:szCs w:val="11"/>
                <w:b w:val="1"/>
                <w:bCs w:val="1"/>
                <w:color w:val="050505"/>
                <w:w w:val="97"/>
              </w:rPr>
              <w:t>this Offering</w:t>
            </w: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gridSpan w:val="2"/>
          </w:tcPr>
          <w:p>
            <w:pPr>
              <w:jc w:val="center"/>
              <w:ind w:right="40"/>
              <w:spacing w:after="0"/>
              <w:rPr>
                <w:sz w:val="20"/>
                <w:szCs w:val="20"/>
                <w:color w:val="auto"/>
              </w:rPr>
            </w:pPr>
            <w:r>
              <w:rPr>
                <w:rFonts w:ascii="Arial" w:cs="Arial" w:eastAsia="Arial" w:hAnsi="Arial"/>
                <w:sz w:val="11"/>
                <w:szCs w:val="11"/>
                <w:b w:val="1"/>
                <w:bCs w:val="1"/>
                <w:color w:val="050505"/>
              </w:rPr>
              <w:t>After</w:t>
            </w:r>
          </w:p>
        </w:tc>
        <w:tc>
          <w:tcPr>
            <w:tcW w:w="0" w:type="dxa"/>
            <w:vAlign w:val="bottom"/>
          </w:tcPr>
          <w:p>
            <w:pPr>
              <w:spacing w:after="0"/>
              <w:rPr>
                <w:sz w:val="1"/>
                <w:szCs w:val="1"/>
                <w:color w:val="auto"/>
              </w:rPr>
            </w:pPr>
          </w:p>
        </w:tc>
      </w:tr>
      <w:tr>
        <w:trPr>
          <w:trHeight w:val="126"/>
        </w:trPr>
        <w:tc>
          <w:tcPr>
            <w:tcW w:w="134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940" w:type="dxa"/>
            <w:vAlign w:val="bottom"/>
            <w:gridSpan w:val="3"/>
          </w:tcPr>
          <w:p>
            <w:pPr>
              <w:jc w:val="center"/>
              <w:spacing w:after="0"/>
              <w:rPr>
                <w:sz w:val="20"/>
                <w:szCs w:val="20"/>
                <w:color w:val="auto"/>
              </w:rPr>
            </w:pPr>
            <w:r>
              <w:rPr>
                <w:rFonts w:ascii="Arial" w:cs="Arial" w:eastAsia="Arial" w:hAnsi="Arial"/>
                <w:sz w:val="11"/>
                <w:szCs w:val="11"/>
                <w:b w:val="1"/>
                <w:bCs w:val="1"/>
                <w:color w:val="050505"/>
                <w:w w:val="97"/>
              </w:rPr>
              <w:t>and Private</w:t>
            </w:r>
          </w:p>
        </w:tc>
        <w:tc>
          <w:tcPr>
            <w:tcW w:w="100" w:type="dxa"/>
            <w:vAlign w:val="bottom"/>
          </w:tcPr>
          <w:p>
            <w:pPr>
              <w:spacing w:after="0"/>
              <w:rPr>
                <w:sz w:val="10"/>
                <w:szCs w:val="10"/>
                <w:color w:val="auto"/>
              </w:rPr>
            </w:pPr>
          </w:p>
        </w:tc>
        <w:tc>
          <w:tcPr>
            <w:tcW w:w="64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050505"/>
                <w:w w:val="96"/>
              </w:rPr>
              <w:t>Power</w:t>
            </w: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80" w:type="dxa"/>
            <w:vAlign w:val="bottom"/>
            <w:gridSpan w:val="4"/>
          </w:tcPr>
          <w:p>
            <w:pPr>
              <w:jc w:val="center"/>
              <w:ind w:right="420"/>
              <w:spacing w:after="0"/>
              <w:rPr>
                <w:sz w:val="20"/>
                <w:szCs w:val="20"/>
                <w:color w:val="auto"/>
              </w:rPr>
            </w:pPr>
            <w:r>
              <w:rPr>
                <w:rFonts w:ascii="Arial" w:cs="Arial" w:eastAsia="Arial" w:hAnsi="Arial"/>
                <w:sz w:val="11"/>
                <w:szCs w:val="11"/>
                <w:b w:val="1"/>
                <w:bCs w:val="1"/>
                <w:color w:val="050505"/>
                <w:w w:val="97"/>
              </w:rPr>
              <w:t>and Private</w:t>
            </w: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gridSpan w:val="2"/>
          </w:tcPr>
          <w:p>
            <w:pPr>
              <w:jc w:val="center"/>
              <w:ind w:right="60"/>
              <w:spacing w:after="0"/>
              <w:rPr>
                <w:sz w:val="20"/>
                <w:szCs w:val="20"/>
                <w:color w:val="auto"/>
              </w:rPr>
            </w:pPr>
            <w:r>
              <w:rPr>
                <w:rFonts w:ascii="Arial" w:cs="Arial" w:eastAsia="Arial" w:hAnsi="Arial"/>
                <w:sz w:val="11"/>
                <w:szCs w:val="11"/>
                <w:b w:val="1"/>
                <w:bCs w:val="1"/>
                <w:color w:val="050505"/>
              </w:rPr>
              <w:t>this</w:t>
            </w:r>
          </w:p>
        </w:tc>
        <w:tc>
          <w:tcPr>
            <w:tcW w:w="0" w:type="dxa"/>
            <w:vAlign w:val="bottom"/>
          </w:tcPr>
          <w:p>
            <w:pPr>
              <w:spacing w:after="0"/>
              <w:rPr>
                <w:sz w:val="1"/>
                <w:szCs w:val="1"/>
                <w:color w:val="auto"/>
              </w:rPr>
            </w:pPr>
          </w:p>
        </w:tc>
      </w:tr>
      <w:tr>
        <w:trPr>
          <w:trHeight w:val="135"/>
        </w:trPr>
        <w:tc>
          <w:tcPr>
            <w:tcW w:w="134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940" w:type="dxa"/>
            <w:vAlign w:val="bottom"/>
            <w:tcBorders>
              <w:bottom w:val="single" w:sz="8" w:color="auto"/>
            </w:tcBorders>
            <w:gridSpan w:val="3"/>
          </w:tcPr>
          <w:p>
            <w:pPr>
              <w:jc w:val="center"/>
              <w:spacing w:after="0"/>
              <w:rPr>
                <w:sz w:val="20"/>
                <w:szCs w:val="20"/>
                <w:color w:val="auto"/>
              </w:rPr>
            </w:pPr>
            <w:r>
              <w:rPr>
                <w:rFonts w:ascii="Arial" w:cs="Arial" w:eastAsia="Arial" w:hAnsi="Arial"/>
                <w:sz w:val="11"/>
                <w:szCs w:val="11"/>
                <w:b w:val="1"/>
                <w:bCs w:val="1"/>
                <w:color w:val="050505"/>
                <w:w w:val="98"/>
              </w:rPr>
              <w:t>Placement</w:t>
            </w:r>
          </w:p>
        </w:tc>
        <w:tc>
          <w:tcPr>
            <w:tcW w:w="100" w:type="dxa"/>
            <w:vAlign w:val="bottom"/>
          </w:tcPr>
          <w:p>
            <w:pPr>
              <w:spacing w:after="0"/>
              <w:rPr>
                <w:sz w:val="11"/>
                <w:szCs w:val="11"/>
                <w:color w:val="auto"/>
              </w:rPr>
            </w:pPr>
          </w:p>
        </w:tc>
        <w:tc>
          <w:tcPr>
            <w:tcW w:w="64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050505"/>
                <w:w w:val="97"/>
              </w:rPr>
              <w:t>Before</w:t>
            </w:r>
          </w:p>
        </w:tc>
        <w:tc>
          <w:tcPr>
            <w:tcW w:w="6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080" w:type="dxa"/>
            <w:vAlign w:val="bottom"/>
            <w:tcBorders>
              <w:bottom w:val="single" w:sz="8" w:color="auto"/>
            </w:tcBorders>
            <w:gridSpan w:val="4"/>
          </w:tcPr>
          <w:p>
            <w:pPr>
              <w:jc w:val="center"/>
              <w:ind w:right="420"/>
              <w:spacing w:after="0"/>
              <w:rPr>
                <w:sz w:val="20"/>
                <w:szCs w:val="20"/>
                <w:color w:val="auto"/>
              </w:rPr>
            </w:pPr>
            <w:r>
              <w:rPr>
                <w:rFonts w:ascii="Arial" w:cs="Arial" w:eastAsia="Arial" w:hAnsi="Arial"/>
                <w:sz w:val="11"/>
                <w:szCs w:val="11"/>
                <w:b w:val="1"/>
                <w:bCs w:val="1"/>
                <w:color w:val="050505"/>
                <w:w w:val="98"/>
              </w:rPr>
              <w:t>Placement</w:t>
            </w:r>
          </w:p>
        </w:tc>
        <w:tc>
          <w:tcPr>
            <w:tcW w:w="28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gridSpan w:val="2"/>
          </w:tcPr>
          <w:p>
            <w:pPr>
              <w:jc w:val="center"/>
              <w:ind w:right="60"/>
              <w:spacing w:after="0"/>
              <w:rPr>
                <w:sz w:val="20"/>
                <w:szCs w:val="20"/>
                <w:color w:val="auto"/>
              </w:rPr>
            </w:pPr>
            <w:r>
              <w:rPr>
                <w:rFonts w:ascii="Arial" w:cs="Arial" w:eastAsia="Arial" w:hAnsi="Arial"/>
                <w:sz w:val="11"/>
                <w:szCs w:val="11"/>
                <w:b w:val="1"/>
                <w:bCs w:val="1"/>
                <w:color w:val="050505"/>
                <w:w w:val="97"/>
              </w:rPr>
              <w:t>Offering and</w:t>
            </w:r>
          </w:p>
        </w:tc>
        <w:tc>
          <w:tcPr>
            <w:tcW w:w="0" w:type="dxa"/>
            <w:vAlign w:val="bottom"/>
          </w:tcPr>
          <w:p>
            <w:pPr>
              <w:spacing w:after="0"/>
              <w:rPr>
                <w:sz w:val="1"/>
                <w:szCs w:val="1"/>
                <w:color w:val="auto"/>
              </w:rPr>
            </w:pPr>
          </w:p>
        </w:tc>
      </w:tr>
      <w:tr>
        <w:trPr>
          <w:trHeight w:val="115"/>
        </w:trPr>
        <w:tc>
          <w:tcPr>
            <w:tcW w:w="1340" w:type="dxa"/>
            <w:vAlign w:val="bottom"/>
            <w:vMerge w:val="restart"/>
          </w:tcPr>
          <w:p>
            <w:pPr>
              <w:spacing w:after="0"/>
              <w:rPr>
                <w:sz w:val="20"/>
                <w:szCs w:val="20"/>
                <w:color w:val="auto"/>
              </w:rPr>
            </w:pPr>
            <w:r>
              <w:rPr>
                <w:rFonts w:ascii="Arial" w:cs="Arial" w:eastAsia="Arial" w:hAnsi="Arial"/>
                <w:sz w:val="11"/>
                <w:szCs w:val="11"/>
                <w:b w:val="1"/>
                <w:bCs w:val="1"/>
                <w:color w:val="050505"/>
                <w:w w:val="97"/>
              </w:rPr>
              <w:t>Name of Beneficial Owner</w:t>
            </w:r>
          </w:p>
        </w:tc>
        <w:tc>
          <w:tcPr>
            <w:tcW w:w="1480" w:type="dxa"/>
            <w:vAlign w:val="bottom"/>
            <w:vMerge w:val="restart"/>
          </w:tcPr>
          <w:p>
            <w:pPr>
              <w:spacing w:after="0"/>
              <w:rPr>
                <w:sz w:val="10"/>
                <w:szCs w:val="10"/>
                <w:color w:val="auto"/>
              </w:rPr>
            </w:pPr>
          </w:p>
        </w:tc>
        <w:tc>
          <w:tcPr>
            <w:tcW w:w="680" w:type="dxa"/>
            <w:vAlign w:val="bottom"/>
            <w:tcBorders>
              <w:bottom w:val="single" w:sz="8" w:color="auto"/>
            </w:tcBorders>
            <w:gridSpan w:val="2"/>
          </w:tcPr>
          <w:p>
            <w:pPr>
              <w:jc w:val="center"/>
              <w:ind w:left="186"/>
              <w:spacing w:after="0" w:line="115" w:lineRule="exact"/>
              <w:rPr>
                <w:sz w:val="20"/>
                <w:szCs w:val="20"/>
                <w:color w:val="auto"/>
              </w:rPr>
            </w:pPr>
            <w:r>
              <w:rPr>
                <w:rFonts w:ascii="Arial" w:cs="Arial" w:eastAsia="Arial" w:hAnsi="Arial"/>
                <w:sz w:val="11"/>
                <w:szCs w:val="11"/>
                <w:b w:val="1"/>
                <w:bCs w:val="1"/>
                <w:color w:val="050505"/>
                <w:w w:val="99"/>
              </w:rPr>
              <w:t>Class B</w:t>
            </w:r>
          </w:p>
        </w:tc>
        <w:tc>
          <w:tcPr>
            <w:tcW w:w="26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gridSpan w:val="2"/>
          </w:tcPr>
          <w:p>
            <w:pPr>
              <w:jc w:val="center"/>
              <w:ind w:right="120"/>
              <w:spacing w:after="0" w:line="115" w:lineRule="exact"/>
              <w:rPr>
                <w:sz w:val="20"/>
                <w:szCs w:val="20"/>
                <w:color w:val="auto"/>
              </w:rPr>
            </w:pPr>
            <w:r>
              <w:rPr>
                <w:rFonts w:ascii="Arial" w:cs="Arial" w:eastAsia="Arial" w:hAnsi="Arial"/>
                <w:sz w:val="11"/>
                <w:szCs w:val="11"/>
                <w:b w:val="1"/>
                <w:bCs w:val="1"/>
                <w:color w:val="050505"/>
              </w:rPr>
              <w:t>this</w:t>
            </w:r>
          </w:p>
        </w:tc>
        <w:tc>
          <w:tcPr>
            <w:tcW w:w="700" w:type="dxa"/>
            <w:vAlign w:val="bottom"/>
            <w:tcBorders>
              <w:bottom w:val="single" w:sz="8" w:color="auto"/>
            </w:tcBorders>
            <w:gridSpan w:val="2"/>
          </w:tcPr>
          <w:p>
            <w:pPr>
              <w:ind w:left="280"/>
              <w:spacing w:after="0" w:line="115" w:lineRule="exact"/>
              <w:rPr>
                <w:sz w:val="20"/>
                <w:szCs w:val="20"/>
                <w:color w:val="auto"/>
              </w:rPr>
            </w:pPr>
            <w:r>
              <w:rPr>
                <w:rFonts w:ascii="Arial" w:cs="Arial" w:eastAsia="Arial" w:hAnsi="Arial"/>
                <w:sz w:val="11"/>
                <w:szCs w:val="11"/>
                <w:b w:val="1"/>
                <w:bCs w:val="1"/>
                <w:color w:val="050505"/>
                <w:w w:val="99"/>
              </w:rPr>
              <w:t>Class A</w:t>
            </w:r>
          </w:p>
        </w:tc>
        <w:tc>
          <w:tcPr>
            <w:tcW w:w="28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Borders>
              <w:bottom w:val="single" w:sz="8" w:color="auto"/>
            </w:tcBorders>
            <w:gridSpan w:val="2"/>
          </w:tcPr>
          <w:p>
            <w:pPr>
              <w:ind w:left="280"/>
              <w:spacing w:after="0" w:line="115" w:lineRule="exact"/>
              <w:rPr>
                <w:sz w:val="20"/>
                <w:szCs w:val="20"/>
                <w:color w:val="auto"/>
              </w:rPr>
            </w:pPr>
            <w:r>
              <w:rPr>
                <w:rFonts w:ascii="Arial" w:cs="Arial" w:eastAsia="Arial" w:hAnsi="Arial"/>
                <w:sz w:val="11"/>
                <w:szCs w:val="11"/>
                <w:b w:val="1"/>
                <w:bCs w:val="1"/>
                <w:color w:val="050505"/>
                <w:w w:val="99"/>
              </w:rPr>
              <w:t>Class B</w:t>
            </w:r>
          </w:p>
        </w:tc>
        <w:tc>
          <w:tcPr>
            <w:tcW w:w="28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gridSpan w:val="2"/>
          </w:tcPr>
          <w:p>
            <w:pPr>
              <w:jc w:val="center"/>
              <w:ind w:right="60"/>
              <w:spacing w:after="0" w:line="115" w:lineRule="exact"/>
              <w:rPr>
                <w:sz w:val="20"/>
                <w:szCs w:val="20"/>
                <w:color w:val="auto"/>
              </w:rPr>
            </w:pPr>
            <w:r>
              <w:rPr>
                <w:rFonts w:ascii="Arial" w:cs="Arial" w:eastAsia="Arial" w:hAnsi="Arial"/>
                <w:sz w:val="11"/>
                <w:szCs w:val="11"/>
                <w:b w:val="1"/>
                <w:bCs w:val="1"/>
                <w:color w:val="050505"/>
                <w:w w:val="97"/>
              </w:rPr>
              <w:t>Private</w:t>
            </w:r>
          </w:p>
        </w:tc>
        <w:tc>
          <w:tcPr>
            <w:tcW w:w="0" w:type="dxa"/>
            <w:vAlign w:val="bottom"/>
          </w:tcPr>
          <w:p>
            <w:pPr>
              <w:spacing w:after="0"/>
              <w:rPr>
                <w:sz w:val="1"/>
                <w:szCs w:val="1"/>
                <w:color w:val="auto"/>
              </w:rPr>
            </w:pPr>
          </w:p>
        </w:tc>
      </w:tr>
      <w:tr>
        <w:trPr>
          <w:trHeight w:val="126"/>
        </w:trPr>
        <w:tc>
          <w:tcPr>
            <w:tcW w:w="1340" w:type="dxa"/>
            <w:vAlign w:val="bottom"/>
            <w:tcBorders>
              <w:bottom w:val="single" w:sz="8" w:color="auto"/>
            </w:tcBorders>
            <w:vMerge w:val="continue"/>
          </w:tcPr>
          <w:p>
            <w:pPr>
              <w:spacing w:after="0"/>
              <w:rPr>
                <w:sz w:val="10"/>
                <w:szCs w:val="10"/>
                <w:color w:val="auto"/>
              </w:rPr>
            </w:pPr>
          </w:p>
        </w:tc>
        <w:tc>
          <w:tcPr>
            <w:tcW w:w="1480" w:type="dxa"/>
            <w:vAlign w:val="bottom"/>
            <w:vMerge w:val="continue"/>
          </w:tcPr>
          <w:p>
            <w:pPr>
              <w:spacing w:after="0"/>
              <w:rPr>
                <w:sz w:val="10"/>
                <w:szCs w:val="10"/>
                <w:color w:val="auto"/>
              </w:rPr>
            </w:pPr>
          </w:p>
        </w:tc>
        <w:tc>
          <w:tcPr>
            <w:tcW w:w="680" w:type="dxa"/>
            <w:vAlign w:val="bottom"/>
            <w:gridSpan w:val="2"/>
          </w:tcPr>
          <w:p>
            <w:pPr>
              <w:jc w:val="right"/>
              <w:ind w:right="200"/>
              <w:spacing w:after="0" w:line="106" w:lineRule="exact"/>
              <w:rPr>
                <w:sz w:val="20"/>
                <w:szCs w:val="20"/>
                <w:color w:val="auto"/>
              </w:rPr>
            </w:pPr>
            <w:r>
              <w:rPr>
                <w:rFonts w:ascii="Arial" w:cs="Arial" w:eastAsia="Arial" w:hAnsi="Arial"/>
                <w:sz w:val="11"/>
                <w:szCs w:val="11"/>
                <w:b w:val="1"/>
                <w:bCs w:val="1"/>
                <w:color w:val="050505"/>
              </w:rPr>
              <w:t>Shares</w:t>
            </w:r>
          </w:p>
        </w:tc>
        <w:tc>
          <w:tcPr>
            <w:tcW w:w="260" w:type="dxa"/>
            <w:vAlign w:val="bottom"/>
          </w:tcPr>
          <w:p>
            <w:pPr>
              <w:jc w:val="right"/>
              <w:ind w:right="26"/>
              <w:spacing w:after="0" w:line="106" w:lineRule="exact"/>
              <w:rPr>
                <w:sz w:val="20"/>
                <w:szCs w:val="20"/>
                <w:color w:val="auto"/>
              </w:rPr>
            </w:pPr>
            <w:r>
              <w:rPr>
                <w:rFonts w:ascii="Arial" w:cs="Arial" w:eastAsia="Arial" w:hAnsi="Arial"/>
                <w:sz w:val="11"/>
                <w:szCs w:val="11"/>
                <w:b w:val="1"/>
                <w:bCs w:val="1"/>
                <w:color w:val="050505"/>
              </w:rPr>
              <w:t>%</w:t>
            </w:r>
          </w:p>
        </w:tc>
        <w:tc>
          <w:tcPr>
            <w:tcW w:w="740" w:type="dxa"/>
            <w:vAlign w:val="bottom"/>
            <w:gridSpan w:val="3"/>
          </w:tcPr>
          <w:p>
            <w:pPr>
              <w:jc w:val="center"/>
              <w:spacing w:after="0" w:line="106" w:lineRule="exact"/>
              <w:rPr>
                <w:sz w:val="20"/>
                <w:szCs w:val="20"/>
                <w:color w:val="auto"/>
              </w:rPr>
            </w:pPr>
            <w:r>
              <w:rPr>
                <w:rFonts w:ascii="Arial" w:cs="Arial" w:eastAsia="Arial" w:hAnsi="Arial"/>
                <w:sz w:val="8"/>
                <w:szCs w:val="8"/>
                <w:b w:val="1"/>
                <w:bCs w:val="1"/>
                <w:color w:val="050505"/>
              </w:rPr>
              <w:t>Offering</w:t>
            </w:r>
            <w:r>
              <w:rPr>
                <w:rFonts w:ascii="Arial" w:cs="Arial" w:eastAsia="Arial" w:hAnsi="Arial"/>
                <w:sz w:val="12"/>
                <w:szCs w:val="12"/>
                <w:b w:val="1"/>
                <w:bCs w:val="1"/>
                <w:color w:val="050505"/>
                <w:vertAlign w:val="superscript"/>
              </w:rPr>
              <w:t>(1)</w:t>
            </w:r>
          </w:p>
        </w:tc>
        <w:tc>
          <w:tcPr>
            <w:tcW w:w="700" w:type="dxa"/>
            <w:vAlign w:val="bottom"/>
            <w:gridSpan w:val="2"/>
          </w:tcPr>
          <w:p>
            <w:pPr>
              <w:ind w:left="120"/>
              <w:spacing w:after="0" w:line="106" w:lineRule="exact"/>
              <w:rPr>
                <w:sz w:val="20"/>
                <w:szCs w:val="20"/>
                <w:color w:val="auto"/>
              </w:rPr>
            </w:pPr>
            <w:r>
              <w:rPr>
                <w:rFonts w:ascii="Arial" w:cs="Arial" w:eastAsia="Arial" w:hAnsi="Arial"/>
                <w:sz w:val="11"/>
                <w:szCs w:val="11"/>
                <w:b w:val="1"/>
                <w:bCs w:val="1"/>
                <w:color w:val="050505"/>
              </w:rPr>
              <w:t>Shares</w:t>
            </w:r>
          </w:p>
        </w:tc>
        <w:tc>
          <w:tcPr>
            <w:tcW w:w="280" w:type="dxa"/>
            <w:vAlign w:val="bottom"/>
          </w:tcPr>
          <w:p>
            <w:pPr>
              <w:jc w:val="right"/>
              <w:ind w:right="46"/>
              <w:spacing w:after="0" w:line="106" w:lineRule="exact"/>
              <w:rPr>
                <w:sz w:val="20"/>
                <w:szCs w:val="20"/>
                <w:color w:val="auto"/>
              </w:rPr>
            </w:pPr>
            <w:r>
              <w:rPr>
                <w:rFonts w:ascii="Arial" w:cs="Arial" w:eastAsia="Arial" w:hAnsi="Arial"/>
                <w:sz w:val="11"/>
                <w:szCs w:val="11"/>
                <w:b w:val="1"/>
                <w:bCs w:val="1"/>
                <w:color w:val="050505"/>
              </w:rPr>
              <w:t>%</w:t>
            </w:r>
          </w:p>
        </w:tc>
        <w:tc>
          <w:tcPr>
            <w:tcW w:w="100" w:type="dxa"/>
            <w:vAlign w:val="bottom"/>
          </w:tcPr>
          <w:p>
            <w:pPr>
              <w:spacing w:after="0"/>
              <w:rPr>
                <w:sz w:val="10"/>
                <w:szCs w:val="10"/>
                <w:color w:val="auto"/>
              </w:rPr>
            </w:pPr>
          </w:p>
        </w:tc>
        <w:tc>
          <w:tcPr>
            <w:tcW w:w="700" w:type="dxa"/>
            <w:vAlign w:val="bottom"/>
            <w:gridSpan w:val="2"/>
          </w:tcPr>
          <w:p>
            <w:pPr>
              <w:ind w:left="120"/>
              <w:spacing w:after="0" w:line="106" w:lineRule="exact"/>
              <w:rPr>
                <w:sz w:val="20"/>
                <w:szCs w:val="20"/>
                <w:color w:val="auto"/>
              </w:rPr>
            </w:pPr>
            <w:r>
              <w:rPr>
                <w:rFonts w:ascii="Arial" w:cs="Arial" w:eastAsia="Arial" w:hAnsi="Arial"/>
                <w:sz w:val="11"/>
                <w:szCs w:val="11"/>
                <w:b w:val="1"/>
                <w:bCs w:val="1"/>
                <w:color w:val="050505"/>
              </w:rPr>
              <w:t>Shares</w:t>
            </w:r>
          </w:p>
        </w:tc>
        <w:tc>
          <w:tcPr>
            <w:tcW w:w="280" w:type="dxa"/>
            <w:vAlign w:val="bottom"/>
          </w:tcPr>
          <w:p>
            <w:pPr>
              <w:jc w:val="right"/>
              <w:ind w:right="46"/>
              <w:spacing w:after="0" w:line="106" w:lineRule="exact"/>
              <w:rPr>
                <w:sz w:val="20"/>
                <w:szCs w:val="20"/>
                <w:color w:val="auto"/>
              </w:rPr>
            </w:pPr>
            <w:r>
              <w:rPr>
                <w:rFonts w:ascii="Arial" w:cs="Arial" w:eastAsia="Arial" w:hAnsi="Arial"/>
                <w:sz w:val="11"/>
                <w:szCs w:val="11"/>
                <w:b w:val="1"/>
                <w:bCs w:val="1"/>
                <w:color w:val="050505"/>
              </w:rPr>
              <w:t>%</w:t>
            </w:r>
          </w:p>
        </w:tc>
        <w:tc>
          <w:tcPr>
            <w:tcW w:w="800" w:type="dxa"/>
            <w:vAlign w:val="bottom"/>
            <w:gridSpan w:val="3"/>
          </w:tcPr>
          <w:p>
            <w:pPr>
              <w:jc w:val="center"/>
              <w:ind w:left="7"/>
              <w:spacing w:after="0" w:line="106" w:lineRule="exact"/>
              <w:rPr>
                <w:sz w:val="20"/>
                <w:szCs w:val="20"/>
                <w:color w:val="auto"/>
              </w:rPr>
            </w:pPr>
            <w:r>
              <w:rPr>
                <w:rFonts w:ascii="Arial" w:cs="Arial" w:eastAsia="Arial" w:hAnsi="Arial"/>
                <w:sz w:val="8"/>
                <w:szCs w:val="8"/>
                <w:b w:val="1"/>
                <w:bCs w:val="1"/>
                <w:color w:val="050505"/>
              </w:rPr>
              <w:t>Placement</w:t>
            </w:r>
            <w:r>
              <w:rPr>
                <w:rFonts w:ascii="Arial" w:cs="Arial" w:eastAsia="Arial" w:hAnsi="Arial"/>
                <w:sz w:val="12"/>
                <w:szCs w:val="12"/>
                <w:b w:val="1"/>
                <w:bCs w:val="1"/>
                <w:color w:val="050505"/>
                <w:vertAlign w:val="superscript"/>
              </w:rPr>
              <w:t>(1)</w:t>
            </w:r>
          </w:p>
        </w:tc>
        <w:tc>
          <w:tcPr>
            <w:tcW w:w="0" w:type="dxa"/>
            <w:vAlign w:val="bottom"/>
          </w:tcPr>
          <w:p>
            <w:pPr>
              <w:spacing w:after="0"/>
              <w:rPr>
                <w:sz w:val="1"/>
                <w:szCs w:val="1"/>
                <w:color w:val="auto"/>
              </w:rPr>
            </w:pPr>
          </w:p>
        </w:tc>
      </w:tr>
      <w:tr>
        <w:trPr>
          <w:trHeight w:val="104"/>
        </w:trPr>
        <w:tc>
          <w:tcPr>
            <w:tcW w:w="2820" w:type="dxa"/>
            <w:vAlign w:val="bottom"/>
            <w:tcBorders>
              <w:top w:val="single" w:sz="8" w:color="CCEEFF"/>
            </w:tcBorders>
            <w:gridSpan w:val="2"/>
            <w:shd w:val="clear" w:color="auto" w:fill="CCEEFF"/>
          </w:tcPr>
          <w:p>
            <w:pPr>
              <w:ind w:left="40"/>
              <w:spacing w:after="0" w:line="104" w:lineRule="exact"/>
              <w:rPr>
                <w:sz w:val="20"/>
                <w:szCs w:val="20"/>
                <w:color w:val="auto"/>
              </w:rPr>
            </w:pPr>
            <w:r>
              <w:rPr>
                <w:rFonts w:ascii="Arial" w:cs="Arial" w:eastAsia="Arial" w:hAnsi="Arial"/>
                <w:sz w:val="11"/>
                <w:szCs w:val="11"/>
                <w:b w:val="1"/>
                <w:bCs w:val="1"/>
                <w:color w:val="050505"/>
              </w:rPr>
              <w:t>Named Executive Officers and Directors:</w:t>
            </w:r>
          </w:p>
        </w:tc>
        <w:tc>
          <w:tcPr>
            <w:tcW w:w="58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26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54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60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28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60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28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660" w:type="dxa"/>
            <w:vAlign w:val="bottom"/>
            <w:tcBorders>
              <w:top w:val="single" w:sz="8" w:color="auto"/>
            </w:tcBorders>
            <w:shd w:val="clear" w:color="auto" w:fill="CCEEFF"/>
          </w:tcPr>
          <w:p>
            <w:pPr>
              <w:spacing w:after="0"/>
              <w:rPr>
                <w:sz w:val="9"/>
                <w:szCs w:val="9"/>
                <w:color w:val="auto"/>
              </w:rPr>
            </w:pPr>
          </w:p>
        </w:tc>
        <w:tc>
          <w:tcPr>
            <w:tcW w:w="40" w:type="dxa"/>
            <w:vAlign w:val="bottom"/>
            <w:tcBorders>
              <w:top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2820" w:type="dxa"/>
            <w:vAlign w:val="bottom"/>
            <w:gridSpan w:val="2"/>
          </w:tcPr>
          <w:p>
            <w:pPr>
              <w:ind w:left="40"/>
              <w:spacing w:after="0" w:line="126" w:lineRule="exact"/>
              <w:rPr>
                <w:sz w:val="20"/>
                <w:szCs w:val="20"/>
                <w:color w:val="auto"/>
              </w:rPr>
            </w:pPr>
            <w:r>
              <w:rPr>
                <w:rFonts w:ascii="Arial" w:cs="Arial" w:eastAsia="Arial" w:hAnsi="Arial"/>
                <w:sz w:val="9"/>
                <w:szCs w:val="9"/>
                <w:color w:val="050505"/>
              </w:rPr>
              <w:t>John Foley</w:t>
            </w:r>
            <w:r>
              <w:rPr>
                <w:rFonts w:ascii="Arial" w:cs="Arial" w:eastAsia="Arial" w:hAnsi="Arial"/>
                <w:sz w:val="14"/>
                <w:szCs w:val="14"/>
                <w:color w:val="050505"/>
                <w:vertAlign w:val="superscript"/>
              </w:rPr>
              <w:t>(2)</w:t>
            </w:r>
          </w:p>
        </w:tc>
        <w:tc>
          <w:tcPr>
            <w:tcW w:w="580" w:type="dxa"/>
            <w:vAlign w:val="bottom"/>
          </w:tcPr>
          <w:p>
            <w:pPr>
              <w:jc w:val="right"/>
              <w:spacing w:after="0"/>
              <w:rPr>
                <w:sz w:val="20"/>
                <w:szCs w:val="20"/>
                <w:color w:val="auto"/>
              </w:rPr>
            </w:pPr>
            <w:r>
              <w:rPr>
                <w:rFonts w:ascii="Arial" w:cs="Arial" w:eastAsia="Arial" w:hAnsi="Arial"/>
                <w:sz w:val="11"/>
                <w:szCs w:val="11"/>
                <w:color w:val="050505"/>
              </w:rPr>
              <w:t>15,169,568</w:t>
            </w:r>
          </w:p>
        </w:tc>
        <w:tc>
          <w:tcPr>
            <w:tcW w:w="100" w:type="dxa"/>
            <w:vAlign w:val="bottom"/>
          </w:tcPr>
          <w:p>
            <w:pPr>
              <w:spacing w:after="0"/>
              <w:rPr>
                <w:sz w:val="10"/>
                <w:szCs w:val="10"/>
                <w:color w:val="auto"/>
              </w:rPr>
            </w:pPr>
          </w:p>
        </w:tc>
        <w:tc>
          <w:tcPr>
            <w:tcW w:w="260" w:type="dxa"/>
            <w:vAlign w:val="bottom"/>
          </w:tcPr>
          <w:p>
            <w:pPr>
              <w:jc w:val="right"/>
              <w:spacing w:after="0"/>
              <w:rPr>
                <w:sz w:val="20"/>
                <w:szCs w:val="20"/>
                <w:color w:val="auto"/>
              </w:rPr>
            </w:pPr>
            <w:r>
              <w:rPr>
                <w:rFonts w:ascii="Arial" w:cs="Arial" w:eastAsia="Arial" w:hAnsi="Arial"/>
                <w:sz w:val="11"/>
                <w:szCs w:val="11"/>
                <w:color w:val="050505"/>
              </w:rPr>
              <w:t>6.2</w:t>
            </w:r>
          </w:p>
        </w:tc>
        <w:tc>
          <w:tcPr>
            <w:tcW w:w="640" w:type="dxa"/>
            <w:vAlign w:val="bottom"/>
            <w:gridSpan w:val="2"/>
          </w:tcPr>
          <w:p>
            <w:pPr>
              <w:jc w:val="right"/>
              <w:spacing w:after="0"/>
              <w:rPr>
                <w:sz w:val="20"/>
                <w:szCs w:val="20"/>
                <w:color w:val="auto"/>
              </w:rPr>
            </w:pPr>
            <w:r>
              <w:rPr>
                <w:rFonts w:ascii="Arial" w:cs="Arial" w:eastAsia="Arial" w:hAnsi="Arial"/>
                <w:sz w:val="11"/>
                <w:szCs w:val="11"/>
                <w:color w:val="050505"/>
              </w:rPr>
              <w:t>6.2</w:t>
            </w:r>
          </w:p>
        </w:tc>
        <w:tc>
          <w:tcPr>
            <w:tcW w:w="100" w:type="dxa"/>
            <w:vAlign w:val="bottom"/>
          </w:tcPr>
          <w:p>
            <w:pPr>
              <w:spacing w:after="0"/>
              <w:rPr>
                <w:sz w:val="10"/>
                <w:szCs w:val="10"/>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1"/>
                <w:szCs w:val="11"/>
                <w:color w:val="050505"/>
              </w:rPr>
              <w:t>—</w:t>
            </w:r>
          </w:p>
        </w:tc>
        <w:tc>
          <w:tcPr>
            <w:tcW w:w="380" w:type="dxa"/>
            <w:vAlign w:val="bottom"/>
            <w:gridSpan w:val="2"/>
          </w:tcPr>
          <w:p>
            <w:pPr>
              <w:jc w:val="right"/>
              <w:ind w:right="100"/>
              <w:spacing w:after="0"/>
              <w:rPr>
                <w:sz w:val="20"/>
                <w:szCs w:val="20"/>
                <w:color w:val="auto"/>
              </w:rPr>
            </w:pPr>
            <w:r>
              <w:rPr>
                <w:rFonts w:ascii="Arial" w:cs="Arial" w:eastAsia="Arial" w:hAnsi="Arial"/>
                <w:sz w:val="11"/>
                <w:szCs w:val="11"/>
                <w:color w:val="050505"/>
              </w:rPr>
              <w:t>—</w:t>
            </w:r>
          </w:p>
        </w:tc>
        <w:tc>
          <w:tcPr>
            <w:tcW w:w="600" w:type="dxa"/>
            <w:vAlign w:val="bottom"/>
          </w:tcPr>
          <w:p>
            <w:pPr>
              <w:jc w:val="right"/>
              <w:spacing w:after="0"/>
              <w:rPr>
                <w:sz w:val="20"/>
                <w:szCs w:val="20"/>
                <w:color w:val="auto"/>
              </w:rPr>
            </w:pPr>
            <w:r>
              <w:rPr>
                <w:rFonts w:ascii="Arial" w:cs="Arial" w:eastAsia="Arial" w:hAnsi="Arial"/>
                <w:sz w:val="11"/>
                <w:szCs w:val="11"/>
                <w:color w:val="050505"/>
              </w:rPr>
              <w:t>15,169,568</w:t>
            </w:r>
          </w:p>
        </w:tc>
        <w:tc>
          <w:tcPr>
            <w:tcW w:w="100" w:type="dxa"/>
            <w:vAlign w:val="bottom"/>
          </w:tcPr>
          <w:p>
            <w:pPr>
              <w:spacing w:after="0"/>
              <w:rPr>
                <w:sz w:val="10"/>
                <w:szCs w:val="10"/>
                <w:color w:val="auto"/>
              </w:rPr>
            </w:pPr>
          </w:p>
        </w:tc>
        <w:tc>
          <w:tcPr>
            <w:tcW w:w="280" w:type="dxa"/>
            <w:vAlign w:val="bottom"/>
          </w:tcPr>
          <w:p>
            <w:pPr>
              <w:jc w:val="right"/>
              <w:spacing w:after="0"/>
              <w:rPr>
                <w:sz w:val="20"/>
                <w:szCs w:val="20"/>
                <w:color w:val="auto"/>
              </w:rPr>
            </w:pPr>
            <w:r>
              <w:rPr>
                <w:rFonts w:ascii="Arial" w:cs="Arial" w:eastAsia="Arial" w:hAnsi="Arial"/>
                <w:sz w:val="11"/>
                <w:szCs w:val="11"/>
                <w:color w:val="050505"/>
              </w:rPr>
              <w:t>6.2</w:t>
            </w:r>
          </w:p>
        </w:tc>
        <w:tc>
          <w:tcPr>
            <w:tcW w:w="760" w:type="dxa"/>
            <w:vAlign w:val="bottom"/>
            <w:gridSpan w:val="2"/>
          </w:tcPr>
          <w:p>
            <w:pPr>
              <w:jc w:val="right"/>
              <w:spacing w:after="0"/>
              <w:rPr>
                <w:sz w:val="20"/>
                <w:szCs w:val="20"/>
                <w:color w:val="auto"/>
              </w:rPr>
            </w:pPr>
            <w:r>
              <w:rPr>
                <w:rFonts w:ascii="Arial" w:cs="Arial" w:eastAsia="Arial" w:hAnsi="Arial"/>
                <w:sz w:val="11"/>
                <w:szCs w:val="11"/>
                <w:color w:val="050505"/>
              </w:rPr>
              <w:t>6.1</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820" w:type="dxa"/>
            <w:vAlign w:val="bottom"/>
            <w:gridSpan w:val="2"/>
            <w:shd w:val="clear" w:color="auto" w:fill="CCEEFF"/>
          </w:tcPr>
          <w:p>
            <w:pPr>
              <w:ind w:left="40"/>
              <w:spacing w:after="0" w:line="126" w:lineRule="exact"/>
              <w:rPr>
                <w:sz w:val="20"/>
                <w:szCs w:val="20"/>
                <w:color w:val="auto"/>
              </w:rPr>
            </w:pPr>
            <w:r>
              <w:rPr>
                <w:rFonts w:ascii="Arial" w:cs="Arial" w:eastAsia="Arial" w:hAnsi="Arial"/>
                <w:sz w:val="9"/>
                <w:szCs w:val="9"/>
                <w:color w:val="050505"/>
              </w:rPr>
              <w:t>William Lynch</w:t>
            </w:r>
            <w:r>
              <w:rPr>
                <w:rFonts w:ascii="Arial" w:cs="Arial" w:eastAsia="Arial" w:hAnsi="Arial"/>
                <w:sz w:val="14"/>
                <w:szCs w:val="14"/>
                <w:color w:val="050505"/>
                <w:vertAlign w:val="superscript"/>
              </w:rPr>
              <w:t>(3)</w:t>
            </w:r>
          </w:p>
        </w:tc>
        <w:tc>
          <w:tcPr>
            <w:tcW w:w="580" w:type="dxa"/>
            <w:vAlign w:val="bottom"/>
            <w:shd w:val="clear" w:color="auto" w:fill="CCEEFF"/>
          </w:tcPr>
          <w:p>
            <w:pPr>
              <w:jc w:val="right"/>
              <w:spacing w:after="0"/>
              <w:rPr>
                <w:sz w:val="20"/>
                <w:szCs w:val="20"/>
                <w:color w:val="auto"/>
              </w:rPr>
            </w:pPr>
            <w:r>
              <w:rPr>
                <w:rFonts w:ascii="Arial" w:cs="Arial" w:eastAsia="Arial" w:hAnsi="Arial"/>
                <w:sz w:val="11"/>
                <w:szCs w:val="11"/>
                <w:color w:val="050505"/>
              </w:rPr>
              <w:t>7,502,716</w:t>
            </w:r>
          </w:p>
        </w:tc>
        <w:tc>
          <w:tcPr>
            <w:tcW w:w="100" w:type="dxa"/>
            <w:vAlign w:val="bottom"/>
            <w:shd w:val="clear" w:color="auto" w:fill="CCEEFF"/>
          </w:tcPr>
          <w:p>
            <w:pPr>
              <w:spacing w:after="0"/>
              <w:rPr>
                <w:sz w:val="10"/>
                <w:szCs w:val="10"/>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1"/>
                <w:szCs w:val="11"/>
                <w:color w:val="050505"/>
              </w:rPr>
              <w:t>3.1</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050505"/>
              </w:rPr>
              <w:t>3.1</w:t>
            </w:r>
          </w:p>
        </w:tc>
        <w:tc>
          <w:tcPr>
            <w:tcW w:w="100" w:type="dxa"/>
            <w:vAlign w:val="bottom"/>
            <w:shd w:val="clear" w:color="auto" w:fill="CCEEFF"/>
          </w:tcPr>
          <w:p>
            <w:pPr>
              <w:spacing w:after="0"/>
              <w:rPr>
                <w:sz w:val="10"/>
                <w:szCs w:val="10"/>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050505"/>
              </w:rPr>
              <w:t>—</w:t>
            </w: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050505"/>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1"/>
                <w:szCs w:val="11"/>
                <w:color w:val="050505"/>
              </w:rPr>
              <w:t>7,502,716</w:t>
            </w:r>
          </w:p>
        </w:tc>
        <w:tc>
          <w:tcPr>
            <w:tcW w:w="100" w:type="dxa"/>
            <w:vAlign w:val="bottom"/>
            <w:shd w:val="clear" w:color="auto" w:fill="CCEEFF"/>
          </w:tcPr>
          <w:p>
            <w:pPr>
              <w:spacing w:after="0"/>
              <w:rPr>
                <w:sz w:val="10"/>
                <w:szCs w:val="10"/>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1"/>
                <w:szCs w:val="11"/>
                <w:color w:val="050505"/>
              </w:rPr>
              <w:t>3.1</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050505"/>
              </w:rPr>
              <w:t>3.1</w:t>
            </w: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820" w:type="dxa"/>
            <w:vAlign w:val="bottom"/>
            <w:gridSpan w:val="2"/>
          </w:tcPr>
          <w:p>
            <w:pPr>
              <w:ind w:left="40"/>
              <w:spacing w:after="0" w:line="126" w:lineRule="exact"/>
              <w:rPr>
                <w:sz w:val="20"/>
                <w:szCs w:val="20"/>
                <w:color w:val="auto"/>
              </w:rPr>
            </w:pPr>
            <w:r>
              <w:rPr>
                <w:rFonts w:ascii="Arial" w:cs="Arial" w:eastAsia="Arial" w:hAnsi="Arial"/>
                <w:sz w:val="9"/>
                <w:szCs w:val="9"/>
                <w:color w:val="050505"/>
              </w:rPr>
              <w:t>Jill Woodworth</w:t>
            </w:r>
            <w:r>
              <w:rPr>
                <w:rFonts w:ascii="Arial" w:cs="Arial" w:eastAsia="Arial" w:hAnsi="Arial"/>
                <w:sz w:val="14"/>
                <w:szCs w:val="14"/>
                <w:color w:val="050505"/>
                <w:vertAlign w:val="superscript"/>
              </w:rPr>
              <w:t>(4)</w:t>
            </w:r>
          </w:p>
        </w:tc>
        <w:tc>
          <w:tcPr>
            <w:tcW w:w="580" w:type="dxa"/>
            <w:vAlign w:val="bottom"/>
          </w:tcPr>
          <w:p>
            <w:pPr>
              <w:jc w:val="right"/>
              <w:spacing w:after="0"/>
              <w:rPr>
                <w:sz w:val="20"/>
                <w:szCs w:val="20"/>
                <w:color w:val="auto"/>
              </w:rPr>
            </w:pPr>
            <w:r>
              <w:rPr>
                <w:rFonts w:ascii="Arial" w:cs="Arial" w:eastAsia="Arial" w:hAnsi="Arial"/>
                <w:sz w:val="11"/>
                <w:szCs w:val="11"/>
                <w:color w:val="050505"/>
              </w:rPr>
              <w:t>3,500,000</w:t>
            </w:r>
          </w:p>
        </w:tc>
        <w:tc>
          <w:tcPr>
            <w:tcW w:w="100" w:type="dxa"/>
            <w:vAlign w:val="bottom"/>
          </w:tcPr>
          <w:p>
            <w:pPr>
              <w:spacing w:after="0"/>
              <w:rPr>
                <w:sz w:val="10"/>
                <w:szCs w:val="10"/>
                <w:color w:val="auto"/>
              </w:rPr>
            </w:pPr>
          </w:p>
        </w:tc>
        <w:tc>
          <w:tcPr>
            <w:tcW w:w="260" w:type="dxa"/>
            <w:vAlign w:val="bottom"/>
          </w:tcPr>
          <w:p>
            <w:pPr>
              <w:jc w:val="right"/>
              <w:spacing w:after="0"/>
              <w:rPr>
                <w:sz w:val="20"/>
                <w:szCs w:val="20"/>
                <w:color w:val="auto"/>
              </w:rPr>
            </w:pPr>
            <w:r>
              <w:rPr>
                <w:rFonts w:ascii="Arial" w:cs="Arial" w:eastAsia="Arial" w:hAnsi="Arial"/>
                <w:sz w:val="11"/>
                <w:szCs w:val="11"/>
                <w:color w:val="050505"/>
              </w:rPr>
              <w:t>1.5</w:t>
            </w:r>
          </w:p>
        </w:tc>
        <w:tc>
          <w:tcPr>
            <w:tcW w:w="640" w:type="dxa"/>
            <w:vAlign w:val="bottom"/>
            <w:gridSpan w:val="2"/>
          </w:tcPr>
          <w:p>
            <w:pPr>
              <w:jc w:val="right"/>
              <w:spacing w:after="0"/>
              <w:rPr>
                <w:sz w:val="20"/>
                <w:szCs w:val="20"/>
                <w:color w:val="auto"/>
              </w:rPr>
            </w:pPr>
            <w:r>
              <w:rPr>
                <w:rFonts w:ascii="Arial" w:cs="Arial" w:eastAsia="Arial" w:hAnsi="Arial"/>
                <w:sz w:val="11"/>
                <w:szCs w:val="11"/>
                <w:color w:val="050505"/>
              </w:rPr>
              <w:t>1.5</w:t>
            </w:r>
          </w:p>
        </w:tc>
        <w:tc>
          <w:tcPr>
            <w:tcW w:w="100" w:type="dxa"/>
            <w:vAlign w:val="bottom"/>
          </w:tcPr>
          <w:p>
            <w:pPr>
              <w:spacing w:after="0"/>
              <w:rPr>
                <w:sz w:val="10"/>
                <w:szCs w:val="10"/>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1"/>
                <w:szCs w:val="11"/>
                <w:color w:val="050505"/>
              </w:rPr>
              <w:t>—</w:t>
            </w:r>
          </w:p>
        </w:tc>
        <w:tc>
          <w:tcPr>
            <w:tcW w:w="380" w:type="dxa"/>
            <w:vAlign w:val="bottom"/>
            <w:gridSpan w:val="2"/>
          </w:tcPr>
          <w:p>
            <w:pPr>
              <w:jc w:val="right"/>
              <w:ind w:right="100"/>
              <w:spacing w:after="0"/>
              <w:rPr>
                <w:sz w:val="20"/>
                <w:szCs w:val="20"/>
                <w:color w:val="auto"/>
              </w:rPr>
            </w:pPr>
            <w:r>
              <w:rPr>
                <w:rFonts w:ascii="Arial" w:cs="Arial" w:eastAsia="Arial" w:hAnsi="Arial"/>
                <w:sz w:val="11"/>
                <w:szCs w:val="11"/>
                <w:color w:val="050505"/>
              </w:rPr>
              <w:t>—</w:t>
            </w:r>
          </w:p>
        </w:tc>
        <w:tc>
          <w:tcPr>
            <w:tcW w:w="600" w:type="dxa"/>
            <w:vAlign w:val="bottom"/>
          </w:tcPr>
          <w:p>
            <w:pPr>
              <w:jc w:val="right"/>
              <w:spacing w:after="0"/>
              <w:rPr>
                <w:sz w:val="20"/>
                <w:szCs w:val="20"/>
                <w:color w:val="auto"/>
              </w:rPr>
            </w:pPr>
            <w:r>
              <w:rPr>
                <w:rFonts w:ascii="Arial" w:cs="Arial" w:eastAsia="Arial" w:hAnsi="Arial"/>
                <w:sz w:val="11"/>
                <w:szCs w:val="11"/>
                <w:color w:val="050505"/>
              </w:rPr>
              <w:t>3,500,000</w:t>
            </w:r>
          </w:p>
        </w:tc>
        <w:tc>
          <w:tcPr>
            <w:tcW w:w="100" w:type="dxa"/>
            <w:vAlign w:val="bottom"/>
          </w:tcPr>
          <w:p>
            <w:pPr>
              <w:spacing w:after="0"/>
              <w:rPr>
                <w:sz w:val="10"/>
                <w:szCs w:val="10"/>
                <w:color w:val="auto"/>
              </w:rPr>
            </w:pPr>
          </w:p>
        </w:tc>
        <w:tc>
          <w:tcPr>
            <w:tcW w:w="280" w:type="dxa"/>
            <w:vAlign w:val="bottom"/>
          </w:tcPr>
          <w:p>
            <w:pPr>
              <w:jc w:val="right"/>
              <w:spacing w:after="0"/>
              <w:rPr>
                <w:sz w:val="20"/>
                <w:szCs w:val="20"/>
                <w:color w:val="auto"/>
              </w:rPr>
            </w:pPr>
            <w:r>
              <w:rPr>
                <w:rFonts w:ascii="Arial" w:cs="Arial" w:eastAsia="Arial" w:hAnsi="Arial"/>
                <w:sz w:val="11"/>
                <w:szCs w:val="11"/>
                <w:color w:val="050505"/>
              </w:rPr>
              <w:t>1.5</w:t>
            </w:r>
          </w:p>
        </w:tc>
        <w:tc>
          <w:tcPr>
            <w:tcW w:w="760" w:type="dxa"/>
            <w:vAlign w:val="bottom"/>
            <w:gridSpan w:val="2"/>
          </w:tcPr>
          <w:p>
            <w:pPr>
              <w:jc w:val="right"/>
              <w:spacing w:after="0"/>
              <w:rPr>
                <w:sz w:val="20"/>
                <w:szCs w:val="20"/>
                <w:color w:val="auto"/>
              </w:rPr>
            </w:pPr>
            <w:r>
              <w:rPr>
                <w:rFonts w:ascii="Arial" w:cs="Arial" w:eastAsia="Arial" w:hAnsi="Arial"/>
                <w:sz w:val="11"/>
                <w:szCs w:val="11"/>
                <w:color w:val="050505"/>
              </w:rPr>
              <w:t>1.5</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820" w:type="dxa"/>
            <w:vAlign w:val="bottom"/>
            <w:gridSpan w:val="2"/>
            <w:shd w:val="clear" w:color="auto" w:fill="CCEEFF"/>
          </w:tcPr>
          <w:p>
            <w:pPr>
              <w:ind w:left="40"/>
              <w:spacing w:after="0" w:line="126" w:lineRule="exact"/>
              <w:rPr>
                <w:sz w:val="20"/>
                <w:szCs w:val="20"/>
                <w:color w:val="auto"/>
              </w:rPr>
            </w:pPr>
            <w:r>
              <w:rPr>
                <w:rFonts w:ascii="Arial" w:cs="Arial" w:eastAsia="Arial" w:hAnsi="Arial"/>
                <w:sz w:val="9"/>
                <w:szCs w:val="9"/>
                <w:color w:val="050505"/>
              </w:rPr>
              <w:t>Erik Blachford</w:t>
            </w:r>
            <w:r>
              <w:rPr>
                <w:rFonts w:ascii="Arial" w:cs="Arial" w:eastAsia="Arial" w:hAnsi="Arial"/>
                <w:sz w:val="14"/>
                <w:szCs w:val="14"/>
                <w:color w:val="050505"/>
                <w:vertAlign w:val="superscript"/>
              </w:rPr>
              <w:t>(5)</w:t>
            </w:r>
          </w:p>
        </w:tc>
        <w:tc>
          <w:tcPr>
            <w:tcW w:w="580" w:type="dxa"/>
            <w:vAlign w:val="bottom"/>
            <w:shd w:val="clear" w:color="auto" w:fill="CCEEFF"/>
          </w:tcPr>
          <w:p>
            <w:pPr>
              <w:jc w:val="right"/>
              <w:spacing w:after="0"/>
              <w:rPr>
                <w:sz w:val="20"/>
                <w:szCs w:val="20"/>
                <w:color w:val="auto"/>
              </w:rPr>
            </w:pPr>
            <w:r>
              <w:rPr>
                <w:rFonts w:ascii="Arial" w:cs="Arial" w:eastAsia="Arial" w:hAnsi="Arial"/>
                <w:sz w:val="11"/>
                <w:szCs w:val="11"/>
                <w:color w:val="050505"/>
              </w:rPr>
              <w:t>1,791,044</w:t>
            </w:r>
          </w:p>
        </w:tc>
        <w:tc>
          <w:tcPr>
            <w:tcW w:w="100" w:type="dxa"/>
            <w:vAlign w:val="bottom"/>
            <w:shd w:val="clear" w:color="auto" w:fill="CCEEFF"/>
          </w:tcPr>
          <w:p>
            <w:pPr>
              <w:spacing w:after="0"/>
              <w:rPr>
                <w:sz w:val="10"/>
                <w:szCs w:val="10"/>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1"/>
                <w:szCs w:val="11"/>
                <w:color w:val="050505"/>
              </w:rPr>
              <w:t>*</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050505"/>
              </w:rPr>
              <w:t>*</w:t>
            </w:r>
          </w:p>
        </w:tc>
        <w:tc>
          <w:tcPr>
            <w:tcW w:w="100" w:type="dxa"/>
            <w:vAlign w:val="bottom"/>
            <w:shd w:val="clear" w:color="auto" w:fill="CCEEFF"/>
          </w:tcPr>
          <w:p>
            <w:pPr>
              <w:spacing w:after="0"/>
              <w:rPr>
                <w:sz w:val="10"/>
                <w:szCs w:val="10"/>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050505"/>
              </w:rPr>
              <w:t>—</w:t>
            </w: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050505"/>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1"/>
                <w:szCs w:val="11"/>
                <w:color w:val="050505"/>
              </w:rPr>
              <w:t>1,791,044</w:t>
            </w:r>
          </w:p>
        </w:tc>
        <w:tc>
          <w:tcPr>
            <w:tcW w:w="100" w:type="dxa"/>
            <w:vAlign w:val="bottom"/>
            <w:shd w:val="clear" w:color="auto" w:fill="CCEEFF"/>
          </w:tcPr>
          <w:p>
            <w:pPr>
              <w:spacing w:after="0"/>
              <w:rPr>
                <w:sz w:val="10"/>
                <w:szCs w:val="10"/>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1"/>
                <w:szCs w:val="11"/>
                <w:color w:val="050505"/>
              </w:rPr>
              <w:t>*</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050505"/>
              </w:rPr>
              <w:t>*</w:t>
            </w: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820" w:type="dxa"/>
            <w:vAlign w:val="bottom"/>
            <w:gridSpan w:val="2"/>
          </w:tcPr>
          <w:p>
            <w:pPr>
              <w:ind w:left="40"/>
              <w:spacing w:after="0" w:line="126" w:lineRule="exact"/>
              <w:rPr>
                <w:sz w:val="20"/>
                <w:szCs w:val="20"/>
                <w:color w:val="auto"/>
              </w:rPr>
            </w:pPr>
            <w:r>
              <w:rPr>
                <w:rFonts w:ascii="Arial" w:cs="Arial" w:eastAsia="Arial" w:hAnsi="Arial"/>
                <w:sz w:val="9"/>
                <w:szCs w:val="9"/>
                <w:color w:val="050505"/>
              </w:rPr>
              <w:t>Karen Boone</w:t>
            </w:r>
            <w:r>
              <w:rPr>
                <w:rFonts w:ascii="Arial" w:cs="Arial" w:eastAsia="Arial" w:hAnsi="Arial"/>
                <w:sz w:val="14"/>
                <w:szCs w:val="14"/>
                <w:color w:val="050505"/>
                <w:vertAlign w:val="superscript"/>
              </w:rPr>
              <w:t>(6)</w:t>
            </w:r>
          </w:p>
        </w:tc>
        <w:tc>
          <w:tcPr>
            <w:tcW w:w="580" w:type="dxa"/>
            <w:vAlign w:val="bottom"/>
          </w:tcPr>
          <w:p>
            <w:pPr>
              <w:jc w:val="right"/>
              <w:spacing w:after="0"/>
              <w:rPr>
                <w:sz w:val="20"/>
                <w:szCs w:val="20"/>
                <w:color w:val="auto"/>
              </w:rPr>
            </w:pPr>
            <w:r>
              <w:rPr>
                <w:rFonts w:ascii="Arial" w:cs="Arial" w:eastAsia="Arial" w:hAnsi="Arial"/>
                <w:sz w:val="11"/>
                <w:szCs w:val="11"/>
                <w:color w:val="050505"/>
              </w:rPr>
              <w:t>600,000</w:t>
            </w:r>
          </w:p>
        </w:tc>
        <w:tc>
          <w:tcPr>
            <w:tcW w:w="100" w:type="dxa"/>
            <w:vAlign w:val="bottom"/>
          </w:tcPr>
          <w:p>
            <w:pPr>
              <w:spacing w:after="0"/>
              <w:rPr>
                <w:sz w:val="10"/>
                <w:szCs w:val="10"/>
                <w:color w:val="auto"/>
              </w:rPr>
            </w:pPr>
          </w:p>
        </w:tc>
        <w:tc>
          <w:tcPr>
            <w:tcW w:w="260" w:type="dxa"/>
            <w:vAlign w:val="bottom"/>
          </w:tcPr>
          <w:p>
            <w:pPr>
              <w:jc w:val="right"/>
              <w:spacing w:after="0"/>
              <w:rPr>
                <w:sz w:val="20"/>
                <w:szCs w:val="20"/>
                <w:color w:val="auto"/>
              </w:rPr>
            </w:pPr>
            <w:r>
              <w:rPr>
                <w:rFonts w:ascii="Arial" w:cs="Arial" w:eastAsia="Arial" w:hAnsi="Arial"/>
                <w:sz w:val="11"/>
                <w:szCs w:val="11"/>
                <w:color w:val="050505"/>
              </w:rPr>
              <w:t>*</w:t>
            </w:r>
          </w:p>
        </w:tc>
        <w:tc>
          <w:tcPr>
            <w:tcW w:w="640" w:type="dxa"/>
            <w:vAlign w:val="bottom"/>
            <w:gridSpan w:val="2"/>
          </w:tcPr>
          <w:p>
            <w:pPr>
              <w:jc w:val="right"/>
              <w:spacing w:after="0"/>
              <w:rPr>
                <w:sz w:val="20"/>
                <w:szCs w:val="20"/>
                <w:color w:val="auto"/>
              </w:rPr>
            </w:pPr>
            <w:r>
              <w:rPr>
                <w:rFonts w:ascii="Arial" w:cs="Arial" w:eastAsia="Arial" w:hAnsi="Arial"/>
                <w:sz w:val="11"/>
                <w:szCs w:val="11"/>
                <w:color w:val="050505"/>
              </w:rPr>
              <w:t>*</w:t>
            </w:r>
          </w:p>
        </w:tc>
        <w:tc>
          <w:tcPr>
            <w:tcW w:w="100" w:type="dxa"/>
            <w:vAlign w:val="bottom"/>
          </w:tcPr>
          <w:p>
            <w:pPr>
              <w:spacing w:after="0"/>
              <w:rPr>
                <w:sz w:val="10"/>
                <w:szCs w:val="10"/>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1"/>
                <w:szCs w:val="11"/>
                <w:color w:val="050505"/>
              </w:rPr>
              <w:t>—</w:t>
            </w:r>
          </w:p>
        </w:tc>
        <w:tc>
          <w:tcPr>
            <w:tcW w:w="380" w:type="dxa"/>
            <w:vAlign w:val="bottom"/>
            <w:gridSpan w:val="2"/>
          </w:tcPr>
          <w:p>
            <w:pPr>
              <w:jc w:val="right"/>
              <w:ind w:right="100"/>
              <w:spacing w:after="0"/>
              <w:rPr>
                <w:sz w:val="20"/>
                <w:szCs w:val="20"/>
                <w:color w:val="auto"/>
              </w:rPr>
            </w:pPr>
            <w:r>
              <w:rPr>
                <w:rFonts w:ascii="Arial" w:cs="Arial" w:eastAsia="Arial" w:hAnsi="Arial"/>
                <w:sz w:val="11"/>
                <w:szCs w:val="11"/>
                <w:color w:val="050505"/>
              </w:rPr>
              <w:t>—</w:t>
            </w:r>
          </w:p>
        </w:tc>
        <w:tc>
          <w:tcPr>
            <w:tcW w:w="600" w:type="dxa"/>
            <w:vAlign w:val="bottom"/>
          </w:tcPr>
          <w:p>
            <w:pPr>
              <w:jc w:val="right"/>
              <w:spacing w:after="0"/>
              <w:rPr>
                <w:sz w:val="20"/>
                <w:szCs w:val="20"/>
                <w:color w:val="auto"/>
              </w:rPr>
            </w:pPr>
            <w:r>
              <w:rPr>
                <w:rFonts w:ascii="Arial" w:cs="Arial" w:eastAsia="Arial" w:hAnsi="Arial"/>
                <w:sz w:val="11"/>
                <w:szCs w:val="11"/>
                <w:color w:val="050505"/>
              </w:rPr>
              <w:t>600,000</w:t>
            </w:r>
          </w:p>
        </w:tc>
        <w:tc>
          <w:tcPr>
            <w:tcW w:w="100" w:type="dxa"/>
            <w:vAlign w:val="bottom"/>
          </w:tcPr>
          <w:p>
            <w:pPr>
              <w:spacing w:after="0"/>
              <w:rPr>
                <w:sz w:val="10"/>
                <w:szCs w:val="10"/>
                <w:color w:val="auto"/>
              </w:rPr>
            </w:pPr>
          </w:p>
        </w:tc>
        <w:tc>
          <w:tcPr>
            <w:tcW w:w="280" w:type="dxa"/>
            <w:vAlign w:val="bottom"/>
          </w:tcPr>
          <w:p>
            <w:pPr>
              <w:jc w:val="right"/>
              <w:spacing w:after="0"/>
              <w:rPr>
                <w:sz w:val="20"/>
                <w:szCs w:val="20"/>
                <w:color w:val="auto"/>
              </w:rPr>
            </w:pPr>
            <w:r>
              <w:rPr>
                <w:rFonts w:ascii="Arial" w:cs="Arial" w:eastAsia="Arial" w:hAnsi="Arial"/>
                <w:sz w:val="11"/>
                <w:szCs w:val="11"/>
                <w:color w:val="050505"/>
              </w:rPr>
              <w:t>*</w:t>
            </w:r>
          </w:p>
        </w:tc>
        <w:tc>
          <w:tcPr>
            <w:tcW w:w="760" w:type="dxa"/>
            <w:vAlign w:val="bottom"/>
            <w:gridSpan w:val="2"/>
          </w:tcPr>
          <w:p>
            <w:pPr>
              <w:jc w:val="right"/>
              <w:spacing w:after="0"/>
              <w:rPr>
                <w:sz w:val="20"/>
                <w:szCs w:val="20"/>
                <w:color w:val="auto"/>
              </w:rPr>
            </w:pPr>
            <w:r>
              <w:rPr>
                <w:rFonts w:ascii="Arial" w:cs="Arial" w:eastAsia="Arial" w:hAnsi="Arial"/>
                <w:sz w:val="11"/>
                <w:szCs w:val="11"/>
                <w:color w:val="050505"/>
              </w:rPr>
              <w:t>*</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820" w:type="dxa"/>
            <w:vAlign w:val="bottom"/>
            <w:gridSpan w:val="2"/>
            <w:shd w:val="clear" w:color="auto" w:fill="CCEEFF"/>
          </w:tcPr>
          <w:p>
            <w:pPr>
              <w:ind w:left="40"/>
              <w:spacing w:after="0" w:line="126" w:lineRule="exact"/>
              <w:rPr>
                <w:sz w:val="20"/>
                <w:szCs w:val="20"/>
                <w:color w:val="auto"/>
              </w:rPr>
            </w:pPr>
            <w:r>
              <w:rPr>
                <w:rFonts w:ascii="Arial" w:cs="Arial" w:eastAsia="Arial" w:hAnsi="Arial"/>
                <w:sz w:val="9"/>
                <w:szCs w:val="9"/>
                <w:color w:val="050505"/>
              </w:rPr>
              <w:t>Jon Callaghan</w:t>
            </w:r>
            <w:r>
              <w:rPr>
                <w:rFonts w:ascii="Arial" w:cs="Arial" w:eastAsia="Arial" w:hAnsi="Arial"/>
                <w:sz w:val="14"/>
                <w:szCs w:val="14"/>
                <w:color w:val="050505"/>
                <w:vertAlign w:val="superscript"/>
              </w:rPr>
              <w:t>(7)</w:t>
            </w:r>
          </w:p>
        </w:tc>
        <w:tc>
          <w:tcPr>
            <w:tcW w:w="580" w:type="dxa"/>
            <w:vAlign w:val="bottom"/>
            <w:shd w:val="clear" w:color="auto" w:fill="CCEEFF"/>
          </w:tcPr>
          <w:p>
            <w:pPr>
              <w:jc w:val="right"/>
              <w:spacing w:after="0"/>
              <w:rPr>
                <w:sz w:val="20"/>
                <w:szCs w:val="20"/>
                <w:color w:val="auto"/>
              </w:rPr>
            </w:pPr>
            <w:r>
              <w:rPr>
                <w:rFonts w:ascii="Arial" w:cs="Arial" w:eastAsia="Arial" w:hAnsi="Arial"/>
                <w:sz w:val="11"/>
                <w:szCs w:val="11"/>
                <w:color w:val="050505"/>
              </w:rPr>
              <w:t>28,369,274</w:t>
            </w:r>
          </w:p>
        </w:tc>
        <w:tc>
          <w:tcPr>
            <w:tcW w:w="100" w:type="dxa"/>
            <w:vAlign w:val="bottom"/>
            <w:shd w:val="clear" w:color="auto" w:fill="CCEEFF"/>
          </w:tcPr>
          <w:p>
            <w:pPr>
              <w:spacing w:after="0"/>
              <w:rPr>
                <w:sz w:val="10"/>
                <w:szCs w:val="10"/>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1"/>
                <w:szCs w:val="11"/>
                <w:color w:val="050505"/>
              </w:rPr>
              <w:t>12.0</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050505"/>
              </w:rPr>
              <w:t>12.0</w:t>
            </w:r>
          </w:p>
        </w:tc>
        <w:tc>
          <w:tcPr>
            <w:tcW w:w="100" w:type="dxa"/>
            <w:vAlign w:val="bottom"/>
            <w:shd w:val="clear" w:color="auto" w:fill="CCEEFF"/>
          </w:tcPr>
          <w:p>
            <w:pPr>
              <w:spacing w:after="0"/>
              <w:rPr>
                <w:sz w:val="10"/>
                <w:szCs w:val="10"/>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050505"/>
              </w:rPr>
              <w:t>—</w:t>
            </w: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050505"/>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1"/>
                <w:szCs w:val="11"/>
                <w:color w:val="050505"/>
              </w:rPr>
              <w:t>28,369,274</w:t>
            </w:r>
          </w:p>
        </w:tc>
        <w:tc>
          <w:tcPr>
            <w:tcW w:w="100" w:type="dxa"/>
            <w:vAlign w:val="bottom"/>
            <w:shd w:val="clear" w:color="auto" w:fill="CCEEFF"/>
          </w:tcPr>
          <w:p>
            <w:pPr>
              <w:spacing w:after="0"/>
              <w:rPr>
                <w:sz w:val="10"/>
                <w:szCs w:val="10"/>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1"/>
                <w:szCs w:val="11"/>
                <w:color w:val="050505"/>
              </w:rPr>
              <w:t>12.0</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050505"/>
              </w:rPr>
              <w:t>11.9</w:t>
            </w: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820" w:type="dxa"/>
            <w:vAlign w:val="bottom"/>
            <w:gridSpan w:val="2"/>
          </w:tcPr>
          <w:p>
            <w:pPr>
              <w:ind w:left="40"/>
              <w:spacing w:after="0" w:line="126" w:lineRule="exact"/>
              <w:rPr>
                <w:sz w:val="20"/>
                <w:szCs w:val="20"/>
                <w:color w:val="auto"/>
              </w:rPr>
            </w:pPr>
            <w:r>
              <w:rPr>
                <w:rFonts w:ascii="Arial" w:cs="Arial" w:eastAsia="Arial" w:hAnsi="Arial"/>
                <w:sz w:val="9"/>
                <w:szCs w:val="9"/>
                <w:color w:val="050505"/>
              </w:rPr>
              <w:t>Howard Draft</w:t>
            </w:r>
            <w:r>
              <w:rPr>
                <w:rFonts w:ascii="Arial" w:cs="Arial" w:eastAsia="Arial" w:hAnsi="Arial"/>
                <w:sz w:val="14"/>
                <w:szCs w:val="14"/>
                <w:color w:val="050505"/>
                <w:vertAlign w:val="superscript"/>
              </w:rPr>
              <w:t>(8)</w:t>
            </w:r>
          </w:p>
        </w:tc>
        <w:tc>
          <w:tcPr>
            <w:tcW w:w="580" w:type="dxa"/>
            <w:vAlign w:val="bottom"/>
          </w:tcPr>
          <w:p>
            <w:pPr>
              <w:jc w:val="right"/>
              <w:spacing w:after="0"/>
              <w:rPr>
                <w:sz w:val="20"/>
                <w:szCs w:val="20"/>
                <w:color w:val="auto"/>
              </w:rPr>
            </w:pPr>
            <w:r>
              <w:rPr>
                <w:rFonts w:ascii="Arial" w:cs="Arial" w:eastAsia="Arial" w:hAnsi="Arial"/>
                <w:sz w:val="11"/>
                <w:szCs w:val="11"/>
                <w:color w:val="050505"/>
              </w:rPr>
              <w:t>1,130,724</w:t>
            </w:r>
          </w:p>
        </w:tc>
        <w:tc>
          <w:tcPr>
            <w:tcW w:w="100" w:type="dxa"/>
            <w:vAlign w:val="bottom"/>
          </w:tcPr>
          <w:p>
            <w:pPr>
              <w:spacing w:after="0"/>
              <w:rPr>
                <w:sz w:val="10"/>
                <w:szCs w:val="10"/>
                <w:color w:val="auto"/>
              </w:rPr>
            </w:pPr>
          </w:p>
        </w:tc>
        <w:tc>
          <w:tcPr>
            <w:tcW w:w="260" w:type="dxa"/>
            <w:vAlign w:val="bottom"/>
          </w:tcPr>
          <w:p>
            <w:pPr>
              <w:jc w:val="right"/>
              <w:spacing w:after="0"/>
              <w:rPr>
                <w:sz w:val="20"/>
                <w:szCs w:val="20"/>
                <w:color w:val="auto"/>
              </w:rPr>
            </w:pPr>
            <w:r>
              <w:rPr>
                <w:rFonts w:ascii="Arial" w:cs="Arial" w:eastAsia="Arial" w:hAnsi="Arial"/>
                <w:sz w:val="11"/>
                <w:szCs w:val="11"/>
                <w:color w:val="050505"/>
              </w:rPr>
              <w:t>*</w:t>
            </w:r>
          </w:p>
        </w:tc>
        <w:tc>
          <w:tcPr>
            <w:tcW w:w="640" w:type="dxa"/>
            <w:vAlign w:val="bottom"/>
            <w:gridSpan w:val="2"/>
          </w:tcPr>
          <w:p>
            <w:pPr>
              <w:jc w:val="right"/>
              <w:spacing w:after="0"/>
              <w:rPr>
                <w:sz w:val="20"/>
                <w:szCs w:val="20"/>
                <w:color w:val="auto"/>
              </w:rPr>
            </w:pPr>
            <w:r>
              <w:rPr>
                <w:rFonts w:ascii="Arial" w:cs="Arial" w:eastAsia="Arial" w:hAnsi="Arial"/>
                <w:sz w:val="11"/>
                <w:szCs w:val="11"/>
                <w:color w:val="050505"/>
              </w:rPr>
              <w:t>*</w:t>
            </w:r>
          </w:p>
        </w:tc>
        <w:tc>
          <w:tcPr>
            <w:tcW w:w="100" w:type="dxa"/>
            <w:vAlign w:val="bottom"/>
          </w:tcPr>
          <w:p>
            <w:pPr>
              <w:spacing w:after="0"/>
              <w:rPr>
                <w:sz w:val="10"/>
                <w:szCs w:val="10"/>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1"/>
                <w:szCs w:val="11"/>
                <w:color w:val="050505"/>
              </w:rPr>
              <w:t>—</w:t>
            </w:r>
          </w:p>
        </w:tc>
        <w:tc>
          <w:tcPr>
            <w:tcW w:w="380" w:type="dxa"/>
            <w:vAlign w:val="bottom"/>
            <w:gridSpan w:val="2"/>
          </w:tcPr>
          <w:p>
            <w:pPr>
              <w:jc w:val="right"/>
              <w:ind w:right="100"/>
              <w:spacing w:after="0"/>
              <w:rPr>
                <w:sz w:val="20"/>
                <w:szCs w:val="20"/>
                <w:color w:val="auto"/>
              </w:rPr>
            </w:pPr>
            <w:r>
              <w:rPr>
                <w:rFonts w:ascii="Arial" w:cs="Arial" w:eastAsia="Arial" w:hAnsi="Arial"/>
                <w:sz w:val="11"/>
                <w:szCs w:val="11"/>
                <w:color w:val="050505"/>
              </w:rPr>
              <w:t>—</w:t>
            </w:r>
          </w:p>
        </w:tc>
        <w:tc>
          <w:tcPr>
            <w:tcW w:w="600" w:type="dxa"/>
            <w:vAlign w:val="bottom"/>
          </w:tcPr>
          <w:p>
            <w:pPr>
              <w:jc w:val="right"/>
              <w:spacing w:after="0"/>
              <w:rPr>
                <w:sz w:val="20"/>
                <w:szCs w:val="20"/>
                <w:color w:val="auto"/>
              </w:rPr>
            </w:pPr>
            <w:r>
              <w:rPr>
                <w:rFonts w:ascii="Arial" w:cs="Arial" w:eastAsia="Arial" w:hAnsi="Arial"/>
                <w:sz w:val="11"/>
                <w:szCs w:val="11"/>
                <w:color w:val="050505"/>
              </w:rPr>
              <w:t>1,130,724</w:t>
            </w:r>
          </w:p>
        </w:tc>
        <w:tc>
          <w:tcPr>
            <w:tcW w:w="100" w:type="dxa"/>
            <w:vAlign w:val="bottom"/>
          </w:tcPr>
          <w:p>
            <w:pPr>
              <w:spacing w:after="0"/>
              <w:rPr>
                <w:sz w:val="10"/>
                <w:szCs w:val="10"/>
                <w:color w:val="auto"/>
              </w:rPr>
            </w:pPr>
          </w:p>
        </w:tc>
        <w:tc>
          <w:tcPr>
            <w:tcW w:w="280" w:type="dxa"/>
            <w:vAlign w:val="bottom"/>
          </w:tcPr>
          <w:p>
            <w:pPr>
              <w:jc w:val="right"/>
              <w:spacing w:after="0"/>
              <w:rPr>
                <w:sz w:val="20"/>
                <w:szCs w:val="20"/>
                <w:color w:val="auto"/>
              </w:rPr>
            </w:pPr>
            <w:r>
              <w:rPr>
                <w:rFonts w:ascii="Arial" w:cs="Arial" w:eastAsia="Arial" w:hAnsi="Arial"/>
                <w:sz w:val="11"/>
                <w:szCs w:val="11"/>
                <w:color w:val="050505"/>
              </w:rPr>
              <w:t>*</w:t>
            </w:r>
          </w:p>
        </w:tc>
        <w:tc>
          <w:tcPr>
            <w:tcW w:w="760" w:type="dxa"/>
            <w:vAlign w:val="bottom"/>
            <w:gridSpan w:val="2"/>
          </w:tcPr>
          <w:p>
            <w:pPr>
              <w:jc w:val="right"/>
              <w:spacing w:after="0"/>
              <w:rPr>
                <w:sz w:val="20"/>
                <w:szCs w:val="20"/>
                <w:color w:val="auto"/>
              </w:rPr>
            </w:pPr>
            <w:r>
              <w:rPr>
                <w:rFonts w:ascii="Arial" w:cs="Arial" w:eastAsia="Arial" w:hAnsi="Arial"/>
                <w:sz w:val="11"/>
                <w:szCs w:val="11"/>
                <w:color w:val="050505"/>
              </w:rPr>
              <w:t>*</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820" w:type="dxa"/>
            <w:vAlign w:val="bottom"/>
            <w:gridSpan w:val="2"/>
            <w:shd w:val="clear" w:color="auto" w:fill="CCEEFF"/>
          </w:tcPr>
          <w:p>
            <w:pPr>
              <w:ind w:left="40"/>
              <w:spacing w:after="0" w:line="126" w:lineRule="exact"/>
              <w:rPr>
                <w:sz w:val="20"/>
                <w:szCs w:val="20"/>
                <w:color w:val="auto"/>
              </w:rPr>
            </w:pPr>
            <w:r>
              <w:rPr>
                <w:rFonts w:ascii="Arial" w:cs="Arial" w:eastAsia="Arial" w:hAnsi="Arial"/>
                <w:sz w:val="9"/>
                <w:szCs w:val="9"/>
                <w:color w:val="050505"/>
              </w:rPr>
              <w:t>Jay Hoag</w:t>
            </w:r>
            <w:r>
              <w:rPr>
                <w:rFonts w:ascii="Arial" w:cs="Arial" w:eastAsia="Arial" w:hAnsi="Arial"/>
                <w:sz w:val="14"/>
                <w:szCs w:val="14"/>
                <w:color w:val="050505"/>
                <w:vertAlign w:val="superscript"/>
              </w:rPr>
              <w:t>(9)</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050505"/>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1"/>
                <w:szCs w:val="11"/>
                <w:color w:val="050505"/>
              </w:rPr>
              <w:t>—</w:t>
            </w:r>
          </w:p>
        </w:tc>
        <w:tc>
          <w:tcPr>
            <w:tcW w:w="100" w:type="dxa"/>
            <w:vAlign w:val="bottom"/>
            <w:shd w:val="clear" w:color="auto" w:fill="CCEEFF"/>
          </w:tcPr>
          <w:p>
            <w:pPr>
              <w:spacing w:after="0"/>
              <w:rPr>
                <w:sz w:val="10"/>
                <w:szCs w:val="10"/>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050505"/>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050505"/>
              </w:rPr>
              <w:t>—</w:t>
            </w: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050505"/>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050505"/>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1"/>
                <w:szCs w:val="11"/>
                <w:color w:val="050505"/>
              </w:rPr>
              <w:t>—</w:t>
            </w:r>
          </w:p>
        </w:tc>
        <w:tc>
          <w:tcPr>
            <w:tcW w:w="100" w:type="dxa"/>
            <w:vAlign w:val="bottom"/>
            <w:shd w:val="clear" w:color="auto" w:fill="CCEEFF"/>
          </w:tcPr>
          <w:p>
            <w:pPr>
              <w:spacing w:after="0"/>
              <w:rPr>
                <w:sz w:val="10"/>
                <w:szCs w:val="10"/>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050505"/>
              </w:rPr>
              <w:t>—</w:t>
            </w:r>
          </w:p>
        </w:tc>
        <w:tc>
          <w:tcPr>
            <w:tcW w:w="0" w:type="dxa"/>
            <w:vAlign w:val="bottom"/>
          </w:tcPr>
          <w:p>
            <w:pPr>
              <w:spacing w:after="0"/>
              <w:rPr>
                <w:sz w:val="1"/>
                <w:szCs w:val="1"/>
                <w:color w:val="auto"/>
              </w:rPr>
            </w:pPr>
          </w:p>
        </w:tc>
      </w:tr>
      <w:tr>
        <w:trPr>
          <w:trHeight w:val="126"/>
        </w:trPr>
        <w:tc>
          <w:tcPr>
            <w:tcW w:w="2820" w:type="dxa"/>
            <w:vAlign w:val="bottom"/>
            <w:gridSpan w:val="2"/>
          </w:tcPr>
          <w:p>
            <w:pPr>
              <w:ind w:left="40"/>
              <w:spacing w:after="0" w:line="126" w:lineRule="exact"/>
              <w:rPr>
                <w:sz w:val="20"/>
                <w:szCs w:val="20"/>
                <w:color w:val="auto"/>
              </w:rPr>
            </w:pPr>
            <w:r>
              <w:rPr>
                <w:rFonts w:ascii="Arial" w:cs="Arial" w:eastAsia="Arial" w:hAnsi="Arial"/>
                <w:sz w:val="9"/>
                <w:szCs w:val="9"/>
                <w:color w:val="050505"/>
              </w:rPr>
              <w:t>Pamela Thomas-Graham</w:t>
            </w:r>
            <w:r>
              <w:rPr>
                <w:rFonts w:ascii="Arial" w:cs="Arial" w:eastAsia="Arial" w:hAnsi="Arial"/>
                <w:sz w:val="14"/>
                <w:szCs w:val="14"/>
                <w:color w:val="050505"/>
                <w:vertAlign w:val="superscript"/>
              </w:rPr>
              <w:t>(10)</w:t>
            </w:r>
          </w:p>
        </w:tc>
        <w:tc>
          <w:tcPr>
            <w:tcW w:w="580" w:type="dxa"/>
            <w:vAlign w:val="bottom"/>
          </w:tcPr>
          <w:p>
            <w:pPr>
              <w:jc w:val="right"/>
              <w:spacing w:after="0"/>
              <w:rPr>
                <w:sz w:val="20"/>
                <w:szCs w:val="20"/>
                <w:color w:val="auto"/>
              </w:rPr>
            </w:pPr>
            <w:r>
              <w:rPr>
                <w:rFonts w:ascii="Arial" w:cs="Arial" w:eastAsia="Arial" w:hAnsi="Arial"/>
                <w:sz w:val="11"/>
                <w:szCs w:val="11"/>
                <w:color w:val="050505"/>
              </w:rPr>
              <w:t>600,000</w:t>
            </w:r>
          </w:p>
        </w:tc>
        <w:tc>
          <w:tcPr>
            <w:tcW w:w="100" w:type="dxa"/>
            <w:vAlign w:val="bottom"/>
          </w:tcPr>
          <w:p>
            <w:pPr>
              <w:spacing w:after="0"/>
              <w:rPr>
                <w:sz w:val="10"/>
                <w:szCs w:val="10"/>
                <w:color w:val="auto"/>
              </w:rPr>
            </w:pPr>
          </w:p>
        </w:tc>
        <w:tc>
          <w:tcPr>
            <w:tcW w:w="260" w:type="dxa"/>
            <w:vAlign w:val="bottom"/>
          </w:tcPr>
          <w:p>
            <w:pPr>
              <w:jc w:val="right"/>
              <w:spacing w:after="0"/>
              <w:rPr>
                <w:sz w:val="20"/>
                <w:szCs w:val="20"/>
                <w:color w:val="auto"/>
              </w:rPr>
            </w:pPr>
            <w:r>
              <w:rPr>
                <w:rFonts w:ascii="Arial" w:cs="Arial" w:eastAsia="Arial" w:hAnsi="Arial"/>
                <w:sz w:val="11"/>
                <w:szCs w:val="11"/>
                <w:color w:val="050505"/>
              </w:rPr>
              <w:t>*</w:t>
            </w:r>
          </w:p>
        </w:tc>
        <w:tc>
          <w:tcPr>
            <w:tcW w:w="640" w:type="dxa"/>
            <w:vAlign w:val="bottom"/>
            <w:gridSpan w:val="2"/>
          </w:tcPr>
          <w:p>
            <w:pPr>
              <w:jc w:val="right"/>
              <w:spacing w:after="0"/>
              <w:rPr>
                <w:sz w:val="20"/>
                <w:szCs w:val="20"/>
                <w:color w:val="auto"/>
              </w:rPr>
            </w:pPr>
            <w:r>
              <w:rPr>
                <w:rFonts w:ascii="Arial" w:cs="Arial" w:eastAsia="Arial" w:hAnsi="Arial"/>
                <w:sz w:val="11"/>
                <w:szCs w:val="11"/>
                <w:color w:val="050505"/>
              </w:rPr>
              <w:t>*</w:t>
            </w:r>
          </w:p>
        </w:tc>
        <w:tc>
          <w:tcPr>
            <w:tcW w:w="100" w:type="dxa"/>
            <w:vAlign w:val="bottom"/>
          </w:tcPr>
          <w:p>
            <w:pPr>
              <w:spacing w:after="0"/>
              <w:rPr>
                <w:sz w:val="10"/>
                <w:szCs w:val="10"/>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1"/>
                <w:szCs w:val="11"/>
                <w:color w:val="050505"/>
              </w:rPr>
              <w:t>—</w:t>
            </w:r>
          </w:p>
        </w:tc>
        <w:tc>
          <w:tcPr>
            <w:tcW w:w="380" w:type="dxa"/>
            <w:vAlign w:val="bottom"/>
            <w:gridSpan w:val="2"/>
          </w:tcPr>
          <w:p>
            <w:pPr>
              <w:jc w:val="right"/>
              <w:ind w:right="100"/>
              <w:spacing w:after="0"/>
              <w:rPr>
                <w:sz w:val="20"/>
                <w:szCs w:val="20"/>
                <w:color w:val="auto"/>
              </w:rPr>
            </w:pPr>
            <w:r>
              <w:rPr>
                <w:rFonts w:ascii="Arial" w:cs="Arial" w:eastAsia="Arial" w:hAnsi="Arial"/>
                <w:sz w:val="11"/>
                <w:szCs w:val="11"/>
                <w:color w:val="050505"/>
              </w:rPr>
              <w:t>—</w:t>
            </w:r>
          </w:p>
        </w:tc>
        <w:tc>
          <w:tcPr>
            <w:tcW w:w="600" w:type="dxa"/>
            <w:vAlign w:val="bottom"/>
          </w:tcPr>
          <w:p>
            <w:pPr>
              <w:jc w:val="right"/>
              <w:spacing w:after="0"/>
              <w:rPr>
                <w:sz w:val="20"/>
                <w:szCs w:val="20"/>
                <w:color w:val="auto"/>
              </w:rPr>
            </w:pPr>
            <w:r>
              <w:rPr>
                <w:rFonts w:ascii="Arial" w:cs="Arial" w:eastAsia="Arial" w:hAnsi="Arial"/>
                <w:sz w:val="11"/>
                <w:szCs w:val="11"/>
                <w:color w:val="050505"/>
              </w:rPr>
              <w:t>600,000</w:t>
            </w:r>
          </w:p>
        </w:tc>
        <w:tc>
          <w:tcPr>
            <w:tcW w:w="100" w:type="dxa"/>
            <w:vAlign w:val="bottom"/>
          </w:tcPr>
          <w:p>
            <w:pPr>
              <w:spacing w:after="0"/>
              <w:rPr>
                <w:sz w:val="10"/>
                <w:szCs w:val="10"/>
                <w:color w:val="auto"/>
              </w:rPr>
            </w:pPr>
          </w:p>
        </w:tc>
        <w:tc>
          <w:tcPr>
            <w:tcW w:w="280" w:type="dxa"/>
            <w:vAlign w:val="bottom"/>
          </w:tcPr>
          <w:p>
            <w:pPr>
              <w:jc w:val="right"/>
              <w:spacing w:after="0"/>
              <w:rPr>
                <w:sz w:val="20"/>
                <w:szCs w:val="20"/>
                <w:color w:val="auto"/>
              </w:rPr>
            </w:pPr>
            <w:r>
              <w:rPr>
                <w:rFonts w:ascii="Arial" w:cs="Arial" w:eastAsia="Arial" w:hAnsi="Arial"/>
                <w:sz w:val="11"/>
                <w:szCs w:val="11"/>
                <w:color w:val="050505"/>
              </w:rPr>
              <w:t>*</w:t>
            </w:r>
          </w:p>
        </w:tc>
        <w:tc>
          <w:tcPr>
            <w:tcW w:w="760" w:type="dxa"/>
            <w:vAlign w:val="bottom"/>
            <w:gridSpan w:val="2"/>
          </w:tcPr>
          <w:p>
            <w:pPr>
              <w:jc w:val="right"/>
              <w:spacing w:after="0"/>
              <w:rPr>
                <w:sz w:val="20"/>
                <w:szCs w:val="20"/>
                <w:color w:val="auto"/>
              </w:rPr>
            </w:pPr>
            <w:r>
              <w:rPr>
                <w:rFonts w:ascii="Arial" w:cs="Arial" w:eastAsia="Arial" w:hAnsi="Arial"/>
                <w:sz w:val="11"/>
                <w:szCs w:val="11"/>
                <w:color w:val="050505"/>
              </w:rPr>
              <w:t>*</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820" w:type="dxa"/>
            <w:vAlign w:val="bottom"/>
            <w:gridSpan w:val="2"/>
            <w:shd w:val="clear" w:color="auto" w:fill="CCEEFF"/>
          </w:tcPr>
          <w:p>
            <w:pPr>
              <w:ind w:left="40"/>
              <w:spacing w:after="0" w:line="124" w:lineRule="exact"/>
              <w:rPr>
                <w:sz w:val="20"/>
                <w:szCs w:val="20"/>
                <w:color w:val="auto"/>
              </w:rPr>
            </w:pPr>
            <w:r>
              <w:rPr>
                <w:rFonts w:ascii="Arial" w:cs="Arial" w:eastAsia="Arial" w:hAnsi="Arial"/>
                <w:sz w:val="11"/>
                <w:szCs w:val="11"/>
                <w:color w:val="050505"/>
              </w:rPr>
              <w:t>All executive officers and directors as a group (11</w:t>
            </w:r>
          </w:p>
        </w:tc>
        <w:tc>
          <w:tcPr>
            <w:tcW w:w="5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8"/>
        </w:trPr>
        <w:tc>
          <w:tcPr>
            <w:tcW w:w="2820" w:type="dxa"/>
            <w:vAlign w:val="bottom"/>
            <w:gridSpan w:val="2"/>
            <w:shd w:val="clear" w:color="auto" w:fill="CCEEFF"/>
          </w:tcPr>
          <w:p>
            <w:pPr>
              <w:ind w:left="160"/>
              <w:spacing w:after="0" w:line="129" w:lineRule="exact"/>
              <w:rPr>
                <w:sz w:val="20"/>
                <w:szCs w:val="20"/>
                <w:color w:val="auto"/>
              </w:rPr>
            </w:pPr>
            <w:r>
              <w:rPr>
                <w:rFonts w:ascii="Arial" w:cs="Arial" w:eastAsia="Arial" w:hAnsi="Arial"/>
                <w:sz w:val="9"/>
                <w:szCs w:val="9"/>
                <w:color w:val="050505"/>
              </w:rPr>
              <w:t>persons)</w:t>
            </w:r>
            <w:r>
              <w:rPr>
                <w:rFonts w:ascii="Arial" w:cs="Arial" w:eastAsia="Arial" w:hAnsi="Arial"/>
                <w:sz w:val="14"/>
                <w:szCs w:val="14"/>
                <w:color w:val="050505"/>
                <w:vertAlign w:val="superscript"/>
              </w:rPr>
              <w:t>(11)</w:t>
            </w:r>
          </w:p>
        </w:tc>
        <w:tc>
          <w:tcPr>
            <w:tcW w:w="580" w:type="dxa"/>
            <w:vAlign w:val="bottom"/>
            <w:shd w:val="clear" w:color="auto" w:fill="CCEEFF"/>
          </w:tcPr>
          <w:p>
            <w:pPr>
              <w:jc w:val="right"/>
              <w:spacing w:after="0"/>
              <w:rPr>
                <w:sz w:val="20"/>
                <w:szCs w:val="20"/>
                <w:color w:val="auto"/>
              </w:rPr>
            </w:pPr>
            <w:r>
              <w:rPr>
                <w:rFonts w:ascii="Arial" w:cs="Arial" w:eastAsia="Arial" w:hAnsi="Arial"/>
                <w:sz w:val="11"/>
                <w:szCs w:val="11"/>
                <w:color w:val="050505"/>
              </w:rPr>
              <w:t>68,200,862</w:t>
            </w: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1"/>
                <w:szCs w:val="11"/>
                <w:color w:val="050505"/>
              </w:rPr>
              <w:t>25.8</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050505"/>
              </w:rPr>
              <w:t>25.8</w:t>
            </w:r>
          </w:p>
        </w:tc>
        <w:tc>
          <w:tcPr>
            <w:tcW w:w="10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050505"/>
              </w:rPr>
              <w:t>—</w:t>
            </w: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050505"/>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1"/>
                <w:szCs w:val="11"/>
                <w:color w:val="050505"/>
              </w:rPr>
              <w:t>68,200,862</w:t>
            </w:r>
          </w:p>
        </w:tc>
        <w:tc>
          <w:tcPr>
            <w:tcW w:w="100" w:type="dxa"/>
            <w:vAlign w:val="bottom"/>
            <w:shd w:val="clear" w:color="auto" w:fill="CCEEFF"/>
          </w:tcPr>
          <w:p>
            <w:pPr>
              <w:spacing w:after="0"/>
              <w:rPr>
                <w:sz w:val="11"/>
                <w:szCs w:val="11"/>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1"/>
                <w:szCs w:val="11"/>
                <w:color w:val="050505"/>
              </w:rPr>
              <w:t>25.8</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050505"/>
              </w:rPr>
              <w:t>25.6</w:t>
            </w: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2820" w:type="dxa"/>
            <w:vAlign w:val="bottom"/>
            <w:gridSpan w:val="2"/>
          </w:tcPr>
          <w:p>
            <w:pPr>
              <w:ind w:left="40"/>
              <w:spacing w:after="0"/>
              <w:rPr>
                <w:sz w:val="20"/>
                <w:szCs w:val="20"/>
                <w:color w:val="auto"/>
              </w:rPr>
            </w:pPr>
            <w:r>
              <w:rPr>
                <w:rFonts w:ascii="Arial" w:cs="Arial" w:eastAsia="Arial" w:hAnsi="Arial"/>
                <w:sz w:val="11"/>
                <w:szCs w:val="11"/>
                <w:b w:val="1"/>
                <w:bCs w:val="1"/>
                <w:color w:val="050505"/>
              </w:rPr>
              <w:t>Other 5% Stockholders:</w:t>
            </w: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1"/>
                <w:szCs w:val="11"/>
                <w:color w:val="050505"/>
              </w:rPr>
              <w:t>—</w:t>
            </w:r>
          </w:p>
        </w:tc>
        <w:tc>
          <w:tcPr>
            <w:tcW w:w="380" w:type="dxa"/>
            <w:vAlign w:val="bottom"/>
            <w:gridSpan w:val="2"/>
          </w:tcPr>
          <w:p>
            <w:pPr>
              <w:jc w:val="right"/>
              <w:ind w:right="100"/>
              <w:spacing w:after="0"/>
              <w:rPr>
                <w:sz w:val="20"/>
                <w:szCs w:val="20"/>
                <w:color w:val="auto"/>
              </w:rPr>
            </w:pPr>
            <w:r>
              <w:rPr>
                <w:rFonts w:ascii="Arial" w:cs="Arial" w:eastAsia="Arial" w:hAnsi="Arial"/>
                <w:sz w:val="11"/>
                <w:szCs w:val="11"/>
                <w:color w:val="050505"/>
              </w:rPr>
              <w:t>—</w:t>
            </w: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820" w:type="dxa"/>
            <w:vAlign w:val="bottom"/>
            <w:gridSpan w:val="2"/>
            <w:shd w:val="clear" w:color="auto" w:fill="CCEEFF"/>
          </w:tcPr>
          <w:p>
            <w:pPr>
              <w:ind w:left="40"/>
              <w:spacing w:after="0" w:line="126" w:lineRule="exact"/>
              <w:rPr>
                <w:sz w:val="20"/>
                <w:szCs w:val="20"/>
                <w:color w:val="auto"/>
              </w:rPr>
            </w:pPr>
            <w:r>
              <w:rPr>
                <w:rFonts w:ascii="Arial" w:cs="Arial" w:eastAsia="Arial" w:hAnsi="Arial"/>
                <w:sz w:val="9"/>
                <w:szCs w:val="9"/>
                <w:color w:val="050505"/>
              </w:rPr>
              <w:t>CP Interactive Fitness, LP</w:t>
            </w:r>
            <w:r>
              <w:rPr>
                <w:rFonts w:ascii="Arial" w:cs="Arial" w:eastAsia="Arial" w:hAnsi="Arial"/>
                <w:sz w:val="14"/>
                <w:szCs w:val="14"/>
                <w:color w:val="050505"/>
                <w:vertAlign w:val="superscript"/>
              </w:rPr>
              <w:t>(12)</w:t>
            </w:r>
          </w:p>
        </w:tc>
        <w:tc>
          <w:tcPr>
            <w:tcW w:w="580" w:type="dxa"/>
            <w:vAlign w:val="bottom"/>
            <w:shd w:val="clear" w:color="auto" w:fill="CCEEFF"/>
          </w:tcPr>
          <w:p>
            <w:pPr>
              <w:jc w:val="right"/>
              <w:spacing w:after="0"/>
              <w:rPr>
                <w:sz w:val="20"/>
                <w:szCs w:val="20"/>
                <w:color w:val="auto"/>
              </w:rPr>
            </w:pPr>
            <w:r>
              <w:rPr>
                <w:rFonts w:ascii="Arial" w:cs="Arial" w:eastAsia="Arial" w:hAnsi="Arial"/>
                <w:sz w:val="11"/>
                <w:szCs w:val="11"/>
                <w:color w:val="050505"/>
              </w:rPr>
              <w:t>12,803,381</w:t>
            </w:r>
          </w:p>
        </w:tc>
        <w:tc>
          <w:tcPr>
            <w:tcW w:w="100" w:type="dxa"/>
            <w:vAlign w:val="bottom"/>
            <w:shd w:val="clear" w:color="auto" w:fill="CCEEFF"/>
          </w:tcPr>
          <w:p>
            <w:pPr>
              <w:spacing w:after="0"/>
              <w:rPr>
                <w:sz w:val="10"/>
                <w:szCs w:val="10"/>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1"/>
                <w:szCs w:val="11"/>
                <w:color w:val="050505"/>
              </w:rPr>
              <w:t>5.4</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050505"/>
              </w:rPr>
              <w:t>5.4</w:t>
            </w:r>
          </w:p>
        </w:tc>
        <w:tc>
          <w:tcPr>
            <w:tcW w:w="100" w:type="dxa"/>
            <w:vAlign w:val="bottom"/>
            <w:shd w:val="clear" w:color="auto" w:fill="CCEEFF"/>
          </w:tcPr>
          <w:p>
            <w:pPr>
              <w:spacing w:after="0"/>
              <w:rPr>
                <w:sz w:val="10"/>
                <w:szCs w:val="10"/>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050505"/>
              </w:rPr>
              <w:t>—</w:t>
            </w: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050505"/>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1"/>
                <w:szCs w:val="11"/>
                <w:color w:val="050505"/>
              </w:rPr>
              <w:t>12,803,381</w:t>
            </w:r>
          </w:p>
        </w:tc>
        <w:tc>
          <w:tcPr>
            <w:tcW w:w="100" w:type="dxa"/>
            <w:vAlign w:val="bottom"/>
            <w:shd w:val="clear" w:color="auto" w:fill="CCEEFF"/>
          </w:tcPr>
          <w:p>
            <w:pPr>
              <w:spacing w:after="0"/>
              <w:rPr>
                <w:sz w:val="10"/>
                <w:szCs w:val="10"/>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1"/>
                <w:szCs w:val="11"/>
                <w:color w:val="050505"/>
              </w:rPr>
              <w:t>5.4</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050505"/>
              </w:rPr>
              <w:t>5.4</w:t>
            </w: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820" w:type="dxa"/>
            <w:vAlign w:val="bottom"/>
            <w:gridSpan w:val="2"/>
          </w:tcPr>
          <w:p>
            <w:pPr>
              <w:ind w:left="40"/>
              <w:spacing w:after="0" w:line="126" w:lineRule="exact"/>
              <w:rPr>
                <w:sz w:val="20"/>
                <w:szCs w:val="20"/>
                <w:color w:val="auto"/>
              </w:rPr>
            </w:pPr>
            <w:r>
              <w:rPr>
                <w:rFonts w:ascii="Arial" w:cs="Arial" w:eastAsia="Arial" w:hAnsi="Arial"/>
                <w:sz w:val="9"/>
                <w:szCs w:val="9"/>
                <w:color w:val="050505"/>
              </w:rPr>
              <w:t>Entities affiliated with TCV</w:t>
            </w:r>
            <w:r>
              <w:rPr>
                <w:rFonts w:ascii="Arial" w:cs="Arial" w:eastAsia="Arial" w:hAnsi="Arial"/>
                <w:sz w:val="14"/>
                <w:szCs w:val="14"/>
                <w:color w:val="050505"/>
                <w:vertAlign w:val="superscript"/>
              </w:rPr>
              <w:t>(13)</w:t>
            </w:r>
          </w:p>
        </w:tc>
        <w:tc>
          <w:tcPr>
            <w:tcW w:w="580" w:type="dxa"/>
            <w:vAlign w:val="bottom"/>
          </w:tcPr>
          <w:p>
            <w:pPr>
              <w:jc w:val="right"/>
              <w:spacing w:after="0"/>
              <w:rPr>
                <w:sz w:val="20"/>
                <w:szCs w:val="20"/>
                <w:color w:val="auto"/>
              </w:rPr>
            </w:pPr>
            <w:r>
              <w:rPr>
                <w:rFonts w:ascii="Arial" w:cs="Arial" w:eastAsia="Arial" w:hAnsi="Arial"/>
                <w:sz w:val="11"/>
                <w:szCs w:val="11"/>
                <w:color w:val="050505"/>
              </w:rPr>
              <w:t>15,741,169</w:t>
            </w:r>
          </w:p>
        </w:tc>
        <w:tc>
          <w:tcPr>
            <w:tcW w:w="100" w:type="dxa"/>
            <w:vAlign w:val="bottom"/>
          </w:tcPr>
          <w:p>
            <w:pPr>
              <w:spacing w:after="0"/>
              <w:rPr>
                <w:sz w:val="10"/>
                <w:szCs w:val="10"/>
                <w:color w:val="auto"/>
              </w:rPr>
            </w:pPr>
          </w:p>
        </w:tc>
        <w:tc>
          <w:tcPr>
            <w:tcW w:w="260" w:type="dxa"/>
            <w:vAlign w:val="bottom"/>
          </w:tcPr>
          <w:p>
            <w:pPr>
              <w:jc w:val="right"/>
              <w:spacing w:after="0"/>
              <w:rPr>
                <w:sz w:val="20"/>
                <w:szCs w:val="20"/>
                <w:color w:val="auto"/>
              </w:rPr>
            </w:pPr>
            <w:r>
              <w:rPr>
                <w:rFonts w:ascii="Arial" w:cs="Arial" w:eastAsia="Arial" w:hAnsi="Arial"/>
                <w:sz w:val="11"/>
                <w:szCs w:val="11"/>
                <w:color w:val="050505"/>
              </w:rPr>
              <w:t>6.7</w:t>
            </w:r>
          </w:p>
        </w:tc>
        <w:tc>
          <w:tcPr>
            <w:tcW w:w="640" w:type="dxa"/>
            <w:vAlign w:val="bottom"/>
            <w:gridSpan w:val="2"/>
          </w:tcPr>
          <w:p>
            <w:pPr>
              <w:jc w:val="right"/>
              <w:spacing w:after="0"/>
              <w:rPr>
                <w:sz w:val="20"/>
                <w:szCs w:val="20"/>
                <w:color w:val="auto"/>
              </w:rPr>
            </w:pPr>
            <w:r>
              <w:rPr>
                <w:rFonts w:ascii="Arial" w:cs="Arial" w:eastAsia="Arial" w:hAnsi="Arial"/>
                <w:sz w:val="11"/>
                <w:szCs w:val="11"/>
                <w:color w:val="050505"/>
              </w:rPr>
              <w:t>6.7</w:t>
            </w:r>
          </w:p>
        </w:tc>
        <w:tc>
          <w:tcPr>
            <w:tcW w:w="100" w:type="dxa"/>
            <w:vAlign w:val="bottom"/>
          </w:tcPr>
          <w:p>
            <w:pPr>
              <w:spacing w:after="0"/>
              <w:rPr>
                <w:sz w:val="10"/>
                <w:szCs w:val="10"/>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050505"/>
              </w:rPr>
              <w:t>3,448,275</w:t>
            </w:r>
          </w:p>
        </w:tc>
        <w:tc>
          <w:tcPr>
            <w:tcW w:w="100" w:type="dxa"/>
            <w:vAlign w:val="bottom"/>
          </w:tcPr>
          <w:p>
            <w:pPr>
              <w:spacing w:after="0"/>
              <w:rPr>
                <w:sz w:val="10"/>
                <w:szCs w:val="10"/>
                <w:color w:val="auto"/>
              </w:rPr>
            </w:pPr>
          </w:p>
        </w:tc>
        <w:tc>
          <w:tcPr>
            <w:tcW w:w="280" w:type="dxa"/>
            <w:vAlign w:val="bottom"/>
          </w:tcPr>
          <w:p>
            <w:pPr>
              <w:jc w:val="right"/>
              <w:spacing w:after="0"/>
              <w:rPr>
                <w:sz w:val="20"/>
                <w:szCs w:val="20"/>
                <w:color w:val="auto"/>
              </w:rPr>
            </w:pPr>
            <w:r>
              <w:rPr>
                <w:rFonts w:ascii="Arial" w:cs="Arial" w:eastAsia="Arial" w:hAnsi="Arial"/>
                <w:sz w:val="11"/>
                <w:szCs w:val="11"/>
                <w:color w:val="050505"/>
              </w:rPr>
              <w:t>7.9</w:t>
            </w:r>
          </w:p>
        </w:tc>
        <w:tc>
          <w:tcPr>
            <w:tcW w:w="100" w:type="dxa"/>
            <w:vAlign w:val="bottom"/>
          </w:tcPr>
          <w:p>
            <w:pPr>
              <w:spacing w:after="0"/>
              <w:rPr>
                <w:sz w:val="10"/>
                <w:szCs w:val="10"/>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050505"/>
              </w:rPr>
              <w:t>15,741,169</w:t>
            </w:r>
          </w:p>
        </w:tc>
        <w:tc>
          <w:tcPr>
            <w:tcW w:w="100" w:type="dxa"/>
            <w:vAlign w:val="bottom"/>
          </w:tcPr>
          <w:p>
            <w:pPr>
              <w:spacing w:after="0"/>
              <w:rPr>
                <w:sz w:val="10"/>
                <w:szCs w:val="10"/>
                <w:color w:val="auto"/>
              </w:rPr>
            </w:pPr>
          </w:p>
        </w:tc>
        <w:tc>
          <w:tcPr>
            <w:tcW w:w="280" w:type="dxa"/>
            <w:vAlign w:val="bottom"/>
          </w:tcPr>
          <w:p>
            <w:pPr>
              <w:jc w:val="right"/>
              <w:spacing w:after="0"/>
              <w:rPr>
                <w:sz w:val="20"/>
                <w:szCs w:val="20"/>
                <w:color w:val="auto"/>
              </w:rPr>
            </w:pPr>
            <w:r>
              <w:rPr>
                <w:rFonts w:ascii="Arial" w:cs="Arial" w:eastAsia="Arial" w:hAnsi="Arial"/>
                <w:sz w:val="11"/>
                <w:szCs w:val="11"/>
                <w:color w:val="050505"/>
              </w:rPr>
              <w:t>6.7</w:t>
            </w:r>
          </w:p>
        </w:tc>
        <w:tc>
          <w:tcPr>
            <w:tcW w:w="760" w:type="dxa"/>
            <w:vAlign w:val="bottom"/>
            <w:gridSpan w:val="2"/>
          </w:tcPr>
          <w:p>
            <w:pPr>
              <w:jc w:val="right"/>
              <w:spacing w:after="0"/>
              <w:rPr>
                <w:sz w:val="20"/>
                <w:szCs w:val="20"/>
                <w:color w:val="auto"/>
              </w:rPr>
            </w:pPr>
            <w:r>
              <w:rPr>
                <w:rFonts w:ascii="Arial" w:cs="Arial" w:eastAsia="Arial" w:hAnsi="Arial"/>
                <w:sz w:val="11"/>
                <w:szCs w:val="11"/>
                <w:color w:val="050505"/>
              </w:rPr>
              <w:t>6.7</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820" w:type="dxa"/>
            <w:vAlign w:val="bottom"/>
            <w:gridSpan w:val="2"/>
            <w:shd w:val="clear" w:color="auto" w:fill="CCEEFF"/>
          </w:tcPr>
          <w:p>
            <w:pPr>
              <w:ind w:left="40"/>
              <w:spacing w:after="0" w:line="126" w:lineRule="exact"/>
              <w:rPr>
                <w:sz w:val="20"/>
                <w:szCs w:val="20"/>
                <w:color w:val="auto"/>
              </w:rPr>
            </w:pPr>
            <w:r>
              <w:rPr>
                <w:rFonts w:ascii="Arial" w:cs="Arial" w:eastAsia="Arial" w:hAnsi="Arial"/>
                <w:sz w:val="9"/>
                <w:szCs w:val="9"/>
                <w:color w:val="050505"/>
              </w:rPr>
              <w:t>Entities affiliated with Tiger</w:t>
            </w:r>
            <w:r>
              <w:rPr>
                <w:rFonts w:ascii="Arial" w:cs="Arial" w:eastAsia="Arial" w:hAnsi="Arial"/>
                <w:sz w:val="14"/>
                <w:szCs w:val="14"/>
                <w:color w:val="050505"/>
                <w:vertAlign w:val="superscript"/>
              </w:rPr>
              <w:t>(14)</w:t>
            </w:r>
          </w:p>
        </w:tc>
        <w:tc>
          <w:tcPr>
            <w:tcW w:w="580" w:type="dxa"/>
            <w:vAlign w:val="bottom"/>
            <w:shd w:val="clear" w:color="auto" w:fill="CCEEFF"/>
          </w:tcPr>
          <w:p>
            <w:pPr>
              <w:jc w:val="right"/>
              <w:spacing w:after="0"/>
              <w:rPr>
                <w:sz w:val="20"/>
                <w:szCs w:val="20"/>
                <w:color w:val="auto"/>
              </w:rPr>
            </w:pPr>
            <w:r>
              <w:rPr>
                <w:rFonts w:ascii="Arial" w:cs="Arial" w:eastAsia="Arial" w:hAnsi="Arial"/>
                <w:sz w:val="11"/>
                <w:szCs w:val="11"/>
                <w:color w:val="050505"/>
              </w:rPr>
              <w:t>46,721,427</w:t>
            </w:r>
          </w:p>
        </w:tc>
        <w:tc>
          <w:tcPr>
            <w:tcW w:w="100" w:type="dxa"/>
            <w:vAlign w:val="bottom"/>
            <w:shd w:val="clear" w:color="auto" w:fill="CCEEFF"/>
          </w:tcPr>
          <w:p>
            <w:pPr>
              <w:spacing w:after="0"/>
              <w:rPr>
                <w:sz w:val="10"/>
                <w:szCs w:val="10"/>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1"/>
                <w:szCs w:val="11"/>
                <w:color w:val="050505"/>
              </w:rPr>
              <w:t>19.8</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050505"/>
              </w:rPr>
              <w:t>19.8</w:t>
            </w:r>
          </w:p>
        </w:tc>
        <w:tc>
          <w:tcPr>
            <w:tcW w:w="100" w:type="dxa"/>
            <w:vAlign w:val="bottom"/>
            <w:shd w:val="clear" w:color="auto" w:fill="CCEEFF"/>
          </w:tcPr>
          <w:p>
            <w:pPr>
              <w:spacing w:after="0"/>
              <w:rPr>
                <w:sz w:val="10"/>
                <w:szCs w:val="10"/>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050505"/>
              </w:rPr>
              <w:t>—</w:t>
            </w: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050505"/>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1"/>
                <w:szCs w:val="11"/>
                <w:color w:val="050505"/>
              </w:rPr>
              <w:t>46,721,427</w:t>
            </w:r>
          </w:p>
        </w:tc>
        <w:tc>
          <w:tcPr>
            <w:tcW w:w="100" w:type="dxa"/>
            <w:vAlign w:val="bottom"/>
            <w:shd w:val="clear" w:color="auto" w:fill="CCEEFF"/>
          </w:tcPr>
          <w:p>
            <w:pPr>
              <w:spacing w:after="0"/>
              <w:rPr>
                <w:sz w:val="10"/>
                <w:szCs w:val="10"/>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1"/>
                <w:szCs w:val="11"/>
                <w:color w:val="050505"/>
              </w:rPr>
              <w:t>19.8</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050505"/>
              </w:rPr>
              <w:t>19.6</w:t>
            </w: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820" w:type="dxa"/>
            <w:vAlign w:val="bottom"/>
            <w:gridSpan w:val="2"/>
          </w:tcPr>
          <w:p>
            <w:pPr>
              <w:ind w:left="40"/>
              <w:spacing w:after="0" w:line="126" w:lineRule="exact"/>
              <w:rPr>
                <w:sz w:val="20"/>
                <w:szCs w:val="20"/>
                <w:color w:val="auto"/>
              </w:rPr>
            </w:pPr>
            <w:r>
              <w:rPr>
                <w:rFonts w:ascii="Arial" w:cs="Arial" w:eastAsia="Arial" w:hAnsi="Arial"/>
                <w:sz w:val="9"/>
                <w:szCs w:val="9"/>
                <w:color w:val="050505"/>
              </w:rPr>
              <w:t>Entities affiliated with True Ventures</w:t>
            </w:r>
            <w:r>
              <w:rPr>
                <w:rFonts w:ascii="Arial" w:cs="Arial" w:eastAsia="Arial" w:hAnsi="Arial"/>
                <w:sz w:val="14"/>
                <w:szCs w:val="14"/>
                <w:color w:val="050505"/>
                <w:vertAlign w:val="superscript"/>
              </w:rPr>
              <w:t>(7)</w:t>
            </w:r>
          </w:p>
        </w:tc>
        <w:tc>
          <w:tcPr>
            <w:tcW w:w="580" w:type="dxa"/>
            <w:vAlign w:val="bottom"/>
          </w:tcPr>
          <w:p>
            <w:pPr>
              <w:jc w:val="right"/>
              <w:spacing w:after="0"/>
              <w:rPr>
                <w:sz w:val="20"/>
                <w:szCs w:val="20"/>
                <w:color w:val="auto"/>
              </w:rPr>
            </w:pPr>
            <w:r>
              <w:rPr>
                <w:rFonts w:ascii="Arial" w:cs="Arial" w:eastAsia="Arial" w:hAnsi="Arial"/>
                <w:sz w:val="11"/>
                <w:szCs w:val="11"/>
                <w:color w:val="050505"/>
              </w:rPr>
              <w:t>28,369,274</w:t>
            </w:r>
          </w:p>
        </w:tc>
        <w:tc>
          <w:tcPr>
            <w:tcW w:w="100" w:type="dxa"/>
            <w:vAlign w:val="bottom"/>
          </w:tcPr>
          <w:p>
            <w:pPr>
              <w:spacing w:after="0"/>
              <w:rPr>
                <w:sz w:val="10"/>
                <w:szCs w:val="10"/>
                <w:color w:val="auto"/>
              </w:rPr>
            </w:pPr>
          </w:p>
        </w:tc>
        <w:tc>
          <w:tcPr>
            <w:tcW w:w="260" w:type="dxa"/>
            <w:vAlign w:val="bottom"/>
          </w:tcPr>
          <w:p>
            <w:pPr>
              <w:jc w:val="right"/>
              <w:spacing w:after="0"/>
              <w:rPr>
                <w:sz w:val="20"/>
                <w:szCs w:val="20"/>
                <w:color w:val="auto"/>
              </w:rPr>
            </w:pPr>
            <w:r>
              <w:rPr>
                <w:rFonts w:ascii="Arial" w:cs="Arial" w:eastAsia="Arial" w:hAnsi="Arial"/>
                <w:sz w:val="11"/>
                <w:szCs w:val="11"/>
                <w:color w:val="050505"/>
              </w:rPr>
              <w:t>12.0</w:t>
            </w:r>
          </w:p>
        </w:tc>
        <w:tc>
          <w:tcPr>
            <w:tcW w:w="640" w:type="dxa"/>
            <w:vAlign w:val="bottom"/>
            <w:gridSpan w:val="2"/>
          </w:tcPr>
          <w:p>
            <w:pPr>
              <w:jc w:val="right"/>
              <w:spacing w:after="0"/>
              <w:rPr>
                <w:sz w:val="20"/>
                <w:szCs w:val="20"/>
                <w:color w:val="auto"/>
              </w:rPr>
            </w:pPr>
            <w:r>
              <w:rPr>
                <w:rFonts w:ascii="Arial" w:cs="Arial" w:eastAsia="Arial" w:hAnsi="Arial"/>
                <w:sz w:val="11"/>
                <w:szCs w:val="11"/>
                <w:color w:val="050505"/>
              </w:rPr>
              <w:t>12.0</w:t>
            </w:r>
          </w:p>
        </w:tc>
        <w:tc>
          <w:tcPr>
            <w:tcW w:w="100" w:type="dxa"/>
            <w:vAlign w:val="bottom"/>
          </w:tcPr>
          <w:p>
            <w:pPr>
              <w:spacing w:after="0"/>
              <w:rPr>
                <w:sz w:val="10"/>
                <w:szCs w:val="10"/>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1"/>
                <w:szCs w:val="11"/>
                <w:color w:val="050505"/>
              </w:rPr>
              <w:t>—</w:t>
            </w:r>
          </w:p>
        </w:tc>
        <w:tc>
          <w:tcPr>
            <w:tcW w:w="380" w:type="dxa"/>
            <w:vAlign w:val="bottom"/>
            <w:gridSpan w:val="2"/>
          </w:tcPr>
          <w:p>
            <w:pPr>
              <w:jc w:val="right"/>
              <w:ind w:right="100"/>
              <w:spacing w:after="0"/>
              <w:rPr>
                <w:sz w:val="20"/>
                <w:szCs w:val="20"/>
                <w:color w:val="auto"/>
              </w:rPr>
            </w:pPr>
            <w:r>
              <w:rPr>
                <w:rFonts w:ascii="Arial" w:cs="Arial" w:eastAsia="Arial" w:hAnsi="Arial"/>
                <w:sz w:val="11"/>
                <w:szCs w:val="11"/>
                <w:color w:val="050505"/>
              </w:rPr>
              <w:t>—</w:t>
            </w:r>
          </w:p>
        </w:tc>
        <w:tc>
          <w:tcPr>
            <w:tcW w:w="600" w:type="dxa"/>
            <w:vAlign w:val="bottom"/>
          </w:tcPr>
          <w:p>
            <w:pPr>
              <w:jc w:val="right"/>
              <w:spacing w:after="0"/>
              <w:rPr>
                <w:sz w:val="20"/>
                <w:szCs w:val="20"/>
                <w:color w:val="auto"/>
              </w:rPr>
            </w:pPr>
            <w:r>
              <w:rPr>
                <w:rFonts w:ascii="Arial" w:cs="Arial" w:eastAsia="Arial" w:hAnsi="Arial"/>
                <w:sz w:val="11"/>
                <w:szCs w:val="11"/>
                <w:color w:val="050505"/>
              </w:rPr>
              <w:t>28,369,274</w:t>
            </w:r>
          </w:p>
        </w:tc>
        <w:tc>
          <w:tcPr>
            <w:tcW w:w="100" w:type="dxa"/>
            <w:vAlign w:val="bottom"/>
          </w:tcPr>
          <w:p>
            <w:pPr>
              <w:spacing w:after="0"/>
              <w:rPr>
                <w:sz w:val="10"/>
                <w:szCs w:val="10"/>
                <w:color w:val="auto"/>
              </w:rPr>
            </w:pPr>
          </w:p>
        </w:tc>
        <w:tc>
          <w:tcPr>
            <w:tcW w:w="280" w:type="dxa"/>
            <w:vAlign w:val="bottom"/>
          </w:tcPr>
          <w:p>
            <w:pPr>
              <w:jc w:val="right"/>
              <w:spacing w:after="0"/>
              <w:rPr>
                <w:sz w:val="20"/>
                <w:szCs w:val="20"/>
                <w:color w:val="auto"/>
              </w:rPr>
            </w:pPr>
            <w:r>
              <w:rPr>
                <w:rFonts w:ascii="Arial" w:cs="Arial" w:eastAsia="Arial" w:hAnsi="Arial"/>
                <w:sz w:val="11"/>
                <w:szCs w:val="11"/>
                <w:color w:val="050505"/>
              </w:rPr>
              <w:t>12.0</w:t>
            </w:r>
          </w:p>
        </w:tc>
        <w:tc>
          <w:tcPr>
            <w:tcW w:w="760" w:type="dxa"/>
            <w:vAlign w:val="bottom"/>
            <w:gridSpan w:val="2"/>
          </w:tcPr>
          <w:p>
            <w:pPr>
              <w:jc w:val="right"/>
              <w:spacing w:after="0"/>
              <w:rPr>
                <w:sz w:val="20"/>
                <w:szCs w:val="20"/>
                <w:color w:val="auto"/>
              </w:rPr>
            </w:pPr>
            <w:r>
              <w:rPr>
                <w:rFonts w:ascii="Arial" w:cs="Arial" w:eastAsia="Arial" w:hAnsi="Arial"/>
                <w:sz w:val="11"/>
                <w:szCs w:val="11"/>
                <w:color w:val="050505"/>
              </w:rPr>
              <w:t>11.9</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820" w:type="dxa"/>
            <w:vAlign w:val="bottom"/>
            <w:gridSpan w:val="2"/>
            <w:shd w:val="clear" w:color="auto" w:fill="CCEEFF"/>
          </w:tcPr>
          <w:p>
            <w:pPr>
              <w:ind w:left="40"/>
              <w:spacing w:after="0" w:line="126" w:lineRule="exact"/>
              <w:rPr>
                <w:sz w:val="20"/>
                <w:szCs w:val="20"/>
                <w:color w:val="auto"/>
              </w:rPr>
            </w:pPr>
            <w:r>
              <w:rPr>
                <w:rFonts w:ascii="Arial" w:cs="Arial" w:eastAsia="Arial" w:hAnsi="Arial"/>
                <w:sz w:val="9"/>
                <w:szCs w:val="9"/>
                <w:color w:val="050505"/>
              </w:rPr>
              <w:t>Entities affiliated with Fidelity</w:t>
            </w:r>
            <w:r>
              <w:rPr>
                <w:rFonts w:ascii="Arial" w:cs="Arial" w:eastAsia="Arial" w:hAnsi="Arial"/>
                <w:sz w:val="14"/>
                <w:szCs w:val="14"/>
                <w:color w:val="050505"/>
                <w:vertAlign w:val="superscript"/>
              </w:rPr>
              <w:t>(15)</w:t>
            </w:r>
          </w:p>
        </w:tc>
        <w:tc>
          <w:tcPr>
            <w:tcW w:w="580" w:type="dxa"/>
            <w:vAlign w:val="bottom"/>
            <w:shd w:val="clear" w:color="auto" w:fill="CCEEFF"/>
          </w:tcPr>
          <w:p>
            <w:pPr>
              <w:jc w:val="right"/>
              <w:spacing w:after="0"/>
              <w:rPr>
                <w:sz w:val="20"/>
                <w:szCs w:val="20"/>
                <w:color w:val="auto"/>
              </w:rPr>
            </w:pPr>
            <w:r>
              <w:rPr>
                <w:rFonts w:ascii="Arial" w:cs="Arial" w:eastAsia="Arial" w:hAnsi="Arial"/>
                <w:sz w:val="11"/>
                <w:szCs w:val="11"/>
                <w:color w:val="050505"/>
              </w:rPr>
              <w:t>15,926,796</w:t>
            </w:r>
          </w:p>
        </w:tc>
        <w:tc>
          <w:tcPr>
            <w:tcW w:w="100" w:type="dxa"/>
            <w:vAlign w:val="bottom"/>
            <w:shd w:val="clear" w:color="auto" w:fill="CCEEFF"/>
          </w:tcPr>
          <w:p>
            <w:pPr>
              <w:spacing w:after="0"/>
              <w:rPr>
                <w:sz w:val="10"/>
                <w:szCs w:val="10"/>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1"/>
                <w:szCs w:val="11"/>
                <w:color w:val="050505"/>
              </w:rPr>
              <w:t>6.8</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050505"/>
              </w:rPr>
              <w:t>6.8</w:t>
            </w:r>
          </w:p>
        </w:tc>
        <w:tc>
          <w:tcPr>
            <w:tcW w:w="100" w:type="dxa"/>
            <w:vAlign w:val="bottom"/>
            <w:shd w:val="clear" w:color="auto" w:fill="CCEEFF"/>
          </w:tcPr>
          <w:p>
            <w:pPr>
              <w:spacing w:after="0"/>
              <w:rPr>
                <w:sz w:val="10"/>
                <w:szCs w:val="10"/>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050505"/>
              </w:rPr>
              <w:t>—</w:t>
            </w: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050505"/>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1"/>
                <w:szCs w:val="11"/>
                <w:color w:val="050505"/>
              </w:rPr>
              <w:t>15,926,796</w:t>
            </w:r>
          </w:p>
        </w:tc>
        <w:tc>
          <w:tcPr>
            <w:tcW w:w="100" w:type="dxa"/>
            <w:vAlign w:val="bottom"/>
            <w:shd w:val="clear" w:color="auto" w:fill="CCEEFF"/>
          </w:tcPr>
          <w:p>
            <w:pPr>
              <w:spacing w:after="0"/>
              <w:rPr>
                <w:sz w:val="10"/>
                <w:szCs w:val="10"/>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1"/>
                <w:szCs w:val="11"/>
                <w:color w:val="050505"/>
              </w:rPr>
              <w:t>6.8</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050505"/>
              </w:rPr>
              <w:t>6.7</w:t>
            </w: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1310640</wp:posOffset>
            </wp:positionH>
            <wp:positionV relativeFrom="paragraph">
              <wp:posOffset>57150</wp:posOffset>
            </wp:positionV>
            <wp:extent cx="1212215" cy="571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1212215" cy="5715"/>
                    </a:xfrm>
                    <a:prstGeom prst="rect">
                      <a:avLst/>
                    </a:prstGeom>
                    <a:noFill/>
                  </pic:spPr>
                </pic:pic>
              </a:graphicData>
            </a:graphic>
          </wp:anchor>
        </w:drawing>
      </w:r>
    </w:p>
    <w:p>
      <w:pPr>
        <w:spacing w:after="0" w:line="102" w:lineRule="exact"/>
        <w:rPr>
          <w:sz w:val="20"/>
          <w:szCs w:val="20"/>
          <w:color w:val="auto"/>
        </w:rPr>
      </w:pPr>
    </w:p>
    <w:p>
      <w:pPr>
        <w:ind w:left="2280" w:hanging="221"/>
        <w:spacing w:after="0"/>
        <w:tabs>
          <w:tab w:leader="none" w:pos="2280" w:val="left"/>
        </w:tabs>
        <w:numPr>
          <w:ilvl w:val="0"/>
          <w:numId w:val="93"/>
        </w:numPr>
        <w:rPr>
          <w:rFonts w:ascii="Arial" w:cs="Arial" w:eastAsia="Arial" w:hAnsi="Arial"/>
          <w:sz w:val="8"/>
          <w:szCs w:val="8"/>
          <w:color w:val="050505"/>
        </w:rPr>
      </w:pPr>
      <w:r>
        <w:rPr>
          <w:rFonts w:ascii="Arial" w:cs="Arial" w:eastAsia="Arial" w:hAnsi="Arial"/>
          <w:sz w:val="8"/>
          <w:szCs w:val="8"/>
          <w:color w:val="050505"/>
        </w:rPr>
        <w:t>Represents beneficial ownership of less than 1% of our outstanding shares of common stock.</w:t>
      </w:r>
    </w:p>
    <w:p>
      <w:pPr>
        <w:spacing w:after="0" w:line="43" w:lineRule="exact"/>
        <w:rPr>
          <w:sz w:val="20"/>
          <w:szCs w:val="20"/>
          <w:color w:val="auto"/>
        </w:rPr>
      </w:pPr>
    </w:p>
    <w:p>
      <w:pPr>
        <w:jc w:val="both"/>
        <w:ind w:left="2280" w:right="839" w:hanging="221"/>
        <w:spacing w:after="0" w:line="245" w:lineRule="auto"/>
        <w:tabs>
          <w:tab w:leader="none" w:pos="2280" w:val="left"/>
        </w:tabs>
        <w:numPr>
          <w:ilvl w:val="0"/>
          <w:numId w:val="94"/>
        </w:numPr>
        <w:rPr>
          <w:rFonts w:ascii="Arial" w:cs="Arial" w:eastAsia="Arial" w:hAnsi="Arial"/>
          <w:sz w:val="8"/>
          <w:szCs w:val="8"/>
          <w:color w:val="050505"/>
        </w:rPr>
      </w:pPr>
      <w:r>
        <w:rPr>
          <w:rFonts w:ascii="Arial" w:cs="Arial" w:eastAsia="Arial" w:hAnsi="Arial"/>
          <w:sz w:val="8"/>
          <w:szCs w:val="8"/>
          <w:color w:val="050505"/>
        </w:rPr>
        <w:t>Percentage of total voting power represents voting power with respect to all shares of our Class A common stock and Class B common stock, as a single class. The holders of our Class B common stock are entitled to 20 votes per share, and holders of our Class A common stock are entitled to one vote per share. See the section titled “Description of Capital Stock—Class A Common Stock and Class B Common Stock” for more information about the voting rights of our Class A common stock and Class B common stock.</w:t>
      </w:r>
    </w:p>
    <w:p>
      <w:pPr>
        <w:spacing w:after="0" w:line="33" w:lineRule="exact"/>
        <w:rPr>
          <w:rFonts w:ascii="Arial" w:cs="Arial" w:eastAsia="Arial" w:hAnsi="Arial"/>
          <w:sz w:val="8"/>
          <w:szCs w:val="8"/>
          <w:color w:val="050505"/>
        </w:rPr>
      </w:pPr>
    </w:p>
    <w:p>
      <w:pPr>
        <w:jc w:val="both"/>
        <w:ind w:left="2280" w:right="839" w:hanging="221"/>
        <w:spacing w:after="0"/>
        <w:tabs>
          <w:tab w:leader="none" w:pos="2280" w:val="left"/>
        </w:tabs>
        <w:numPr>
          <w:ilvl w:val="0"/>
          <w:numId w:val="94"/>
        </w:numPr>
        <w:rPr>
          <w:rFonts w:ascii="Arial" w:cs="Arial" w:eastAsia="Arial" w:hAnsi="Arial"/>
          <w:sz w:val="8"/>
          <w:szCs w:val="8"/>
          <w:color w:val="050505"/>
        </w:rPr>
      </w:pPr>
      <w:r>
        <w:rPr>
          <w:rFonts w:ascii="Arial" w:cs="Arial" w:eastAsia="Arial" w:hAnsi="Arial"/>
          <w:sz w:val="8"/>
          <w:szCs w:val="8"/>
          <w:color w:val="050505"/>
        </w:rPr>
        <w:t>Represents (i) 6,366,232 shares of our Class B common stock; (ii) 8,653,336 shares underlying options to purchase Class B common stock that are exercisable within 60 days of August 31, 2019, of which 3,981,251 shares are unvested and subject to repurchase by us; and (iii) 150,000 shares underlying options to purchase Class B common stock held by Jill Foley that are exercisable within 60 days of August 31, 2019, of which 92,292 shares are unvested and subject to repurchase by us. Does not include up to 3,066,664 shares underlying options to purchase Class B common stock that are subject to milestone vesting and will accelerate and vest upon the occurrence of specified liquidity events, including an initial public offering exceeding a certain valuation, as defined in the corresponding stock option award agreement.</w:t>
      </w:r>
    </w:p>
    <w:p>
      <w:pPr>
        <w:spacing w:after="0" w:line="35" w:lineRule="exact"/>
        <w:rPr>
          <w:rFonts w:ascii="Arial" w:cs="Arial" w:eastAsia="Arial" w:hAnsi="Arial"/>
          <w:sz w:val="8"/>
          <w:szCs w:val="8"/>
          <w:color w:val="050505"/>
        </w:rPr>
      </w:pPr>
    </w:p>
    <w:p>
      <w:pPr>
        <w:jc w:val="both"/>
        <w:ind w:left="2280" w:right="839" w:hanging="221"/>
        <w:spacing w:after="0"/>
        <w:tabs>
          <w:tab w:leader="none" w:pos="2280" w:val="left"/>
        </w:tabs>
        <w:numPr>
          <w:ilvl w:val="0"/>
          <w:numId w:val="94"/>
        </w:numPr>
        <w:rPr>
          <w:rFonts w:ascii="Arial" w:cs="Arial" w:eastAsia="Arial" w:hAnsi="Arial"/>
          <w:sz w:val="8"/>
          <w:szCs w:val="8"/>
          <w:color w:val="050505"/>
        </w:rPr>
      </w:pPr>
      <w:r>
        <w:rPr>
          <w:rFonts w:ascii="Arial" w:cs="Arial" w:eastAsia="Arial" w:hAnsi="Arial"/>
          <w:sz w:val="8"/>
          <w:szCs w:val="8"/>
          <w:color w:val="050505"/>
        </w:rPr>
        <w:t>Represents (i) 1,175,000 shares of our Class B common stock; (ii) 4,747,716 shares underlying options to purchase Class B common stock that are exercisable within 60 days of August 31, 2019, of which 4,397,858 shares are unvested and subject to repurchase by us; (iii) 1,430,000 shares of our Class B common stock held by William Lynch and Nicole P. Lynch as Community Property with Right of Survivorship; (iv) 46,000 shares of our Class B common stock held by The Jack Lynch 2018 Irrevocable Trust; (v) 46,000 shares of our Class B common stock held by The Lily Lynch 2018 Irrevocable Trust; (vi) 46,000 shares of our Class B common stock held by The Charlotte Lynch 2018 Irrevocable Trust; and (vii) 12,000 shares of our Class B common stock held by The Texas Lynch 2018 Irrevocable Trust.</w:t>
      </w:r>
    </w:p>
    <w:p>
      <w:pPr>
        <w:spacing w:after="0" w:line="35" w:lineRule="exact"/>
        <w:rPr>
          <w:rFonts w:ascii="Arial" w:cs="Arial" w:eastAsia="Arial" w:hAnsi="Arial"/>
          <w:sz w:val="8"/>
          <w:szCs w:val="8"/>
          <w:color w:val="050505"/>
        </w:rPr>
      </w:pPr>
    </w:p>
    <w:p>
      <w:pPr>
        <w:ind w:left="2280" w:right="839" w:hanging="221"/>
        <w:spacing w:after="0" w:line="256" w:lineRule="auto"/>
        <w:tabs>
          <w:tab w:leader="none" w:pos="2280" w:val="left"/>
        </w:tabs>
        <w:numPr>
          <w:ilvl w:val="0"/>
          <w:numId w:val="94"/>
        </w:numPr>
        <w:rPr>
          <w:rFonts w:ascii="Arial" w:cs="Arial" w:eastAsia="Arial" w:hAnsi="Arial"/>
          <w:sz w:val="8"/>
          <w:szCs w:val="8"/>
          <w:color w:val="050505"/>
        </w:rPr>
      </w:pPr>
      <w:r>
        <w:rPr>
          <w:rFonts w:ascii="Arial" w:cs="Arial" w:eastAsia="Arial" w:hAnsi="Arial"/>
          <w:sz w:val="8"/>
          <w:szCs w:val="8"/>
          <w:color w:val="050505"/>
        </w:rPr>
        <w:t>Represents 3,500,000 shares underlying options to purchase Class B common stock that are exercisable within 60 days of August 31, 2019, of which 2,468,750 shares are unvested and subject to repurchase by us.</w:t>
      </w:r>
    </w:p>
    <w:p>
      <w:pPr>
        <w:spacing w:after="0" w:line="28" w:lineRule="exact"/>
        <w:rPr>
          <w:rFonts w:ascii="Arial" w:cs="Arial" w:eastAsia="Arial" w:hAnsi="Arial"/>
          <w:sz w:val="8"/>
          <w:szCs w:val="8"/>
          <w:color w:val="050505"/>
        </w:rPr>
      </w:pPr>
    </w:p>
    <w:p>
      <w:pPr>
        <w:ind w:left="2280" w:right="839" w:hanging="221"/>
        <w:spacing w:after="0" w:line="256" w:lineRule="auto"/>
        <w:tabs>
          <w:tab w:leader="none" w:pos="2280" w:val="left"/>
        </w:tabs>
        <w:numPr>
          <w:ilvl w:val="0"/>
          <w:numId w:val="94"/>
        </w:numPr>
        <w:rPr>
          <w:rFonts w:ascii="Arial" w:cs="Arial" w:eastAsia="Arial" w:hAnsi="Arial"/>
          <w:sz w:val="8"/>
          <w:szCs w:val="8"/>
          <w:color w:val="050505"/>
        </w:rPr>
      </w:pPr>
      <w:r>
        <w:rPr>
          <w:rFonts w:ascii="Arial" w:cs="Arial" w:eastAsia="Arial" w:hAnsi="Arial"/>
          <w:sz w:val="8"/>
          <w:szCs w:val="8"/>
          <w:color w:val="050505"/>
        </w:rPr>
        <w:t>Represents (i) 451,044 shares of Class B common stock held of record by the Erik Blachford and Maryam Mohit Family Trust, Erik Blachford, Trustee, and (ii) 1,340,000 shares underlying options to purchase Class B common stock that are exercisable within 60 days of August 31, 2019, of which 500,417 shares are unvested and subject to repurchase by us.</w:t>
      </w:r>
    </w:p>
    <w:p>
      <w:pPr>
        <w:spacing w:after="0" w:line="28" w:lineRule="exact"/>
        <w:rPr>
          <w:rFonts w:ascii="Arial" w:cs="Arial" w:eastAsia="Arial" w:hAnsi="Arial"/>
          <w:sz w:val="8"/>
          <w:szCs w:val="8"/>
          <w:color w:val="050505"/>
        </w:rPr>
      </w:pPr>
    </w:p>
    <w:p>
      <w:pPr>
        <w:ind w:left="2280" w:right="839" w:hanging="221"/>
        <w:spacing w:after="0" w:line="256" w:lineRule="auto"/>
        <w:tabs>
          <w:tab w:leader="none" w:pos="2280" w:val="left"/>
        </w:tabs>
        <w:numPr>
          <w:ilvl w:val="0"/>
          <w:numId w:val="94"/>
        </w:numPr>
        <w:rPr>
          <w:rFonts w:ascii="Arial" w:cs="Arial" w:eastAsia="Arial" w:hAnsi="Arial"/>
          <w:sz w:val="8"/>
          <w:szCs w:val="8"/>
          <w:color w:val="050505"/>
        </w:rPr>
      </w:pPr>
      <w:r>
        <w:rPr>
          <w:rFonts w:ascii="Arial" w:cs="Arial" w:eastAsia="Arial" w:hAnsi="Arial"/>
          <w:sz w:val="8"/>
          <w:szCs w:val="8"/>
          <w:color w:val="050505"/>
        </w:rPr>
        <w:t>Represents 600,000 shares underlying options to purchase Class B common stock that are exercisable within 60 days of August 31, 2019, of which 487,500 shares are unvested and subject to repurchase by us.</w:t>
      </w:r>
    </w:p>
    <w:p>
      <w:pPr>
        <w:spacing w:after="0" w:line="88" w:lineRule="exact"/>
        <w:rPr>
          <w:sz w:val="20"/>
          <w:szCs w:val="20"/>
          <w:color w:val="auto"/>
        </w:rPr>
      </w:pPr>
    </w:p>
    <w:p>
      <w:pPr>
        <w:ind w:left="5640"/>
        <w:spacing w:after="0"/>
        <w:rPr>
          <w:sz w:val="20"/>
          <w:szCs w:val="20"/>
          <w:color w:val="auto"/>
        </w:rPr>
      </w:pPr>
      <w:r>
        <w:rPr>
          <w:rFonts w:ascii="Arial" w:cs="Arial" w:eastAsia="Arial" w:hAnsi="Arial"/>
          <w:sz w:val="11"/>
          <w:szCs w:val="11"/>
          <w:color w:val="050505"/>
        </w:rPr>
        <w:t>134</w:t>
      </w:r>
    </w:p>
    <w:p>
      <w:pPr>
        <w:sectPr>
          <w:pgSz w:w="11900" w:h="16838" w:orient="portrait"/>
          <w:cols w:equalWidth="0" w:num="1">
            <w:col w:w="10239"/>
          </w:cols>
          <w:pgMar w:left="220" w:top="354" w:right="1440" w:bottom="1440" w:gutter="0" w:footer="0" w:header="0"/>
        </w:sectPr>
      </w:pPr>
    </w:p>
    <w:bookmarkStart w:id="144" w:name="page145"/>
    <w:bookmarkEnd w:id="144"/>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hyperlink w:anchor="page5">
        <w:r>
          <w:rPr>
            <w:rFonts w:ascii="Arial" w:cs="Arial" w:eastAsia="Arial" w:hAnsi="Arial"/>
            <w:sz w:val="12"/>
            <w:szCs w:val="12"/>
            <w:b w:val="1"/>
            <w:bCs w:val="1"/>
            <w:u w:val="single" w:color="auto"/>
            <w:color w:val="0000EE"/>
          </w:rPr>
          <w:t>Table of Contents</w:t>
        </w:r>
      </w:hyperlink>
    </w:p>
    <w:p>
      <w:pPr>
        <w:spacing w:after="0" w:line="209" w:lineRule="exact"/>
        <w:rPr>
          <w:sz w:val="20"/>
          <w:szCs w:val="20"/>
          <w:color w:val="auto"/>
        </w:rPr>
      </w:pPr>
    </w:p>
    <w:p>
      <w:pPr>
        <w:ind w:left="2280" w:hanging="221"/>
        <w:spacing w:after="0"/>
        <w:tabs>
          <w:tab w:leader="none" w:pos="2280" w:val="left"/>
        </w:tabs>
        <w:numPr>
          <w:ilvl w:val="0"/>
          <w:numId w:val="95"/>
        </w:numPr>
        <w:rPr>
          <w:rFonts w:ascii="Arial" w:cs="Arial" w:eastAsia="Arial" w:hAnsi="Arial"/>
          <w:sz w:val="8"/>
          <w:szCs w:val="8"/>
          <w:color w:val="050505"/>
        </w:rPr>
      </w:pPr>
      <w:r>
        <w:rPr>
          <w:rFonts w:ascii="Arial" w:cs="Arial" w:eastAsia="Arial" w:hAnsi="Arial"/>
          <w:sz w:val="8"/>
          <w:szCs w:val="8"/>
          <w:color w:val="050505"/>
        </w:rPr>
        <w:t>Represents (i) 18,241,748 shares of Class B common stock held of record by True Ventures IV, LP; (ii) 3,927,052 shares of Class B common stock held of record by True Ventures Select I, LP;</w:t>
      </w:r>
    </w:p>
    <w:p>
      <w:pPr>
        <w:jc w:val="both"/>
        <w:ind w:left="2280" w:right="839" w:hanging="5"/>
        <w:spacing w:after="0"/>
        <w:tabs>
          <w:tab w:leader="none" w:pos="2416" w:val="left"/>
        </w:tabs>
        <w:numPr>
          <w:ilvl w:val="1"/>
          <w:numId w:val="95"/>
        </w:numPr>
        <w:rPr>
          <w:rFonts w:ascii="Arial" w:cs="Arial" w:eastAsia="Arial" w:hAnsi="Arial"/>
          <w:sz w:val="8"/>
          <w:szCs w:val="8"/>
          <w:color w:val="050505"/>
        </w:rPr>
      </w:pPr>
      <w:r>
        <w:rPr>
          <w:rFonts w:ascii="Arial" w:cs="Arial" w:eastAsia="Arial" w:hAnsi="Arial"/>
          <w:sz w:val="8"/>
          <w:szCs w:val="8"/>
          <w:color w:val="050505"/>
        </w:rPr>
        <w:t>2,769,852 shares of Class B common stock held of record by True Ventures Select II, LP; and (iv) 3,430,622 shares of Class B common stock held of record by True Ventures Select III, LP. True Venture Partners IV, LLC is the general partner of True Ventures IV, LP. True Venture Partners Select I, LLC is the general partner of True Ventures Select I, LP. True Venture Partners Select II, LLC is the general partner of True Ventures Select II, L.P. True Venture Partners Select III, LLC is the general partner of True Ventures Select III, L.P. Jon Callaghan and Philip Black are the managing members of True Ventures IV, LLC, True Venture Partners Select I, LLC, True Venture Partners Select II, LLC, and True Venture Partners Select III, LLC. The business address for each of these entities is 575 High Street, Palo Alto, California 94301.</w:t>
      </w:r>
    </w:p>
    <w:p>
      <w:pPr>
        <w:spacing w:after="0" w:line="35" w:lineRule="exact"/>
        <w:rPr>
          <w:rFonts w:ascii="Arial" w:cs="Arial" w:eastAsia="Arial" w:hAnsi="Arial"/>
          <w:sz w:val="8"/>
          <w:szCs w:val="8"/>
          <w:color w:val="050505"/>
        </w:rPr>
      </w:pPr>
    </w:p>
    <w:p>
      <w:pPr>
        <w:ind w:left="2280" w:right="839" w:hanging="221"/>
        <w:spacing w:after="0" w:line="256" w:lineRule="auto"/>
        <w:tabs>
          <w:tab w:leader="none" w:pos="2280" w:val="left"/>
        </w:tabs>
        <w:numPr>
          <w:ilvl w:val="0"/>
          <w:numId w:val="95"/>
        </w:numPr>
        <w:rPr>
          <w:rFonts w:ascii="Arial" w:cs="Arial" w:eastAsia="Arial" w:hAnsi="Arial"/>
          <w:sz w:val="8"/>
          <w:szCs w:val="8"/>
          <w:color w:val="050505"/>
        </w:rPr>
      </w:pPr>
      <w:r>
        <w:rPr>
          <w:rFonts w:ascii="Arial" w:cs="Arial" w:eastAsia="Arial" w:hAnsi="Arial"/>
          <w:sz w:val="8"/>
          <w:szCs w:val="8"/>
          <w:color w:val="050505"/>
        </w:rPr>
        <w:t>Represents (i) 439,570 shares of Class B common stock; (ii) 550,418 shares underlying options to purchase Class B common stock that are exercisable within 60 days of August 31, 2019, of which 517,917 shares are unvested and subject to repurchase by us; and (iii) 140,736 shares of Class B common stock held by Caroline Draft.</w:t>
      </w:r>
    </w:p>
    <w:p>
      <w:pPr>
        <w:spacing w:after="0" w:line="28" w:lineRule="exact"/>
        <w:rPr>
          <w:rFonts w:ascii="Arial" w:cs="Arial" w:eastAsia="Arial" w:hAnsi="Arial"/>
          <w:sz w:val="8"/>
          <w:szCs w:val="8"/>
          <w:color w:val="050505"/>
        </w:rPr>
      </w:pPr>
    </w:p>
    <w:p>
      <w:pPr>
        <w:jc w:val="both"/>
        <w:ind w:left="2280" w:right="839" w:hanging="221"/>
        <w:spacing w:after="0" w:line="245" w:lineRule="auto"/>
        <w:tabs>
          <w:tab w:leader="none" w:pos="2280" w:val="left"/>
        </w:tabs>
        <w:numPr>
          <w:ilvl w:val="0"/>
          <w:numId w:val="95"/>
        </w:numPr>
        <w:rPr>
          <w:rFonts w:ascii="Arial" w:cs="Arial" w:eastAsia="Arial" w:hAnsi="Arial"/>
          <w:sz w:val="8"/>
          <w:szCs w:val="8"/>
          <w:color w:val="050505"/>
        </w:rPr>
      </w:pPr>
      <w:r>
        <w:rPr>
          <w:rFonts w:ascii="Arial" w:cs="Arial" w:eastAsia="Arial" w:hAnsi="Arial"/>
          <w:sz w:val="8"/>
          <w:szCs w:val="8"/>
          <w:color w:val="050505"/>
        </w:rPr>
        <w:t>Mr. Hoag is a director of Technology Crossover Management IX, Ltd. and Technology Crossover Management X, Ltd. and a limited partner of Technology Crossover Management IX, L.P. and Technology Crossover Management X, L.P. which are entities affiliated with the TCV Funds described in note (14) below, but does not hold voting or dispositive power over the shares held of record by the TCV Funds. See note (14) below for more information regarding the TCV Funds.</w:t>
      </w:r>
    </w:p>
    <w:p>
      <w:pPr>
        <w:spacing w:after="0" w:line="33" w:lineRule="exact"/>
        <w:rPr>
          <w:rFonts w:ascii="Arial" w:cs="Arial" w:eastAsia="Arial" w:hAnsi="Arial"/>
          <w:sz w:val="8"/>
          <w:szCs w:val="8"/>
          <w:color w:val="050505"/>
        </w:rPr>
      </w:pPr>
    </w:p>
    <w:p>
      <w:pPr>
        <w:ind w:left="2280" w:right="839" w:hanging="221"/>
        <w:spacing w:after="0" w:line="256" w:lineRule="auto"/>
        <w:tabs>
          <w:tab w:leader="none" w:pos="2280" w:val="left"/>
        </w:tabs>
        <w:numPr>
          <w:ilvl w:val="0"/>
          <w:numId w:val="95"/>
        </w:numPr>
        <w:rPr>
          <w:rFonts w:ascii="Arial" w:cs="Arial" w:eastAsia="Arial" w:hAnsi="Arial"/>
          <w:sz w:val="8"/>
          <w:szCs w:val="8"/>
          <w:color w:val="050505"/>
        </w:rPr>
      </w:pPr>
      <w:r>
        <w:rPr>
          <w:rFonts w:ascii="Arial" w:cs="Arial" w:eastAsia="Arial" w:hAnsi="Arial"/>
          <w:sz w:val="8"/>
          <w:szCs w:val="8"/>
          <w:color w:val="050505"/>
        </w:rPr>
        <w:t>Represents 600,000 shares underlying options to purchase Class B common stock that are exercisable within 60 days of August 31, 2019, of which 445,834 shares are unvested and subject to repurchase by us.</w:t>
      </w:r>
    </w:p>
    <w:p>
      <w:pPr>
        <w:spacing w:after="0" w:line="28" w:lineRule="exact"/>
        <w:rPr>
          <w:rFonts w:ascii="Arial" w:cs="Arial" w:eastAsia="Arial" w:hAnsi="Arial"/>
          <w:sz w:val="8"/>
          <w:szCs w:val="8"/>
          <w:color w:val="050505"/>
        </w:rPr>
      </w:pPr>
    </w:p>
    <w:p>
      <w:pPr>
        <w:ind w:left="2280" w:right="839" w:hanging="221"/>
        <w:spacing w:after="0" w:line="256" w:lineRule="auto"/>
        <w:tabs>
          <w:tab w:leader="none" w:pos="2280" w:val="left"/>
        </w:tabs>
        <w:numPr>
          <w:ilvl w:val="0"/>
          <w:numId w:val="95"/>
        </w:numPr>
        <w:rPr>
          <w:rFonts w:ascii="Arial" w:cs="Arial" w:eastAsia="Arial" w:hAnsi="Arial"/>
          <w:sz w:val="8"/>
          <w:szCs w:val="8"/>
          <w:color w:val="050505"/>
        </w:rPr>
      </w:pPr>
      <w:r>
        <w:rPr>
          <w:rFonts w:ascii="Arial" w:cs="Arial" w:eastAsia="Arial" w:hAnsi="Arial"/>
          <w:sz w:val="8"/>
          <w:szCs w:val="8"/>
          <w:color w:val="050505"/>
        </w:rPr>
        <w:t>Represents (i) 40,021,856 shares of Class B common stock and (ii) 28,179,006 shares of Class B common stock subject to options that are exercisable within 60 days of August 31, 2019, of which 16,462,653 shares are unvested and subject to repurchase by us.</w:t>
      </w:r>
    </w:p>
    <w:p>
      <w:pPr>
        <w:spacing w:after="0" w:line="28" w:lineRule="exact"/>
        <w:rPr>
          <w:rFonts w:ascii="Arial" w:cs="Arial" w:eastAsia="Arial" w:hAnsi="Arial"/>
          <w:sz w:val="8"/>
          <w:szCs w:val="8"/>
          <w:color w:val="050505"/>
        </w:rPr>
      </w:pPr>
    </w:p>
    <w:p>
      <w:pPr>
        <w:jc w:val="both"/>
        <w:ind w:left="2280" w:right="839" w:hanging="221"/>
        <w:spacing w:after="0" w:line="247" w:lineRule="auto"/>
        <w:tabs>
          <w:tab w:leader="none" w:pos="2280" w:val="left"/>
        </w:tabs>
        <w:numPr>
          <w:ilvl w:val="0"/>
          <w:numId w:val="95"/>
        </w:numPr>
        <w:rPr>
          <w:rFonts w:ascii="Arial" w:cs="Arial" w:eastAsia="Arial" w:hAnsi="Arial"/>
          <w:sz w:val="8"/>
          <w:szCs w:val="8"/>
          <w:color w:val="050505"/>
        </w:rPr>
      </w:pPr>
      <w:r>
        <w:rPr>
          <w:rFonts w:ascii="Arial" w:cs="Arial" w:eastAsia="Arial" w:hAnsi="Arial"/>
          <w:sz w:val="8"/>
          <w:szCs w:val="8"/>
          <w:color w:val="050505"/>
        </w:rPr>
        <w:t>Represents 12,803,381 shares of Class B common stock held of record by CP Interactive Fitness, LP. CP7 Management L.L.C. is the general partner of CP Interactive Fitness, LP. The sale and managing members of CP7 Management, LLC are J. Michael Chu and Scott A. Dahnke. The address for CP7 Management L.L.C. is 599 West Putnam Avenue, Greenwich, Connecticut 06830.</w:t>
      </w:r>
    </w:p>
    <w:p>
      <w:pPr>
        <w:spacing w:after="0" w:line="125" w:lineRule="exact"/>
        <w:rPr>
          <w:rFonts w:ascii="Arial" w:cs="Arial" w:eastAsia="Arial" w:hAnsi="Arial"/>
          <w:sz w:val="8"/>
          <w:szCs w:val="8"/>
          <w:color w:val="050505"/>
        </w:rPr>
      </w:pPr>
    </w:p>
    <w:p>
      <w:pPr>
        <w:jc w:val="both"/>
        <w:ind w:left="2280" w:right="839" w:hanging="221"/>
        <w:spacing w:after="0" w:line="237" w:lineRule="auto"/>
        <w:tabs>
          <w:tab w:leader="none" w:pos="2280" w:val="left"/>
        </w:tabs>
        <w:numPr>
          <w:ilvl w:val="0"/>
          <w:numId w:val="95"/>
        </w:numPr>
        <w:rPr>
          <w:rFonts w:ascii="Arial" w:cs="Arial" w:eastAsia="Arial" w:hAnsi="Arial"/>
          <w:sz w:val="8"/>
          <w:szCs w:val="8"/>
          <w:color w:val="050505"/>
        </w:rPr>
      </w:pPr>
      <w:r>
        <w:rPr>
          <w:rFonts w:ascii="Arial" w:cs="Arial" w:eastAsia="Arial" w:hAnsi="Arial"/>
          <w:sz w:val="8"/>
          <w:szCs w:val="8"/>
          <w:color w:val="050505"/>
        </w:rPr>
        <w:t>Represents (i) 2,584,758 shares of Class B common stock held of record by TCV IX (A), L.P.; (ii) 489,240 shares of Class B stock held of record by TCV IX (B), L.P.; (iii) 9,160,510 shares of Class B common stock held of record by TCV IX, L.P.; (iv) 710,175 shares of Class B common stock held of record by TCV Member Fund, L.P.; (v) 2,067,355 shares of Class B common stock held of record by TCV X, L.P.; (vi) 512,669 shares of Class B common stock held of record by TCV X (A), L.P.; (vii) 100,792 shares of Class B common stock held of record by TCV X (B), L.P.; and (viii) 115,670 shares of Class B common stock held of record by TCV X Member Fund, L.P., collectively the TCV Funds. Technology Crossover Management IX, Ltd., or Management IX, is a general partner of each of Technology Crossover Management IX, L.P. or TCM IX and TCV Member Fund, L.P. TCM IX is the general partner of each of TCV IX, L.P., TCV IX (A), L.P., and TCV IX (B). L.P. Technology Crossover Management X, Ltd., or Management X, is a general partner of each of Technology Crossover Management X, L.P. or TCM X and TCV X Member Fund, L.P. TCM X is the general partner of TCV X, L.P., TCV X (A), L.P. and TCV X (B), L.P. Management IX may be deemed to have the sole voting and dispositive power over the shares held by TCV IX, L.P., TCV IX (A), L.P., TCV IX (B). L.P., and TCV Member Fund, L.P. Management X may be deemed to have the sole voting and dispositive power over the shares held by TCV X, L.P., TCV X (A), L.P., TCV X (B). L.P., and TCV X Member Fund, L.P. Shares of Class A common stock beneficially owned after this offering and the private placement include 3,448,275 shares of Class A common stock to be purchased by entities affiliated with TCV in the private placement, based upon the initial public offering price of $29.00 per share. The address of each of the foregoing entities and persons is 250 Middlefield Road, Menlo Park, California 94025.</w:t>
      </w:r>
    </w:p>
    <w:p>
      <w:pPr>
        <w:spacing w:after="0" w:line="36" w:lineRule="exact"/>
        <w:rPr>
          <w:rFonts w:ascii="Arial" w:cs="Arial" w:eastAsia="Arial" w:hAnsi="Arial"/>
          <w:sz w:val="8"/>
          <w:szCs w:val="8"/>
          <w:color w:val="050505"/>
        </w:rPr>
      </w:pPr>
    </w:p>
    <w:p>
      <w:pPr>
        <w:jc w:val="both"/>
        <w:ind w:left="2280" w:right="839" w:hanging="221"/>
        <w:spacing w:after="0" w:line="245" w:lineRule="auto"/>
        <w:tabs>
          <w:tab w:leader="none" w:pos="2280" w:val="left"/>
        </w:tabs>
        <w:numPr>
          <w:ilvl w:val="0"/>
          <w:numId w:val="95"/>
        </w:numPr>
        <w:rPr>
          <w:rFonts w:ascii="Arial" w:cs="Arial" w:eastAsia="Arial" w:hAnsi="Arial"/>
          <w:sz w:val="8"/>
          <w:szCs w:val="8"/>
          <w:color w:val="050505"/>
        </w:rPr>
      </w:pPr>
      <w:r>
        <w:rPr>
          <w:rFonts w:ascii="Arial" w:cs="Arial" w:eastAsia="Arial" w:hAnsi="Arial"/>
          <w:sz w:val="8"/>
          <w:szCs w:val="8"/>
          <w:color w:val="050505"/>
        </w:rPr>
        <w:t>Consists of shares of Class B common stock held by Tiger Global Private Investment Partners VII, L.P., Tiger Global PIP VII Holdings, L.P. and an affiliate of Tiger Global Management, LLC. Tiger Global Management, LLC is controlled by Chase Coleman and Scott Shleifer. The business address for each of these entities and individuals is c/o Tiger Global Management, LLC, 9 West 57th Street, 35th Floor, New York, New York 10019.</w:t>
      </w:r>
    </w:p>
    <w:p>
      <w:pPr>
        <w:spacing w:after="0" w:line="31" w:lineRule="exact"/>
        <w:rPr>
          <w:rFonts w:ascii="Arial" w:cs="Arial" w:eastAsia="Arial" w:hAnsi="Arial"/>
          <w:sz w:val="8"/>
          <w:szCs w:val="8"/>
          <w:color w:val="050505"/>
        </w:rPr>
      </w:pPr>
    </w:p>
    <w:p>
      <w:pPr>
        <w:ind w:left="2280" w:hanging="221"/>
        <w:spacing w:after="0"/>
        <w:tabs>
          <w:tab w:leader="none" w:pos="2280" w:val="left"/>
        </w:tabs>
        <w:numPr>
          <w:ilvl w:val="0"/>
          <w:numId w:val="95"/>
        </w:numPr>
        <w:rPr>
          <w:rFonts w:ascii="Arial" w:cs="Arial" w:eastAsia="Arial" w:hAnsi="Arial"/>
          <w:sz w:val="8"/>
          <w:szCs w:val="8"/>
          <w:color w:val="050505"/>
        </w:rPr>
      </w:pPr>
      <w:r>
        <w:rPr>
          <w:rFonts w:ascii="Arial" w:cs="Arial" w:eastAsia="Arial" w:hAnsi="Arial"/>
          <w:sz w:val="8"/>
          <w:szCs w:val="8"/>
          <w:color w:val="050505"/>
        </w:rPr>
        <w:t>Represents (i) 1,341,716 shares of Class B common stock held by Fidelity Securities Fund: Fidelity Blue Chip Growth Fund, (ii) 26,036 shares of Class B common stock held by Fidelity Blue</w:t>
      </w:r>
    </w:p>
    <w:p>
      <w:pPr>
        <w:ind w:left="2280"/>
        <w:spacing w:after="0" w:line="234" w:lineRule="auto"/>
        <w:rPr>
          <w:rFonts w:ascii="Arial" w:cs="Arial" w:eastAsia="Arial" w:hAnsi="Arial"/>
          <w:sz w:val="8"/>
          <w:szCs w:val="8"/>
          <w:color w:val="050505"/>
        </w:rPr>
      </w:pPr>
      <w:r>
        <w:rPr>
          <w:rFonts w:ascii="Arial" w:cs="Arial" w:eastAsia="Arial" w:hAnsi="Arial"/>
          <w:sz w:val="8"/>
          <w:szCs w:val="8"/>
          <w:color w:val="050505"/>
        </w:rPr>
        <w:t>Chip Growth Commingled Pool, (iii) 3,760,544 shares of Class B common stock held by Fidelity Contrafund: Fidelity Advisor New Insights Fund, (iv) 377,252 shares of Class B common stock</w:t>
      </w:r>
    </w:p>
    <w:p>
      <w:pPr>
        <w:ind w:left="2280"/>
        <w:spacing w:after="0" w:line="234" w:lineRule="auto"/>
        <w:rPr>
          <w:rFonts w:ascii="Arial" w:cs="Arial" w:eastAsia="Arial" w:hAnsi="Arial"/>
          <w:sz w:val="8"/>
          <w:szCs w:val="8"/>
          <w:color w:val="050505"/>
        </w:rPr>
      </w:pPr>
      <w:r>
        <w:rPr>
          <w:rFonts w:ascii="Arial" w:cs="Arial" w:eastAsia="Arial" w:hAnsi="Arial"/>
          <w:sz w:val="8"/>
          <w:szCs w:val="8"/>
          <w:color w:val="050505"/>
        </w:rPr>
        <w:t>held by Fidelity Securities Fund: Fidelity Blue Chip Growth Fund, (v) 776,112 shares of Class B common stock held by Fidelity Mt. Vernon Street Trust: Fidelity Series Growth Company Fund ,</w:t>
      </w:r>
    </w:p>
    <w:p>
      <w:pPr>
        <w:jc w:val="both"/>
        <w:ind w:left="2280" w:right="839" w:hanging="5"/>
        <w:spacing w:after="0" w:line="236" w:lineRule="auto"/>
        <w:tabs>
          <w:tab w:leader="none" w:pos="2430" w:val="left"/>
        </w:tabs>
        <w:numPr>
          <w:ilvl w:val="1"/>
          <w:numId w:val="96"/>
        </w:numPr>
        <w:rPr>
          <w:rFonts w:ascii="Arial" w:cs="Arial" w:eastAsia="Arial" w:hAnsi="Arial"/>
          <w:sz w:val="8"/>
          <w:szCs w:val="8"/>
          <w:color w:val="050505"/>
        </w:rPr>
      </w:pPr>
      <w:r>
        <w:rPr>
          <w:rFonts w:ascii="Arial" w:cs="Arial" w:eastAsia="Arial" w:hAnsi="Arial"/>
          <w:sz w:val="8"/>
          <w:szCs w:val="8"/>
          <w:color w:val="050505"/>
        </w:rPr>
        <w:t>2,549,928 shares of Class B common stock held by Fidelity Mt. Vernon Street Trust: Fidelity Growth Company Fund, (vii) 1,290,384 shares of Class B common stock held by Fidelity Growth Company Commingled Pool, (viii) 2,507,776 shares of Class B common stock held by Fidelity Concord Street Trust: Fidelity Mid-Cap Stock Fund, (ix) 126,704 shares of Class B common stock held by Fidelity Mid-Cap Stock Commingled Pool, (x) 1,222,216 shares of Class B common stock held by Fidelity Mt. Vernon Street Trust: Fidelity New Millennium Fund, (xi) 1,846,568 shares of Class B common stock held by Fidelity Puritan Trust: Fidelity Puritan Fund, and (xii) 101,560 shares of Class B common stock held by FIAM Target Date Blue Chip Growth Commingled Pool, or collectively, the Fidelity Entities. The Fidelity Entities are managed by direct or indirect subsidiaries of FMR LLC. Abigail P. Johnson is a Director, the Chairman, the Chief Executive Officer and the President of FMR LLC. Members of the Johnson family, including Abigail P. Johnson, are the predominant owners, directly or through trusts, of Series B voting common shares of FMR LLC, representing 49% of the voting power of FMR LLC. 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 FMR LLC. Neither FMR LLC nor Abigail P. Johnson has the sole power to vote or direct the voting of the shares owned directly by the various investment companies registered under the Investment Company Act, or the Fidelity Funds, advised by Fidelity Management &amp; Research Company, or FMR Co, a wholly owned subsidiary of FMR LLC, which power resides with the Fidelity Funds’ Boards of Trustees. Fidelity Management &amp; Research Company carries out the voting of the shares under written guidelines established by the Fidelity Funds’ Boards of Trustees. The business address for each of these entities is 200 Seaport Blvd. V12E, Boston, Massachusetts 02210.</w:t>
      </w:r>
    </w:p>
    <w:p>
      <w:pPr>
        <w:spacing w:after="0" w:line="99" w:lineRule="exact"/>
        <w:rPr>
          <w:sz w:val="20"/>
          <w:szCs w:val="20"/>
          <w:color w:val="auto"/>
        </w:rPr>
      </w:pPr>
    </w:p>
    <w:p>
      <w:pPr>
        <w:ind w:left="5640"/>
        <w:spacing w:after="0"/>
        <w:rPr>
          <w:sz w:val="20"/>
          <w:szCs w:val="20"/>
          <w:color w:val="auto"/>
        </w:rPr>
      </w:pPr>
      <w:r>
        <w:rPr>
          <w:rFonts w:ascii="Arial" w:cs="Arial" w:eastAsia="Arial" w:hAnsi="Arial"/>
          <w:sz w:val="11"/>
          <w:szCs w:val="11"/>
          <w:color w:val="050505"/>
        </w:rPr>
        <w:t>135</w:t>
      </w:r>
    </w:p>
    <w:p>
      <w:pPr>
        <w:sectPr>
          <w:pgSz w:w="11900" w:h="16838" w:orient="portrait"/>
          <w:cols w:equalWidth="0" w:num="1">
            <w:col w:w="10239"/>
          </w:cols>
          <w:pgMar w:left="220" w:top="354" w:right="1440" w:bottom="1440" w:gutter="0" w:footer="0" w:header="0"/>
        </w:sectPr>
      </w:pPr>
    </w:p>
    <w:bookmarkStart w:id="145" w:name="page146"/>
    <w:bookmarkEnd w:id="145"/>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hyperlink w:anchor="page5">
        <w:r>
          <w:rPr>
            <w:rFonts w:ascii="Arial" w:cs="Arial" w:eastAsia="Arial" w:hAnsi="Arial"/>
            <w:sz w:val="12"/>
            <w:szCs w:val="12"/>
            <w:b w:val="1"/>
            <w:bCs w:val="1"/>
            <w:u w:val="single" w:color="auto"/>
            <w:color w:val="0000EE"/>
          </w:rPr>
          <w:t>Table of Contents</w:t>
        </w:r>
      </w:hyperlink>
    </w:p>
    <w:p>
      <w:pPr>
        <w:spacing w:after="0" w:line="200" w:lineRule="exact"/>
        <w:rPr>
          <w:sz w:val="20"/>
          <w:szCs w:val="20"/>
          <w:color w:val="auto"/>
        </w:rPr>
      </w:pPr>
    </w:p>
    <w:p>
      <w:pPr>
        <w:jc w:val="center"/>
        <w:ind w:right="-1220"/>
        <w:spacing w:after="0"/>
        <w:rPr>
          <w:sz w:val="20"/>
          <w:szCs w:val="20"/>
          <w:color w:val="auto"/>
        </w:rPr>
      </w:pPr>
      <w:r>
        <w:rPr>
          <w:rFonts w:ascii="Arial" w:cs="Arial" w:eastAsia="Arial" w:hAnsi="Arial"/>
          <w:sz w:val="12"/>
          <w:szCs w:val="12"/>
          <w:b w:val="1"/>
          <w:bCs w:val="1"/>
          <w:color w:val="auto"/>
        </w:rPr>
        <w:t>DESCRIPTION OF CAPITAL STOCK</w:t>
      </w:r>
    </w:p>
    <w:p>
      <w:pPr>
        <w:spacing w:after="0" w:line="157" w:lineRule="exact"/>
        <w:rPr>
          <w:sz w:val="20"/>
          <w:szCs w:val="20"/>
          <w:color w:val="auto"/>
        </w:rPr>
      </w:pPr>
    </w:p>
    <w:p>
      <w:pPr>
        <w:jc w:val="both"/>
        <w:ind w:left="2060" w:right="839"/>
        <w:spacing w:after="0"/>
        <w:rPr>
          <w:sz w:val="20"/>
          <w:szCs w:val="20"/>
          <w:color w:val="auto"/>
        </w:rPr>
      </w:pPr>
      <w:r>
        <w:rPr>
          <w:rFonts w:ascii="Arial" w:cs="Arial" w:eastAsia="Arial" w:hAnsi="Arial"/>
          <w:sz w:val="11"/>
          <w:szCs w:val="11"/>
          <w:color w:val="050505"/>
        </w:rPr>
        <w:t>The following description summarizes the most important terms of our capital stock. Because it is only a summary, it does not contain all the information that may be important to you. We adopted a restated certificate of incorporation and restated bylaws that will become effective upon the completion of this offering, and this description summarizes provisions included in these documents. For a complete description, you should refer to our restated certificate of incorporation and restated bylaws, which are included as exhibits to the registration statement of which this prospectus forms a part, and to the applicable provisions of Delaware law.</w:t>
      </w:r>
    </w:p>
    <w:p>
      <w:pPr>
        <w:spacing w:after="0" w:line="142" w:lineRule="exact"/>
        <w:rPr>
          <w:sz w:val="20"/>
          <w:szCs w:val="20"/>
          <w:color w:val="auto"/>
        </w:rPr>
      </w:pPr>
    </w:p>
    <w:p>
      <w:pPr>
        <w:jc w:val="both"/>
        <w:ind w:left="2060" w:right="839"/>
        <w:spacing w:after="0" w:line="242" w:lineRule="auto"/>
        <w:rPr>
          <w:sz w:val="20"/>
          <w:szCs w:val="20"/>
          <w:color w:val="auto"/>
        </w:rPr>
      </w:pPr>
      <w:r>
        <w:rPr>
          <w:rFonts w:ascii="Arial" w:cs="Arial" w:eastAsia="Arial" w:hAnsi="Arial"/>
          <w:sz w:val="11"/>
          <w:szCs w:val="11"/>
          <w:color w:val="050505"/>
        </w:rPr>
        <w:t>Upon the completion of this offering, our authorized capital stock will consist of 2,500,000,000 shares of our Class A common stock, $0.000025 par value per share, 2,500,000,000 shares of our Class B common stock, $0.000025 par value per share, and 50,000,000 shares of undesignated preferred stock, $0.000025 par value per share.</w:t>
      </w:r>
    </w:p>
    <w:p>
      <w:pPr>
        <w:spacing w:after="0" w:line="139" w:lineRule="exact"/>
        <w:rPr>
          <w:sz w:val="20"/>
          <w:szCs w:val="20"/>
          <w:color w:val="auto"/>
        </w:rPr>
      </w:pPr>
    </w:p>
    <w:p>
      <w:pPr>
        <w:ind w:left="2060"/>
        <w:spacing w:after="0"/>
        <w:rPr>
          <w:sz w:val="20"/>
          <w:szCs w:val="20"/>
          <w:color w:val="auto"/>
        </w:rPr>
      </w:pPr>
      <w:r>
        <w:rPr>
          <w:rFonts w:ascii="Arial" w:cs="Arial" w:eastAsia="Arial" w:hAnsi="Arial"/>
          <w:sz w:val="11"/>
          <w:szCs w:val="11"/>
          <w:color w:val="050505"/>
        </w:rPr>
        <w:t>Assuming the conversion and reclassification of all outstanding shares of our redeemable convertible preferred stock into 210,640,629 shares of our</w:t>
      </w:r>
    </w:p>
    <w:p>
      <w:pPr>
        <w:ind w:left="2060"/>
        <w:spacing w:after="0"/>
        <w:rPr>
          <w:sz w:val="20"/>
          <w:szCs w:val="20"/>
          <w:color w:val="auto"/>
        </w:rPr>
      </w:pPr>
      <w:r>
        <w:rPr>
          <w:rFonts w:ascii="Arial" w:cs="Arial" w:eastAsia="Arial" w:hAnsi="Arial"/>
          <w:sz w:val="11"/>
          <w:szCs w:val="11"/>
          <w:color w:val="050505"/>
        </w:rPr>
        <w:t>Class B common stock, which will occur in connection with the completion of this offering, as of June 30, 2019, there were outstanding:</w:t>
      </w:r>
    </w:p>
    <w:p>
      <w:pPr>
        <w:spacing w:after="0" w:line="162" w:lineRule="exact"/>
        <w:rPr>
          <w:sz w:val="20"/>
          <w:szCs w:val="20"/>
          <w:color w:val="auto"/>
        </w:rPr>
      </w:pPr>
    </w:p>
    <w:p>
      <w:pPr>
        <w:ind w:left="2420" w:hanging="217"/>
        <w:spacing w:after="0"/>
        <w:tabs>
          <w:tab w:leader="none" w:pos="2420" w:val="left"/>
        </w:tabs>
        <w:numPr>
          <w:ilvl w:val="0"/>
          <w:numId w:val="97"/>
        </w:numPr>
        <w:rPr>
          <w:rFonts w:ascii="Arial" w:cs="Arial" w:eastAsia="Arial" w:hAnsi="Arial"/>
          <w:sz w:val="11"/>
          <w:szCs w:val="11"/>
          <w:color w:val="F7323F"/>
        </w:rPr>
      </w:pPr>
      <w:r>
        <w:rPr>
          <w:rFonts w:ascii="Arial" w:cs="Arial" w:eastAsia="Arial" w:hAnsi="Arial"/>
          <w:sz w:val="11"/>
          <w:szCs w:val="11"/>
          <w:color w:val="050505"/>
        </w:rPr>
        <w:t>zero shares of our Class A common stock;</w:t>
      </w:r>
    </w:p>
    <w:p>
      <w:pPr>
        <w:spacing w:after="0" w:line="44" w:lineRule="exact"/>
        <w:rPr>
          <w:rFonts w:ascii="Arial" w:cs="Arial" w:eastAsia="Arial" w:hAnsi="Arial"/>
          <w:sz w:val="11"/>
          <w:szCs w:val="11"/>
          <w:color w:val="F7323F"/>
        </w:rPr>
      </w:pPr>
    </w:p>
    <w:p>
      <w:pPr>
        <w:ind w:left="2420" w:hanging="217"/>
        <w:spacing w:after="0"/>
        <w:tabs>
          <w:tab w:leader="none" w:pos="2420" w:val="left"/>
        </w:tabs>
        <w:numPr>
          <w:ilvl w:val="0"/>
          <w:numId w:val="97"/>
        </w:numPr>
        <w:rPr>
          <w:rFonts w:ascii="Arial" w:cs="Arial" w:eastAsia="Arial" w:hAnsi="Arial"/>
          <w:sz w:val="11"/>
          <w:szCs w:val="11"/>
          <w:color w:val="F7323F"/>
        </w:rPr>
      </w:pPr>
      <w:r>
        <w:rPr>
          <w:rFonts w:ascii="Arial" w:cs="Arial" w:eastAsia="Arial" w:hAnsi="Arial"/>
          <w:sz w:val="11"/>
          <w:szCs w:val="11"/>
          <w:color w:val="050505"/>
        </w:rPr>
        <w:t>235,942,233 shares of our Class B common stock outstanding, held by approximately 428 stockholders of record;</w:t>
      </w:r>
    </w:p>
    <w:p>
      <w:pPr>
        <w:spacing w:after="0" w:line="44" w:lineRule="exact"/>
        <w:rPr>
          <w:rFonts w:ascii="Arial" w:cs="Arial" w:eastAsia="Arial" w:hAnsi="Arial"/>
          <w:sz w:val="11"/>
          <w:szCs w:val="11"/>
          <w:color w:val="F7323F"/>
        </w:rPr>
      </w:pPr>
    </w:p>
    <w:p>
      <w:pPr>
        <w:ind w:left="2420" w:right="839" w:hanging="217"/>
        <w:spacing w:after="0" w:line="245" w:lineRule="auto"/>
        <w:tabs>
          <w:tab w:leader="none" w:pos="2420" w:val="left"/>
        </w:tabs>
        <w:numPr>
          <w:ilvl w:val="0"/>
          <w:numId w:val="97"/>
        </w:numPr>
        <w:rPr>
          <w:rFonts w:ascii="Arial" w:cs="Arial" w:eastAsia="Arial" w:hAnsi="Arial"/>
          <w:sz w:val="11"/>
          <w:szCs w:val="11"/>
          <w:color w:val="F7323F"/>
        </w:rPr>
      </w:pPr>
      <w:r>
        <w:rPr>
          <w:rFonts w:ascii="Arial" w:cs="Arial" w:eastAsia="Arial" w:hAnsi="Arial"/>
          <w:sz w:val="11"/>
          <w:szCs w:val="11"/>
          <w:color w:val="050505"/>
        </w:rPr>
        <w:t>64,602,124 shares of our Class B common stock issuable upon exercise of outstanding stock options, with a weighted-average exercise price of $6.71 per share; and</w:t>
      </w:r>
    </w:p>
    <w:p>
      <w:pPr>
        <w:spacing w:after="0" w:line="38" w:lineRule="exact"/>
        <w:rPr>
          <w:rFonts w:ascii="Arial" w:cs="Arial" w:eastAsia="Arial" w:hAnsi="Arial"/>
          <w:sz w:val="11"/>
          <w:szCs w:val="11"/>
          <w:color w:val="F7323F"/>
        </w:rPr>
      </w:pPr>
    </w:p>
    <w:p>
      <w:pPr>
        <w:ind w:left="2420" w:hanging="217"/>
        <w:spacing w:after="0"/>
        <w:tabs>
          <w:tab w:leader="none" w:pos="2420" w:val="left"/>
        </w:tabs>
        <w:numPr>
          <w:ilvl w:val="0"/>
          <w:numId w:val="97"/>
        </w:numPr>
        <w:rPr>
          <w:rFonts w:ascii="Arial" w:cs="Arial" w:eastAsia="Arial" w:hAnsi="Arial"/>
          <w:sz w:val="11"/>
          <w:szCs w:val="11"/>
          <w:color w:val="F7323F"/>
        </w:rPr>
      </w:pPr>
      <w:r>
        <w:rPr>
          <w:rFonts w:ascii="Arial" w:cs="Arial" w:eastAsia="Arial" w:hAnsi="Arial"/>
          <w:sz w:val="11"/>
          <w:szCs w:val="11"/>
          <w:color w:val="050505"/>
        </w:rPr>
        <w:t>240,000 shares of our Class B common stock issuable upon exercise of a warrant, with an exercise price of $0.19 per share.</w:t>
      </w:r>
    </w:p>
    <w:p>
      <w:pPr>
        <w:spacing w:after="0" w:line="204" w:lineRule="exact"/>
        <w:rPr>
          <w:sz w:val="20"/>
          <w:szCs w:val="20"/>
          <w:color w:val="auto"/>
        </w:rPr>
      </w:pPr>
    </w:p>
    <w:p>
      <w:pPr>
        <w:ind w:left="2060"/>
        <w:spacing w:after="0"/>
        <w:rPr>
          <w:sz w:val="20"/>
          <w:szCs w:val="20"/>
          <w:color w:val="auto"/>
        </w:rPr>
      </w:pPr>
      <w:r>
        <w:rPr>
          <w:rFonts w:ascii="Arial" w:cs="Arial" w:eastAsia="Arial" w:hAnsi="Arial"/>
          <w:sz w:val="11"/>
          <w:szCs w:val="11"/>
          <w:b w:val="1"/>
          <w:bCs w:val="1"/>
          <w:u w:val="single" w:color="auto"/>
          <w:color w:val="auto"/>
        </w:rPr>
        <w:t>Class A Common Stock and Class B Common Stock</w:t>
      </w:r>
    </w:p>
    <w:p>
      <w:pPr>
        <w:spacing w:after="0" w:line="144" w:lineRule="exact"/>
        <w:rPr>
          <w:sz w:val="20"/>
          <w:szCs w:val="20"/>
          <w:color w:val="auto"/>
        </w:rPr>
      </w:pPr>
    </w:p>
    <w:p>
      <w:pPr>
        <w:ind w:left="2060"/>
        <w:spacing w:after="0"/>
        <w:rPr>
          <w:sz w:val="20"/>
          <w:szCs w:val="20"/>
          <w:color w:val="auto"/>
        </w:rPr>
      </w:pPr>
      <w:r>
        <w:rPr>
          <w:rFonts w:ascii="Arial" w:cs="Arial" w:eastAsia="Arial" w:hAnsi="Arial"/>
          <w:sz w:val="11"/>
          <w:szCs w:val="11"/>
          <w:b w:val="1"/>
          <w:bCs w:val="1"/>
          <w:i w:val="1"/>
          <w:iCs w:val="1"/>
          <w:color w:val="auto"/>
        </w:rPr>
        <w:t>Dividend Rights</w:t>
      </w:r>
    </w:p>
    <w:p>
      <w:pPr>
        <w:spacing w:after="0" w:line="12" w:lineRule="exact"/>
        <w:rPr>
          <w:sz w:val="20"/>
          <w:szCs w:val="20"/>
          <w:color w:val="auto"/>
        </w:rPr>
      </w:pPr>
    </w:p>
    <w:p>
      <w:pPr>
        <w:jc w:val="both"/>
        <w:ind w:left="2060" w:right="839"/>
        <w:spacing w:after="0" w:line="242" w:lineRule="auto"/>
        <w:rPr>
          <w:sz w:val="20"/>
          <w:szCs w:val="20"/>
          <w:color w:val="auto"/>
        </w:rPr>
      </w:pPr>
      <w:r>
        <w:rPr>
          <w:rFonts w:ascii="Arial" w:cs="Arial" w:eastAsia="Arial" w:hAnsi="Arial"/>
          <w:sz w:val="11"/>
          <w:szCs w:val="11"/>
          <w:color w:val="050505"/>
        </w:rPr>
        <w:t>Subject to preferences that may apply to any shares of preferred stock outstanding at the time, the holders of our common stock are entitled to receive dividends out of funds legally available if our board of directors, in its discretion, determines to issue dividends and then only at the times and in the amounts that our board of directors may determine. See the section titled “Dividend Policy” for additional information.</w:t>
      </w:r>
    </w:p>
    <w:p>
      <w:pPr>
        <w:spacing w:after="0" w:line="128" w:lineRule="exact"/>
        <w:rPr>
          <w:sz w:val="20"/>
          <w:szCs w:val="20"/>
          <w:color w:val="auto"/>
        </w:rPr>
      </w:pPr>
    </w:p>
    <w:p>
      <w:pPr>
        <w:ind w:left="2060"/>
        <w:spacing w:after="0"/>
        <w:rPr>
          <w:sz w:val="20"/>
          <w:szCs w:val="20"/>
          <w:color w:val="auto"/>
        </w:rPr>
      </w:pPr>
      <w:r>
        <w:rPr>
          <w:rFonts w:ascii="Arial" w:cs="Arial" w:eastAsia="Arial" w:hAnsi="Arial"/>
          <w:sz w:val="11"/>
          <w:szCs w:val="11"/>
          <w:b w:val="1"/>
          <w:bCs w:val="1"/>
          <w:i w:val="1"/>
          <w:iCs w:val="1"/>
          <w:color w:val="auto"/>
        </w:rPr>
        <w:t>Voting Rights</w:t>
      </w:r>
    </w:p>
    <w:p>
      <w:pPr>
        <w:spacing w:after="0" w:line="12" w:lineRule="exact"/>
        <w:rPr>
          <w:sz w:val="20"/>
          <w:szCs w:val="20"/>
          <w:color w:val="auto"/>
        </w:rPr>
      </w:pPr>
    </w:p>
    <w:p>
      <w:pPr>
        <w:jc w:val="both"/>
        <w:ind w:left="2060" w:right="839"/>
        <w:spacing w:after="0"/>
        <w:rPr>
          <w:sz w:val="20"/>
          <w:szCs w:val="20"/>
          <w:color w:val="auto"/>
        </w:rPr>
      </w:pPr>
      <w:r>
        <w:rPr>
          <w:rFonts w:ascii="Arial" w:cs="Arial" w:eastAsia="Arial" w:hAnsi="Arial"/>
          <w:sz w:val="11"/>
          <w:szCs w:val="11"/>
          <w:color w:val="050505"/>
        </w:rPr>
        <w:t>Holders of our Class A common stock are entitled to one vote for each share of Class A common stock held on all matters submitted to a vote of stockholders and holders of our Class B common stock are entitled to 20 votes for each share of Class B common stock held on all matters submitted to a vote of stockholders. Following this offering and the private placement, the holders of our outstanding Class B common stock will hold 99.1% of the voting power of our outstanding capital stock, with our directors, executive officers, and 5% stockholders and their respective affiliates holding 59.9% of the voting power in the aggregate. Holders of shares of our Class A common stock and Class B common stock vote together as a single class on all matters (including the election of directors) submitted to a vote of stockholders, unless otherwise required by Delaware law or our restated certificate of incorporation. Delaware law could require either holders of our Class A common stock or Class B common stock to vote separately as a single class in the following circumstances:</w:t>
      </w:r>
    </w:p>
    <w:p>
      <w:pPr>
        <w:spacing w:after="0" w:line="159" w:lineRule="exact"/>
        <w:rPr>
          <w:sz w:val="20"/>
          <w:szCs w:val="20"/>
          <w:color w:val="auto"/>
        </w:rPr>
      </w:pPr>
    </w:p>
    <w:p>
      <w:pPr>
        <w:ind w:left="2420" w:right="839" w:hanging="217"/>
        <w:spacing w:after="0" w:line="245" w:lineRule="auto"/>
        <w:tabs>
          <w:tab w:leader="none" w:pos="2420" w:val="left"/>
        </w:tabs>
        <w:numPr>
          <w:ilvl w:val="0"/>
          <w:numId w:val="98"/>
        </w:numPr>
        <w:rPr>
          <w:rFonts w:ascii="Arial" w:cs="Arial" w:eastAsia="Arial" w:hAnsi="Arial"/>
          <w:sz w:val="11"/>
          <w:szCs w:val="11"/>
          <w:color w:val="F7323F"/>
        </w:rPr>
      </w:pPr>
      <w:r>
        <w:rPr>
          <w:rFonts w:ascii="Arial" w:cs="Arial" w:eastAsia="Arial" w:hAnsi="Arial"/>
          <w:sz w:val="11"/>
          <w:szCs w:val="11"/>
          <w:color w:val="050505"/>
        </w:rPr>
        <w:t>if we were to seek to amend our restated certificate of incorporation to increase or decrease the par value of a class of our capital stock, then that class would be required to vote separately to approve the proposed amendment; and</w:t>
      </w:r>
    </w:p>
    <w:p>
      <w:pPr>
        <w:spacing w:after="0" w:line="38" w:lineRule="exact"/>
        <w:rPr>
          <w:rFonts w:ascii="Arial" w:cs="Arial" w:eastAsia="Arial" w:hAnsi="Arial"/>
          <w:sz w:val="11"/>
          <w:szCs w:val="11"/>
          <w:color w:val="F7323F"/>
        </w:rPr>
      </w:pPr>
    </w:p>
    <w:p>
      <w:pPr>
        <w:jc w:val="both"/>
        <w:ind w:left="2420" w:right="839" w:hanging="217"/>
        <w:spacing w:after="0" w:line="242" w:lineRule="auto"/>
        <w:tabs>
          <w:tab w:leader="none" w:pos="2420" w:val="left"/>
        </w:tabs>
        <w:numPr>
          <w:ilvl w:val="0"/>
          <w:numId w:val="98"/>
        </w:numPr>
        <w:rPr>
          <w:rFonts w:ascii="Arial" w:cs="Arial" w:eastAsia="Arial" w:hAnsi="Arial"/>
          <w:sz w:val="11"/>
          <w:szCs w:val="11"/>
          <w:color w:val="F7323F"/>
        </w:rPr>
      </w:pPr>
      <w:r>
        <w:rPr>
          <w:rFonts w:ascii="Arial" w:cs="Arial" w:eastAsia="Arial" w:hAnsi="Arial"/>
          <w:sz w:val="11"/>
          <w:szCs w:val="11"/>
          <w:color w:val="050505"/>
        </w:rPr>
        <w:t>if we were to seek to amend our restated certificate of incorporation in a manner that alters or changes the powers, preferences, or special rights of a class of our capital stock in a manner that affected its holders adversely, then that class would be required to vote separately to approve the proposed amendment.</w:t>
      </w:r>
    </w:p>
    <w:p>
      <w:pPr>
        <w:spacing w:after="0" w:line="140" w:lineRule="exact"/>
        <w:rPr>
          <w:sz w:val="20"/>
          <w:szCs w:val="20"/>
          <w:color w:val="auto"/>
        </w:rPr>
      </w:pPr>
    </w:p>
    <w:p>
      <w:pPr>
        <w:jc w:val="both"/>
        <w:ind w:left="2060" w:right="839"/>
        <w:spacing w:after="0" w:line="241" w:lineRule="auto"/>
        <w:rPr>
          <w:sz w:val="20"/>
          <w:szCs w:val="20"/>
          <w:color w:val="auto"/>
        </w:rPr>
      </w:pPr>
      <w:r>
        <w:rPr>
          <w:rFonts w:ascii="Arial" w:cs="Arial" w:eastAsia="Arial" w:hAnsi="Arial"/>
          <w:sz w:val="11"/>
          <w:szCs w:val="11"/>
          <w:color w:val="050505"/>
        </w:rPr>
        <w:t>Our restated certificate of incorporation does not provide for cumulative voting for the election of directors. As a result, the holders of a majority of our voting shares can elect all of the directors then standing for election. Our restated certificate of incorporation establishes a classified board of directors, to be divided into three classes with staggered three-year terms. Only one class of directors will be elected at each annual meeting of our stockholders, with the other classes continuing for the remainder of their respective three-year terms.</w:t>
      </w:r>
    </w:p>
    <w:p>
      <w:pPr>
        <w:spacing w:after="0" w:line="95" w:lineRule="exact"/>
        <w:rPr>
          <w:sz w:val="20"/>
          <w:szCs w:val="20"/>
          <w:color w:val="auto"/>
        </w:rPr>
      </w:pPr>
    </w:p>
    <w:p>
      <w:pPr>
        <w:ind w:left="5640"/>
        <w:spacing w:after="0"/>
        <w:rPr>
          <w:sz w:val="20"/>
          <w:szCs w:val="20"/>
          <w:color w:val="auto"/>
        </w:rPr>
      </w:pPr>
      <w:r>
        <w:rPr>
          <w:rFonts w:ascii="Arial" w:cs="Arial" w:eastAsia="Arial" w:hAnsi="Arial"/>
          <w:sz w:val="11"/>
          <w:szCs w:val="11"/>
          <w:color w:val="050505"/>
        </w:rPr>
        <w:t>136</w:t>
      </w:r>
    </w:p>
    <w:p>
      <w:pPr>
        <w:sectPr>
          <w:pgSz w:w="11900" w:h="16838" w:orient="portrait"/>
          <w:cols w:equalWidth="0" w:num="1">
            <w:col w:w="10239"/>
          </w:cols>
          <w:pgMar w:left="220" w:top="354" w:right="1440" w:bottom="1440" w:gutter="0" w:footer="0" w:header="0"/>
        </w:sectPr>
      </w:pPr>
    </w:p>
    <w:bookmarkStart w:id="146" w:name="page147"/>
    <w:bookmarkEnd w:id="146"/>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hyperlink w:anchor="page5">
        <w:r>
          <w:rPr>
            <w:rFonts w:ascii="Arial" w:cs="Arial" w:eastAsia="Arial" w:hAnsi="Arial"/>
            <w:sz w:val="12"/>
            <w:szCs w:val="12"/>
            <w:b w:val="1"/>
            <w:bCs w:val="1"/>
            <w:u w:val="single" w:color="auto"/>
            <w:color w:val="0000EE"/>
          </w:rPr>
          <w:t>Table of Contents</w:t>
        </w:r>
      </w:hyperlink>
    </w:p>
    <w:p>
      <w:pPr>
        <w:spacing w:after="0" w:line="204" w:lineRule="exact"/>
        <w:rPr>
          <w:sz w:val="20"/>
          <w:szCs w:val="20"/>
          <w:color w:val="auto"/>
        </w:rPr>
      </w:pPr>
    </w:p>
    <w:p>
      <w:pPr>
        <w:ind w:left="2060"/>
        <w:spacing w:after="0"/>
        <w:rPr>
          <w:sz w:val="20"/>
          <w:szCs w:val="20"/>
          <w:color w:val="auto"/>
        </w:rPr>
      </w:pPr>
      <w:r>
        <w:rPr>
          <w:rFonts w:ascii="Arial" w:cs="Arial" w:eastAsia="Arial" w:hAnsi="Arial"/>
          <w:sz w:val="11"/>
          <w:szCs w:val="11"/>
          <w:b w:val="1"/>
          <w:bCs w:val="1"/>
          <w:i w:val="1"/>
          <w:iCs w:val="1"/>
          <w:color w:val="auto"/>
        </w:rPr>
        <w:t>No Preemptive or Similar Rights</w:t>
      </w:r>
    </w:p>
    <w:p>
      <w:pPr>
        <w:spacing w:after="0" w:line="12" w:lineRule="exact"/>
        <w:rPr>
          <w:sz w:val="20"/>
          <w:szCs w:val="20"/>
          <w:color w:val="auto"/>
        </w:rPr>
      </w:pPr>
    </w:p>
    <w:p>
      <w:pPr>
        <w:ind w:left="2060"/>
        <w:spacing w:after="0"/>
        <w:rPr>
          <w:sz w:val="20"/>
          <w:szCs w:val="20"/>
          <w:color w:val="auto"/>
        </w:rPr>
      </w:pPr>
      <w:r>
        <w:rPr>
          <w:rFonts w:ascii="Arial" w:cs="Arial" w:eastAsia="Arial" w:hAnsi="Arial"/>
          <w:sz w:val="11"/>
          <w:szCs w:val="11"/>
          <w:color w:val="050505"/>
        </w:rPr>
        <w:t>Our common stock is not entitled to preemptive rights and is not subject to redemption or sinking fund provisions.</w:t>
      </w:r>
    </w:p>
    <w:p>
      <w:pPr>
        <w:spacing w:after="0" w:line="132" w:lineRule="exact"/>
        <w:rPr>
          <w:sz w:val="20"/>
          <w:szCs w:val="20"/>
          <w:color w:val="auto"/>
        </w:rPr>
      </w:pPr>
    </w:p>
    <w:p>
      <w:pPr>
        <w:ind w:left="2060"/>
        <w:spacing w:after="0"/>
        <w:rPr>
          <w:sz w:val="20"/>
          <w:szCs w:val="20"/>
          <w:color w:val="auto"/>
        </w:rPr>
      </w:pPr>
      <w:r>
        <w:rPr>
          <w:rFonts w:ascii="Arial" w:cs="Arial" w:eastAsia="Arial" w:hAnsi="Arial"/>
          <w:sz w:val="11"/>
          <w:szCs w:val="11"/>
          <w:b w:val="1"/>
          <w:bCs w:val="1"/>
          <w:i w:val="1"/>
          <w:iCs w:val="1"/>
          <w:color w:val="auto"/>
        </w:rPr>
        <w:t>Right to Receive Liquidation Distributions</w:t>
      </w:r>
    </w:p>
    <w:p>
      <w:pPr>
        <w:spacing w:after="0" w:line="12" w:lineRule="exact"/>
        <w:rPr>
          <w:sz w:val="20"/>
          <w:szCs w:val="20"/>
          <w:color w:val="auto"/>
        </w:rPr>
      </w:pPr>
    </w:p>
    <w:p>
      <w:pPr>
        <w:jc w:val="both"/>
        <w:ind w:left="2060" w:right="839"/>
        <w:spacing w:after="0" w:line="242" w:lineRule="auto"/>
        <w:rPr>
          <w:sz w:val="20"/>
          <w:szCs w:val="20"/>
          <w:color w:val="auto"/>
        </w:rPr>
      </w:pPr>
      <w:r>
        <w:rPr>
          <w:rFonts w:ascii="Arial" w:cs="Arial" w:eastAsia="Arial" w:hAnsi="Arial"/>
          <w:sz w:val="11"/>
          <w:szCs w:val="11"/>
          <w:color w:val="050505"/>
        </w:rPr>
        <w:t>Upon our liquidation, dissolution, or winding up, the assets legally available for distribution to our stockholders would be distributable ratably among the holders of our common stock and any participating preferred stock outstanding at that time, subject to the prior satisfaction of all outstanding debt and liabilities and the preferential rights of and the payment of liquidation preferences, if any, on any shares of preferred stock outstanding at that time.</w:t>
      </w:r>
    </w:p>
    <w:p>
      <w:pPr>
        <w:spacing w:after="0" w:line="128" w:lineRule="exact"/>
        <w:rPr>
          <w:sz w:val="20"/>
          <w:szCs w:val="20"/>
          <w:color w:val="auto"/>
        </w:rPr>
      </w:pPr>
    </w:p>
    <w:p>
      <w:pPr>
        <w:ind w:left="2060"/>
        <w:spacing w:after="0"/>
        <w:rPr>
          <w:sz w:val="20"/>
          <w:szCs w:val="20"/>
          <w:color w:val="auto"/>
        </w:rPr>
      </w:pPr>
      <w:r>
        <w:rPr>
          <w:rFonts w:ascii="Arial" w:cs="Arial" w:eastAsia="Arial" w:hAnsi="Arial"/>
          <w:sz w:val="11"/>
          <w:szCs w:val="11"/>
          <w:b w:val="1"/>
          <w:bCs w:val="1"/>
          <w:i w:val="1"/>
          <w:iCs w:val="1"/>
          <w:color w:val="auto"/>
        </w:rPr>
        <w:t>Change of Control Transactions</w:t>
      </w:r>
    </w:p>
    <w:p>
      <w:pPr>
        <w:spacing w:after="0" w:line="12" w:lineRule="exact"/>
        <w:rPr>
          <w:sz w:val="20"/>
          <w:szCs w:val="20"/>
          <w:color w:val="auto"/>
        </w:rPr>
      </w:pPr>
    </w:p>
    <w:p>
      <w:pPr>
        <w:jc w:val="both"/>
        <w:ind w:left="2060" w:right="839"/>
        <w:spacing w:after="0"/>
        <w:rPr>
          <w:sz w:val="20"/>
          <w:szCs w:val="20"/>
          <w:color w:val="auto"/>
        </w:rPr>
      </w:pPr>
      <w:r>
        <w:rPr>
          <w:rFonts w:ascii="Arial" w:cs="Arial" w:eastAsia="Arial" w:hAnsi="Arial"/>
          <w:sz w:val="11"/>
          <w:szCs w:val="11"/>
          <w:color w:val="050505"/>
        </w:rPr>
        <w:t>In the case of any distribution or payment in respect of the shares of our Class A common stock or Class B common stock upon a merger or consolidation with or into any other entity, or other substantially similar transaction, the holders of our Class A common stock and Class B common stock will be treated equally and identically with respect to shares of Class A common stock or Class B common stock owned by them, unless the only difference in the per share distribution to the holders of the Class A common stock and Class B common stock is that any securities distributed to the holder of a share Class B common stock have 20 times the voting power of any securities distributed to the holder of a share of Class A common stock, or such merger, consolidation, or other transaction is approved by the affirmative vote of the holders of a majority of the outstanding shares of Class A common stock and Class B common stock, each voting as a separate class.</w:t>
      </w:r>
    </w:p>
    <w:p>
      <w:pPr>
        <w:spacing w:after="0" w:line="129" w:lineRule="exact"/>
        <w:rPr>
          <w:sz w:val="20"/>
          <w:szCs w:val="20"/>
          <w:color w:val="auto"/>
        </w:rPr>
      </w:pPr>
    </w:p>
    <w:p>
      <w:pPr>
        <w:ind w:left="2060"/>
        <w:spacing w:after="0"/>
        <w:rPr>
          <w:sz w:val="20"/>
          <w:szCs w:val="20"/>
          <w:color w:val="auto"/>
        </w:rPr>
      </w:pPr>
      <w:r>
        <w:rPr>
          <w:rFonts w:ascii="Arial" w:cs="Arial" w:eastAsia="Arial" w:hAnsi="Arial"/>
          <w:sz w:val="11"/>
          <w:szCs w:val="11"/>
          <w:b w:val="1"/>
          <w:bCs w:val="1"/>
          <w:i w:val="1"/>
          <w:iCs w:val="1"/>
          <w:color w:val="auto"/>
        </w:rPr>
        <w:t>Subdivisions and Combinations</w:t>
      </w:r>
    </w:p>
    <w:p>
      <w:pPr>
        <w:spacing w:after="0" w:line="12" w:lineRule="exact"/>
        <w:rPr>
          <w:sz w:val="20"/>
          <w:szCs w:val="20"/>
          <w:color w:val="auto"/>
        </w:rPr>
      </w:pPr>
    </w:p>
    <w:p>
      <w:pPr>
        <w:jc w:val="both"/>
        <w:ind w:left="2060" w:right="839"/>
        <w:spacing w:after="0" w:line="242" w:lineRule="auto"/>
        <w:rPr>
          <w:sz w:val="20"/>
          <w:szCs w:val="20"/>
          <w:color w:val="auto"/>
        </w:rPr>
      </w:pPr>
      <w:r>
        <w:rPr>
          <w:rFonts w:ascii="Arial" w:cs="Arial" w:eastAsia="Arial" w:hAnsi="Arial"/>
          <w:sz w:val="11"/>
          <w:szCs w:val="11"/>
          <w:color w:val="050505"/>
        </w:rPr>
        <w:t>If we subdivide or combine in any manner outstanding shares of Class A common stock or Class B common stock, the outstanding shares of the other class will be subdivided or combined in the same manner, unless different treatment of the shares of each class is approved by the affirmative vote of the holders of a majority of the outstanding shares of Class A common stock and Class B common stock, each voting as a separate class.</w:t>
      </w:r>
    </w:p>
    <w:p>
      <w:pPr>
        <w:spacing w:after="0" w:line="128" w:lineRule="exact"/>
        <w:rPr>
          <w:sz w:val="20"/>
          <w:szCs w:val="20"/>
          <w:color w:val="auto"/>
        </w:rPr>
      </w:pPr>
    </w:p>
    <w:p>
      <w:pPr>
        <w:ind w:left="2060"/>
        <w:spacing w:after="0"/>
        <w:rPr>
          <w:sz w:val="20"/>
          <w:szCs w:val="20"/>
          <w:color w:val="auto"/>
        </w:rPr>
      </w:pPr>
      <w:r>
        <w:rPr>
          <w:rFonts w:ascii="Arial" w:cs="Arial" w:eastAsia="Arial" w:hAnsi="Arial"/>
          <w:sz w:val="11"/>
          <w:szCs w:val="11"/>
          <w:b w:val="1"/>
          <w:bCs w:val="1"/>
          <w:i w:val="1"/>
          <w:iCs w:val="1"/>
          <w:color w:val="auto"/>
        </w:rPr>
        <w:t>Conversion</w:t>
      </w:r>
    </w:p>
    <w:p>
      <w:pPr>
        <w:spacing w:after="0" w:line="12" w:lineRule="exact"/>
        <w:rPr>
          <w:sz w:val="20"/>
          <w:szCs w:val="20"/>
          <w:color w:val="auto"/>
        </w:rPr>
      </w:pPr>
    </w:p>
    <w:p>
      <w:pPr>
        <w:jc w:val="both"/>
        <w:ind w:left="2060" w:right="839"/>
        <w:spacing w:after="0"/>
        <w:rPr>
          <w:sz w:val="20"/>
          <w:szCs w:val="20"/>
          <w:color w:val="auto"/>
        </w:rPr>
      </w:pPr>
      <w:r>
        <w:rPr>
          <w:rFonts w:ascii="Arial" w:cs="Arial" w:eastAsia="Arial" w:hAnsi="Arial"/>
          <w:sz w:val="11"/>
          <w:szCs w:val="11"/>
          <w:color w:val="050505"/>
        </w:rPr>
        <w:t>Each outstanding share of Class B common stock is convertible at any time at the option of the holder into one share of Class A common stock. In addition, each share of Class B common stock will convert automatically into one share of Class A common stock upon any transfer, whether or not for value, which occurs after the closing of this offering, except for certain permitted transfers described in our restated certificate of incorporation, including transfers to family members, trusts solely for the benefit of the stockholder or their family members, and partnerships, corporations, and other entities exclusively owned by the stockholder or their family members. Once converted or transferred and converted into Class A common stock, the Class B common stock may not be reissued.</w:t>
      </w:r>
    </w:p>
    <w:p>
      <w:pPr>
        <w:spacing w:after="0" w:line="142" w:lineRule="exact"/>
        <w:rPr>
          <w:sz w:val="20"/>
          <w:szCs w:val="20"/>
          <w:color w:val="auto"/>
        </w:rPr>
      </w:pPr>
    </w:p>
    <w:p>
      <w:pPr>
        <w:jc w:val="both"/>
        <w:ind w:left="2060" w:right="839"/>
        <w:spacing w:after="0"/>
        <w:rPr>
          <w:sz w:val="20"/>
          <w:szCs w:val="20"/>
          <w:color w:val="auto"/>
        </w:rPr>
      </w:pPr>
      <w:r>
        <w:rPr>
          <w:rFonts w:ascii="Arial" w:cs="Arial" w:eastAsia="Arial" w:hAnsi="Arial"/>
          <w:sz w:val="11"/>
          <w:szCs w:val="11"/>
          <w:color w:val="050505"/>
        </w:rPr>
        <w:t>All the outstanding shares of our Class B common stock will convert automatically into shares of our Class A common stock upon the date that is the earlier of (i) the date specified by a vote of the holders of 66 2/3% of the then outstanding shares of Class B common stock, (ii) ten years from the closing of this offering, and (iii) the date the shares of Class B common stock cease to represent at least 1% of all outstanding shares of our common stock. Following such conversion, each share of Class A common stock will have one vote per share and the rights of the holders of all outstanding common stock will be identical. Once converted into Class A common stock, the Class B common stock may not be reissued.</w:t>
      </w:r>
    </w:p>
    <w:p>
      <w:pPr>
        <w:spacing w:after="0" w:line="202" w:lineRule="exact"/>
        <w:rPr>
          <w:sz w:val="20"/>
          <w:szCs w:val="20"/>
          <w:color w:val="auto"/>
        </w:rPr>
      </w:pPr>
    </w:p>
    <w:p>
      <w:pPr>
        <w:ind w:left="2060"/>
        <w:spacing w:after="0"/>
        <w:rPr>
          <w:sz w:val="20"/>
          <w:szCs w:val="20"/>
          <w:color w:val="auto"/>
        </w:rPr>
      </w:pPr>
      <w:r>
        <w:rPr>
          <w:rFonts w:ascii="Arial" w:cs="Arial" w:eastAsia="Arial" w:hAnsi="Arial"/>
          <w:sz w:val="11"/>
          <w:szCs w:val="11"/>
          <w:b w:val="1"/>
          <w:bCs w:val="1"/>
          <w:u w:val="single" w:color="auto"/>
          <w:color w:val="auto"/>
        </w:rPr>
        <w:t>Preferred Stock</w:t>
      </w:r>
    </w:p>
    <w:p>
      <w:pPr>
        <w:spacing w:after="0" w:line="12" w:lineRule="exact"/>
        <w:rPr>
          <w:sz w:val="20"/>
          <w:szCs w:val="20"/>
          <w:color w:val="auto"/>
        </w:rPr>
      </w:pPr>
    </w:p>
    <w:p>
      <w:pPr>
        <w:jc w:val="both"/>
        <w:ind w:left="2060" w:right="839"/>
        <w:spacing w:after="0" w:line="242" w:lineRule="auto"/>
        <w:rPr>
          <w:sz w:val="20"/>
          <w:szCs w:val="20"/>
          <w:color w:val="auto"/>
        </w:rPr>
      </w:pPr>
      <w:r>
        <w:rPr>
          <w:rFonts w:ascii="Arial" w:cs="Arial" w:eastAsia="Arial" w:hAnsi="Arial"/>
          <w:sz w:val="11"/>
          <w:szCs w:val="11"/>
          <w:color w:val="050505"/>
        </w:rPr>
        <w:t>Pursuant to the provisions of our restated certificate of incorporation, each currently outstanding share of redeemable convertible preferred stock will automatically be converted into one share of Class B common stock effective upon the completion of this offering. Following this offering, no shares of redeemable convertible preferred stock will be outstanding.</w:t>
      </w:r>
    </w:p>
    <w:p>
      <w:pPr>
        <w:spacing w:after="0" w:line="140" w:lineRule="exact"/>
        <w:rPr>
          <w:sz w:val="20"/>
          <w:szCs w:val="20"/>
          <w:color w:val="auto"/>
        </w:rPr>
      </w:pPr>
    </w:p>
    <w:p>
      <w:pPr>
        <w:jc w:val="both"/>
        <w:ind w:left="2060" w:right="839"/>
        <w:spacing w:after="0"/>
        <w:rPr>
          <w:sz w:val="20"/>
          <w:szCs w:val="20"/>
          <w:color w:val="auto"/>
        </w:rPr>
      </w:pPr>
      <w:r>
        <w:rPr>
          <w:rFonts w:ascii="Arial" w:cs="Arial" w:eastAsia="Arial" w:hAnsi="Arial"/>
          <w:sz w:val="11"/>
          <w:szCs w:val="11"/>
          <w:color w:val="050505"/>
        </w:rPr>
        <w:t>Following the completion of this offering, our board of directors will be authorized, subject to limitations prescribed by Delaware law, to issue preferred stock in one or more series, to establish from time to time the number of shares to be included in each series, and to fix the designation, powers, preferences, and rights of the shares of each series and any of its qualifications, limitations, or restrictions, in each case without further vote or action by our stockholders. Our board of directors can also increase or decrease the number of shares of any series of preferred stock, but not below the number of shares of that series then outstanding, without any further vote or action by our stockholders. Our board of directors may authorize the issuance of preferred stock with voting or conversion rights that could adversely affect the voting power or other rights of the holders of our common stock. The issuance of preferred stock, while providing flexibility in connection with possible acquisitions and other corporate purposes, could, among other things, have the effect of delaying, deferring, or preventing a change in control of our company and might adversely affect the market price of our Class A common stock</w:t>
      </w:r>
    </w:p>
    <w:p>
      <w:pPr>
        <w:spacing w:after="0" w:line="96" w:lineRule="exact"/>
        <w:rPr>
          <w:sz w:val="20"/>
          <w:szCs w:val="20"/>
          <w:color w:val="auto"/>
        </w:rPr>
      </w:pPr>
    </w:p>
    <w:p>
      <w:pPr>
        <w:ind w:left="5640"/>
        <w:spacing w:after="0"/>
        <w:rPr>
          <w:sz w:val="20"/>
          <w:szCs w:val="20"/>
          <w:color w:val="auto"/>
        </w:rPr>
      </w:pPr>
      <w:r>
        <w:rPr>
          <w:rFonts w:ascii="Arial" w:cs="Arial" w:eastAsia="Arial" w:hAnsi="Arial"/>
          <w:sz w:val="11"/>
          <w:szCs w:val="11"/>
          <w:color w:val="050505"/>
        </w:rPr>
        <w:t>137</w:t>
      </w:r>
    </w:p>
    <w:p>
      <w:pPr>
        <w:sectPr>
          <w:pgSz w:w="11900" w:h="16838" w:orient="portrait"/>
          <w:cols w:equalWidth="0" w:num="1">
            <w:col w:w="10239"/>
          </w:cols>
          <w:pgMar w:left="220" w:top="354" w:right="1440" w:bottom="1440" w:gutter="0" w:footer="0" w:header="0"/>
        </w:sectPr>
      </w:pPr>
    </w:p>
    <w:bookmarkStart w:id="147" w:name="page148"/>
    <w:bookmarkEnd w:id="147"/>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hyperlink w:anchor="page5">
        <w:r>
          <w:rPr>
            <w:rFonts w:ascii="Arial" w:cs="Arial" w:eastAsia="Arial" w:hAnsi="Arial"/>
            <w:sz w:val="12"/>
            <w:szCs w:val="12"/>
            <w:b w:val="1"/>
            <w:bCs w:val="1"/>
            <w:u w:val="single" w:color="auto"/>
            <w:color w:val="0000EE"/>
          </w:rPr>
          <w:t>Table of Contents</w:t>
        </w:r>
      </w:hyperlink>
    </w:p>
    <w:p>
      <w:pPr>
        <w:spacing w:after="0" w:line="216" w:lineRule="exact"/>
        <w:rPr>
          <w:sz w:val="20"/>
          <w:szCs w:val="20"/>
          <w:color w:val="auto"/>
        </w:rPr>
      </w:pPr>
    </w:p>
    <w:p>
      <w:pPr>
        <w:jc w:val="both"/>
        <w:ind w:left="2060" w:right="839"/>
        <w:spacing w:after="0" w:line="245" w:lineRule="auto"/>
        <w:rPr>
          <w:sz w:val="20"/>
          <w:szCs w:val="20"/>
          <w:color w:val="auto"/>
        </w:rPr>
      </w:pPr>
      <w:r>
        <w:rPr>
          <w:rFonts w:ascii="Arial" w:cs="Arial" w:eastAsia="Arial" w:hAnsi="Arial"/>
          <w:sz w:val="11"/>
          <w:szCs w:val="11"/>
          <w:color w:val="050505"/>
        </w:rPr>
        <w:t>and the voting and other rights of the holders of our Class A common stock and Class B common stock. We have no current plans to issue any shares of preferred stock.</w:t>
      </w:r>
    </w:p>
    <w:p>
      <w:pPr>
        <w:spacing w:after="0" w:line="198" w:lineRule="exact"/>
        <w:rPr>
          <w:sz w:val="20"/>
          <w:szCs w:val="20"/>
          <w:color w:val="auto"/>
        </w:rPr>
      </w:pPr>
    </w:p>
    <w:p>
      <w:pPr>
        <w:ind w:left="2060"/>
        <w:spacing w:after="0"/>
        <w:rPr>
          <w:sz w:val="20"/>
          <w:szCs w:val="20"/>
          <w:color w:val="auto"/>
        </w:rPr>
      </w:pPr>
      <w:r>
        <w:rPr>
          <w:rFonts w:ascii="Arial" w:cs="Arial" w:eastAsia="Arial" w:hAnsi="Arial"/>
          <w:sz w:val="11"/>
          <w:szCs w:val="11"/>
          <w:b w:val="1"/>
          <w:bCs w:val="1"/>
          <w:u w:val="single" w:color="auto"/>
          <w:color w:val="auto"/>
        </w:rPr>
        <w:t>Stock Options</w:t>
      </w:r>
    </w:p>
    <w:p>
      <w:pPr>
        <w:spacing w:after="0" w:line="12" w:lineRule="exact"/>
        <w:rPr>
          <w:sz w:val="20"/>
          <w:szCs w:val="20"/>
          <w:color w:val="auto"/>
        </w:rPr>
      </w:pPr>
    </w:p>
    <w:p>
      <w:pPr>
        <w:jc w:val="both"/>
        <w:ind w:left="2060" w:right="839"/>
        <w:spacing w:after="0"/>
        <w:rPr>
          <w:sz w:val="20"/>
          <w:szCs w:val="20"/>
          <w:color w:val="auto"/>
        </w:rPr>
      </w:pPr>
      <w:r>
        <w:rPr>
          <w:rFonts w:ascii="Arial" w:cs="Arial" w:eastAsia="Arial" w:hAnsi="Arial"/>
          <w:sz w:val="11"/>
          <w:szCs w:val="11"/>
          <w:color w:val="050505"/>
        </w:rPr>
        <w:t>As of June 30, 2019, we had outstanding options to purchase an aggregate of 64,602,124 shares of our Class B common stock, with a weighted-average exercise price of $6.71 per share, pursuant to our 2015 Plan. Since June 30, 2019, we have granted options to purchase an aggregate of 883,550 shares of our Class B common stock, with a weighted-average exercise price of $23.40 per share, pursuant to our 2015 Stock Plan and options to purchase an aggregate of 232,550 shares of our Class A common stock under our 2019 Plan will be granted effective as of the filing of our registration statement on Form S-8 with an exercise price equal to the initial public offering price.</w:t>
      </w:r>
    </w:p>
    <w:p>
      <w:pPr>
        <w:spacing w:after="0" w:line="202" w:lineRule="exact"/>
        <w:rPr>
          <w:sz w:val="20"/>
          <w:szCs w:val="20"/>
          <w:color w:val="auto"/>
        </w:rPr>
      </w:pPr>
    </w:p>
    <w:p>
      <w:pPr>
        <w:ind w:left="2060"/>
        <w:spacing w:after="0"/>
        <w:rPr>
          <w:sz w:val="20"/>
          <w:szCs w:val="20"/>
          <w:color w:val="auto"/>
        </w:rPr>
      </w:pPr>
      <w:r>
        <w:rPr>
          <w:rFonts w:ascii="Arial" w:cs="Arial" w:eastAsia="Arial" w:hAnsi="Arial"/>
          <w:sz w:val="11"/>
          <w:szCs w:val="11"/>
          <w:b w:val="1"/>
          <w:bCs w:val="1"/>
          <w:u w:val="single" w:color="auto"/>
          <w:color w:val="auto"/>
        </w:rPr>
        <w:t>Warrant</w:t>
      </w:r>
    </w:p>
    <w:p>
      <w:pPr>
        <w:spacing w:after="0" w:line="12" w:lineRule="exact"/>
        <w:rPr>
          <w:sz w:val="20"/>
          <w:szCs w:val="20"/>
          <w:color w:val="auto"/>
        </w:rPr>
      </w:pPr>
    </w:p>
    <w:p>
      <w:pPr>
        <w:jc w:val="both"/>
        <w:ind w:left="2060" w:right="839"/>
        <w:spacing w:after="0" w:line="241" w:lineRule="auto"/>
        <w:rPr>
          <w:sz w:val="20"/>
          <w:szCs w:val="20"/>
          <w:color w:val="auto"/>
        </w:rPr>
      </w:pPr>
      <w:r>
        <w:rPr>
          <w:rFonts w:ascii="Arial" w:cs="Arial" w:eastAsia="Arial" w:hAnsi="Arial"/>
          <w:sz w:val="11"/>
          <w:szCs w:val="11"/>
          <w:color w:val="050505"/>
        </w:rPr>
        <w:t>As of June 30, 2019, we had outstanding a warrant to purchase 240,000 shares of our Class B common stock at an exercise price of $0.19, which expires in June 2025. The warrant has a cashless exercise provision pursuant to which the holder, in lieu of paying the exercise price in cash, can surrender the warrant and receive a net number of shares based on the fair market value of such shares at the time of exercise, after deducting the aggregate exercise price.</w:t>
      </w:r>
    </w:p>
    <w:p>
      <w:pPr>
        <w:spacing w:after="0" w:line="201" w:lineRule="exact"/>
        <w:rPr>
          <w:sz w:val="20"/>
          <w:szCs w:val="20"/>
          <w:color w:val="auto"/>
        </w:rPr>
      </w:pPr>
    </w:p>
    <w:p>
      <w:pPr>
        <w:ind w:left="2060"/>
        <w:spacing w:after="0"/>
        <w:rPr>
          <w:sz w:val="20"/>
          <w:szCs w:val="20"/>
          <w:color w:val="auto"/>
        </w:rPr>
      </w:pPr>
      <w:r>
        <w:rPr>
          <w:rFonts w:ascii="Arial" w:cs="Arial" w:eastAsia="Arial" w:hAnsi="Arial"/>
          <w:sz w:val="11"/>
          <w:szCs w:val="11"/>
          <w:b w:val="1"/>
          <w:bCs w:val="1"/>
          <w:u w:val="single" w:color="auto"/>
          <w:color w:val="auto"/>
        </w:rPr>
        <w:t>Registration Rights</w:t>
      </w:r>
    </w:p>
    <w:p>
      <w:pPr>
        <w:spacing w:after="0" w:line="12" w:lineRule="exact"/>
        <w:rPr>
          <w:sz w:val="20"/>
          <w:szCs w:val="20"/>
          <w:color w:val="auto"/>
        </w:rPr>
      </w:pPr>
    </w:p>
    <w:p>
      <w:pPr>
        <w:jc w:val="both"/>
        <w:ind w:left="2060" w:right="839"/>
        <w:spacing w:after="0" w:line="267" w:lineRule="auto"/>
        <w:rPr>
          <w:sz w:val="20"/>
          <w:szCs w:val="20"/>
          <w:color w:val="auto"/>
        </w:rPr>
      </w:pPr>
      <w:r>
        <w:rPr>
          <w:rFonts w:ascii="Arial" w:cs="Arial" w:eastAsia="Arial" w:hAnsi="Arial"/>
          <w:sz w:val="10"/>
          <w:szCs w:val="10"/>
          <w:color w:val="050505"/>
        </w:rPr>
        <w:t>We will pay the registration expenses (other than underwriting discount and stock transfer taxes) of the holders of the shares registered for sale pursuant to the registrations described below. In an underwritten offering, the managing underwriter, if any, has the right, subject to specified conditions, to limit the number of shares such holders may include. In connection with the completion of this offering, substantially all of our stockholders that have registration rights agreed not to sell or otherwise dispose of any securities without the prior written consent of Goldman Sachs &amp; Co. LLC and J.P. Morgan Securities LLC for a period of 180 days after the date of this prospectus, subject to certain terms and conditions and provided that if (1) at least 120 days have elapsed since the date of this prospectus, (2) we have publicly released our earnings results for the quarterly period during which this offering occurred and (3) such lock-up period is scheduled to end during or within five trading days prior to a blackout period, such lock-up period will end ten trading days prior to the commencement of such blackout period. See the section titled “Underwriting” for additional information.</w:t>
      </w:r>
    </w:p>
    <w:p>
      <w:pPr>
        <w:spacing w:after="0" w:line="129" w:lineRule="exact"/>
        <w:rPr>
          <w:sz w:val="20"/>
          <w:szCs w:val="20"/>
          <w:color w:val="auto"/>
        </w:rPr>
      </w:pPr>
    </w:p>
    <w:p>
      <w:pPr>
        <w:jc w:val="both"/>
        <w:ind w:left="2060" w:right="839"/>
        <w:spacing w:after="0" w:line="266" w:lineRule="auto"/>
        <w:rPr>
          <w:sz w:val="20"/>
          <w:szCs w:val="20"/>
          <w:color w:val="auto"/>
        </w:rPr>
      </w:pPr>
      <w:r>
        <w:rPr>
          <w:rFonts w:ascii="Arial" w:cs="Arial" w:eastAsia="Arial" w:hAnsi="Arial"/>
          <w:sz w:val="10"/>
          <w:szCs w:val="10"/>
          <w:color w:val="050505"/>
        </w:rPr>
        <w:t>Following the completion of this offering, the holders of certain outstanding shares of our Class B common stock and the holders of shares of our Class B common stock issuable upon conversion of our redeemable convertible preferred stock, or their permitted transferees, will be entitled to rights with respect to the registration of these shares under the Securities Act. These shares are referred to as registrable securities. Immediately following this offering and the private placement there will be approximately 225,793,616 registrable securities outstanding which includes 3,448,275 shares of our Class A common stock sold in the private placement. These rights are provided under the terms of our fourth amended and restated investors’ rights agreement between us and the holders of these shares, which was entered into in April 2019, and include requested registration rights, Form S-3 registration rights, and piggyback registration rights. In any registration made pursuant to such amended and restated investor rights agreement, all fees, costs, and expenses of underwritten registrations, including fees and disbursements of one special counsel to the selling stockholders, will be borne by us and all selling expenses, including the estimated underwriting discount, will be borne by the holders of the shares being registered. However, we will not be required to bear the expenses in connection with the exercise of the requested and Form S-3 registration rights of a registration if the request is subsequently withdrawn at the request of the selling stockholders holding a majority of registrable securities to be registered.</w:t>
      </w:r>
    </w:p>
    <w:p>
      <w:pPr>
        <w:spacing w:after="0" w:line="257" w:lineRule="exact"/>
        <w:rPr>
          <w:sz w:val="20"/>
          <w:szCs w:val="20"/>
          <w:color w:val="auto"/>
        </w:rPr>
      </w:pPr>
    </w:p>
    <w:p>
      <w:pPr>
        <w:jc w:val="both"/>
        <w:ind w:left="2060" w:right="839"/>
        <w:spacing w:after="0"/>
        <w:rPr>
          <w:sz w:val="20"/>
          <w:szCs w:val="20"/>
          <w:color w:val="auto"/>
        </w:rPr>
      </w:pPr>
      <w:r>
        <w:rPr>
          <w:rFonts w:ascii="Arial" w:cs="Arial" w:eastAsia="Arial" w:hAnsi="Arial"/>
          <w:sz w:val="11"/>
          <w:szCs w:val="11"/>
          <w:color w:val="050505"/>
        </w:rPr>
        <w:t>The registration rights terminate upon the earlier of (1) five years following the completion of this offering or (2) as to any given holder of registration rights, at such time following this offering when such holder of registration rights (a) can sell all of such holder’s registrable securities in compliance with Rule 144(b)(1)(i) or (b) holds 1% or less of our outstanding common stock and all registrable securities held by such holder can be sold in any three-month period without registration pursuant to Rule 144 under the Securities Act and without the requirement for us to be in compliance with the current public information requirement under Rule 144(c)(1).</w:t>
      </w:r>
    </w:p>
    <w:p>
      <w:pPr>
        <w:spacing w:after="0" w:line="130" w:lineRule="exact"/>
        <w:rPr>
          <w:sz w:val="20"/>
          <w:szCs w:val="20"/>
          <w:color w:val="auto"/>
        </w:rPr>
      </w:pPr>
    </w:p>
    <w:p>
      <w:pPr>
        <w:ind w:left="2060"/>
        <w:spacing w:after="0"/>
        <w:rPr>
          <w:sz w:val="20"/>
          <w:szCs w:val="20"/>
          <w:color w:val="auto"/>
        </w:rPr>
      </w:pPr>
      <w:r>
        <w:rPr>
          <w:rFonts w:ascii="Arial" w:cs="Arial" w:eastAsia="Arial" w:hAnsi="Arial"/>
          <w:sz w:val="11"/>
          <w:szCs w:val="11"/>
          <w:b w:val="1"/>
          <w:bCs w:val="1"/>
          <w:i w:val="1"/>
          <w:iCs w:val="1"/>
          <w:color w:val="auto"/>
        </w:rPr>
        <w:t>Requested Registration Rights</w:t>
      </w:r>
    </w:p>
    <w:p>
      <w:pPr>
        <w:spacing w:after="0" w:line="12" w:lineRule="exact"/>
        <w:rPr>
          <w:sz w:val="20"/>
          <w:szCs w:val="20"/>
          <w:color w:val="auto"/>
        </w:rPr>
      </w:pPr>
    </w:p>
    <w:p>
      <w:pPr>
        <w:jc w:val="both"/>
        <w:ind w:left="2060" w:right="839"/>
        <w:spacing w:after="0" w:line="242" w:lineRule="auto"/>
        <w:rPr>
          <w:sz w:val="20"/>
          <w:szCs w:val="20"/>
          <w:color w:val="auto"/>
        </w:rPr>
      </w:pPr>
      <w:r>
        <w:rPr>
          <w:rFonts w:ascii="Arial" w:cs="Arial" w:eastAsia="Arial" w:hAnsi="Arial"/>
          <w:sz w:val="11"/>
          <w:szCs w:val="11"/>
          <w:color w:val="050505"/>
        </w:rPr>
        <w:t>The holders of an aggregate of 210,640,629 shares of our Class B common stock following this offering as well as the holders of the shares of our Class A common stock sold in the private placement, or their permitted transferees, are entitled to demand registration rights. Under the terms of the amended and restated investor rights agreement, if we receive a</w:t>
      </w:r>
    </w:p>
    <w:p>
      <w:pPr>
        <w:spacing w:after="0" w:line="95" w:lineRule="exact"/>
        <w:rPr>
          <w:sz w:val="20"/>
          <w:szCs w:val="20"/>
          <w:color w:val="auto"/>
        </w:rPr>
      </w:pPr>
    </w:p>
    <w:p>
      <w:pPr>
        <w:ind w:left="5640"/>
        <w:spacing w:after="0"/>
        <w:rPr>
          <w:sz w:val="20"/>
          <w:szCs w:val="20"/>
          <w:color w:val="auto"/>
        </w:rPr>
      </w:pPr>
      <w:r>
        <w:rPr>
          <w:rFonts w:ascii="Arial" w:cs="Arial" w:eastAsia="Arial" w:hAnsi="Arial"/>
          <w:sz w:val="11"/>
          <w:szCs w:val="11"/>
          <w:color w:val="050505"/>
        </w:rPr>
        <w:t>138</w:t>
      </w:r>
    </w:p>
    <w:p>
      <w:pPr>
        <w:sectPr>
          <w:pgSz w:w="11900" w:h="16838" w:orient="portrait"/>
          <w:cols w:equalWidth="0" w:num="1">
            <w:col w:w="10239"/>
          </w:cols>
          <w:pgMar w:left="220" w:top="354" w:right="1440" w:bottom="1440" w:gutter="0" w:footer="0" w:header="0"/>
        </w:sectPr>
      </w:pPr>
    </w:p>
    <w:bookmarkStart w:id="148" w:name="page149"/>
    <w:bookmarkEnd w:id="148"/>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hyperlink w:anchor="page5">
        <w:r>
          <w:rPr>
            <w:rFonts w:ascii="Arial" w:cs="Arial" w:eastAsia="Arial" w:hAnsi="Arial"/>
            <w:sz w:val="12"/>
            <w:szCs w:val="12"/>
            <w:b w:val="1"/>
            <w:bCs w:val="1"/>
            <w:u w:val="single" w:color="auto"/>
            <w:color w:val="0000EE"/>
          </w:rPr>
          <w:t>Table of Contents</w:t>
        </w:r>
      </w:hyperlink>
    </w:p>
    <w:p>
      <w:pPr>
        <w:spacing w:after="0" w:line="216" w:lineRule="exact"/>
        <w:rPr>
          <w:sz w:val="20"/>
          <w:szCs w:val="20"/>
          <w:color w:val="auto"/>
        </w:rPr>
      </w:pPr>
    </w:p>
    <w:p>
      <w:pPr>
        <w:jc w:val="both"/>
        <w:ind w:left="2060" w:right="839"/>
        <w:spacing w:after="0"/>
        <w:rPr>
          <w:sz w:val="20"/>
          <w:szCs w:val="20"/>
          <w:color w:val="auto"/>
        </w:rPr>
      </w:pPr>
      <w:r>
        <w:rPr>
          <w:rFonts w:ascii="Arial" w:cs="Arial" w:eastAsia="Arial" w:hAnsi="Arial"/>
          <w:sz w:val="11"/>
          <w:szCs w:val="11"/>
          <w:color w:val="050505"/>
        </w:rPr>
        <w:t>written request, at any time after the earlier of (1) August 30, 2025 or (2) six months following the effective date of this offering, from the holders of at least 50% of the registrable securities then outstanding that we file a registration statement under the Securities Act covering the registration of outstanding registrable securities, then we will be required, within 20 days of receipt of the written request, to use commercially reasonable efforts to register, as soon as practicable, all of the shares requested to be registered for public resale, if the amount of registrable securities to be registered will have aggregate gross proceeds (before underwriting discount) of at least $20.0 million. We are required to effect only three registrations pursuant to this provision of the amended and restated investor rights agreement. We may postpone the filing of a registration statement no more than once during any 12-month period for up to 90 days if our board of directors determines that the filing would be detrimental to us and our stockholders. We are not required to effect a requested registration under certain additional circumstances specified in the amended and restated investor rights agreement.</w:t>
      </w:r>
    </w:p>
    <w:p>
      <w:pPr>
        <w:spacing w:after="0" w:line="129" w:lineRule="exact"/>
        <w:rPr>
          <w:sz w:val="20"/>
          <w:szCs w:val="20"/>
          <w:color w:val="auto"/>
        </w:rPr>
      </w:pPr>
    </w:p>
    <w:p>
      <w:pPr>
        <w:ind w:left="2060"/>
        <w:spacing w:after="0"/>
        <w:rPr>
          <w:sz w:val="20"/>
          <w:szCs w:val="20"/>
          <w:color w:val="auto"/>
        </w:rPr>
      </w:pPr>
      <w:r>
        <w:rPr>
          <w:rFonts w:ascii="Arial" w:cs="Arial" w:eastAsia="Arial" w:hAnsi="Arial"/>
          <w:sz w:val="11"/>
          <w:szCs w:val="11"/>
          <w:b w:val="1"/>
          <w:bCs w:val="1"/>
          <w:i w:val="1"/>
          <w:iCs w:val="1"/>
          <w:color w:val="auto"/>
        </w:rPr>
        <w:t>Form S-3 Registration Rights</w:t>
      </w:r>
    </w:p>
    <w:p>
      <w:pPr>
        <w:spacing w:after="0" w:line="12" w:lineRule="exact"/>
        <w:rPr>
          <w:sz w:val="20"/>
          <w:szCs w:val="20"/>
          <w:color w:val="auto"/>
        </w:rPr>
      </w:pPr>
    </w:p>
    <w:p>
      <w:pPr>
        <w:jc w:val="both"/>
        <w:ind w:left="2060" w:right="839"/>
        <w:spacing w:after="0"/>
        <w:rPr>
          <w:sz w:val="20"/>
          <w:szCs w:val="20"/>
          <w:color w:val="auto"/>
        </w:rPr>
      </w:pPr>
      <w:r>
        <w:rPr>
          <w:rFonts w:ascii="Arial" w:cs="Arial" w:eastAsia="Arial" w:hAnsi="Arial"/>
          <w:sz w:val="11"/>
          <w:szCs w:val="11"/>
          <w:color w:val="050505"/>
        </w:rPr>
        <w:t>The holders of an aggregate of 210,640,629 shares of our Class B common stock following this offering as well as the holders of the shares of our Class A common stock sold in the private placement or their permitted transferees are also entitled to Form S-3 registration rights. The holders of at least 30% of the registrable securities then outstanding can request that we register all or part of their shares on Form S-3 if we are eligible and qualified to file a registration statement on Form S-3 and if the aggregate price to the public of the shares offered is at least $5.0 million. The stockholders may require us to effect at most two registration statements on Form S-3 in any 12-month period. We may postpone the filing of a registration statement on Form S-3 no more than once during any 12-month period for up to 90 days if our board of directors determines that the filing would be detrimental to us and our stockholders. We are not required to effect a registration on Form S-3 under certain additional circumstances specified in the amended and restated investor rights agreement.</w:t>
      </w:r>
    </w:p>
    <w:p>
      <w:pPr>
        <w:spacing w:after="0" w:line="129" w:lineRule="exact"/>
        <w:rPr>
          <w:sz w:val="20"/>
          <w:szCs w:val="20"/>
          <w:color w:val="auto"/>
        </w:rPr>
      </w:pPr>
    </w:p>
    <w:p>
      <w:pPr>
        <w:ind w:left="2060"/>
        <w:spacing w:after="0"/>
        <w:rPr>
          <w:sz w:val="20"/>
          <w:szCs w:val="20"/>
          <w:color w:val="auto"/>
        </w:rPr>
      </w:pPr>
      <w:r>
        <w:rPr>
          <w:rFonts w:ascii="Arial" w:cs="Arial" w:eastAsia="Arial" w:hAnsi="Arial"/>
          <w:sz w:val="11"/>
          <w:szCs w:val="11"/>
          <w:b w:val="1"/>
          <w:bCs w:val="1"/>
          <w:i w:val="1"/>
          <w:iCs w:val="1"/>
          <w:color w:val="auto"/>
        </w:rPr>
        <w:t>Piggyback Registration Rights</w:t>
      </w:r>
    </w:p>
    <w:p>
      <w:pPr>
        <w:spacing w:after="0" w:line="12" w:lineRule="exact"/>
        <w:rPr>
          <w:sz w:val="20"/>
          <w:szCs w:val="20"/>
          <w:color w:val="auto"/>
        </w:rPr>
      </w:pPr>
    </w:p>
    <w:p>
      <w:pPr>
        <w:jc w:val="both"/>
        <w:ind w:left="2060" w:right="839"/>
        <w:spacing w:after="0"/>
        <w:rPr>
          <w:sz w:val="20"/>
          <w:szCs w:val="20"/>
          <w:color w:val="auto"/>
        </w:rPr>
      </w:pPr>
      <w:r>
        <w:rPr>
          <w:rFonts w:ascii="Arial" w:cs="Arial" w:eastAsia="Arial" w:hAnsi="Arial"/>
          <w:sz w:val="11"/>
          <w:szCs w:val="11"/>
          <w:color w:val="050505"/>
        </w:rPr>
        <w:t>If we register any of our securities for public sale, the holders of an aggregate of 222,345,341 shares of our Class B common stock following this offering as well as the holders of the shares of our Class A common stock sold in the private placement or their permitted transferees are entitled to piggyback registration rights. However, this right does not apply to a registration relating to sales of securities of participants in one of our stock plans, a registration relating to the offer and sale of debt securities or a registration relating to a corporate reorganization or other transaction under Rule 145 of the Securities Act. The underwriters of any underwritten offering will have the right, in their sole discretion, to limit, because of marketing reasons, the number of shares registered by these holders, in which case the number of shares to be registered will be apportioned, first, to us, and second, pro rata among these holders, according to the total amount of securities entitled to be included by each holder, subject to additional circumstances specified in the amended and restated investor rights agreement.</w:t>
      </w:r>
    </w:p>
    <w:p>
      <w:pPr>
        <w:spacing w:after="0" w:line="201" w:lineRule="exact"/>
        <w:rPr>
          <w:sz w:val="20"/>
          <w:szCs w:val="20"/>
          <w:color w:val="auto"/>
        </w:rPr>
      </w:pPr>
    </w:p>
    <w:p>
      <w:pPr>
        <w:ind w:left="2060"/>
        <w:spacing w:after="0"/>
        <w:rPr>
          <w:sz w:val="20"/>
          <w:szCs w:val="20"/>
          <w:color w:val="auto"/>
        </w:rPr>
      </w:pPr>
      <w:r>
        <w:rPr>
          <w:rFonts w:ascii="Arial" w:cs="Arial" w:eastAsia="Arial" w:hAnsi="Arial"/>
          <w:sz w:val="11"/>
          <w:szCs w:val="11"/>
          <w:b w:val="1"/>
          <w:bCs w:val="1"/>
          <w:u w:val="single" w:color="auto"/>
          <w:color w:val="auto"/>
        </w:rPr>
        <w:t>Anti-Takeover Provisions</w:t>
      </w:r>
    </w:p>
    <w:p>
      <w:pPr>
        <w:spacing w:after="0" w:line="12" w:lineRule="exact"/>
        <w:rPr>
          <w:sz w:val="20"/>
          <w:szCs w:val="20"/>
          <w:color w:val="auto"/>
        </w:rPr>
      </w:pPr>
    </w:p>
    <w:p>
      <w:pPr>
        <w:jc w:val="both"/>
        <w:ind w:left="2060" w:right="839"/>
        <w:spacing w:after="0"/>
        <w:rPr>
          <w:sz w:val="20"/>
          <w:szCs w:val="20"/>
          <w:color w:val="auto"/>
        </w:rPr>
      </w:pPr>
      <w:r>
        <w:rPr>
          <w:rFonts w:ascii="Arial" w:cs="Arial" w:eastAsia="Arial" w:hAnsi="Arial"/>
          <w:sz w:val="11"/>
          <w:szCs w:val="11"/>
          <w:color w:val="050505"/>
        </w:rPr>
        <w:t>The provisions of Delaware law, our restated certificate of incorporation and our restated bylaws, as we expect they will be in effect upon the completion of this offering, could have the effect of delaying, deferring, or discouraging another person from acquiring control of our company. These provisions, which are summarized below, may have the effect of discouraging takeover bids. They are also designed, in part, to encourage persons seeking to acquire control of us to negotiate first with our board of directors. We believe that the benefits of increased protection of our potential ability to negotiate with an unfriendly or unsolicited acquirer outweigh the disadvantages of discouraging a proposal to acquire us because negotiation of these proposals could result in an improvement of their terms.</w:t>
      </w:r>
    </w:p>
    <w:p>
      <w:pPr>
        <w:spacing w:after="0" w:line="130" w:lineRule="exact"/>
        <w:rPr>
          <w:sz w:val="20"/>
          <w:szCs w:val="20"/>
          <w:color w:val="auto"/>
        </w:rPr>
      </w:pPr>
    </w:p>
    <w:p>
      <w:pPr>
        <w:ind w:left="2060"/>
        <w:spacing w:after="0"/>
        <w:rPr>
          <w:sz w:val="20"/>
          <w:szCs w:val="20"/>
          <w:color w:val="auto"/>
        </w:rPr>
      </w:pPr>
      <w:r>
        <w:rPr>
          <w:rFonts w:ascii="Arial" w:cs="Arial" w:eastAsia="Arial" w:hAnsi="Arial"/>
          <w:sz w:val="11"/>
          <w:szCs w:val="11"/>
          <w:b w:val="1"/>
          <w:bCs w:val="1"/>
          <w:i w:val="1"/>
          <w:iCs w:val="1"/>
          <w:color w:val="auto"/>
        </w:rPr>
        <w:t>Delaware Law</w:t>
      </w:r>
    </w:p>
    <w:p>
      <w:pPr>
        <w:spacing w:after="0" w:line="12" w:lineRule="exact"/>
        <w:rPr>
          <w:sz w:val="20"/>
          <w:szCs w:val="20"/>
          <w:color w:val="auto"/>
        </w:rPr>
      </w:pPr>
    </w:p>
    <w:p>
      <w:pPr>
        <w:jc w:val="both"/>
        <w:ind w:left="2060" w:right="839"/>
        <w:spacing w:after="0" w:line="242" w:lineRule="auto"/>
        <w:rPr>
          <w:sz w:val="20"/>
          <w:szCs w:val="20"/>
          <w:color w:val="auto"/>
        </w:rPr>
      </w:pPr>
      <w:r>
        <w:rPr>
          <w:rFonts w:ascii="Arial" w:cs="Arial" w:eastAsia="Arial" w:hAnsi="Arial"/>
          <w:sz w:val="11"/>
          <w:szCs w:val="11"/>
          <w:color w:val="050505"/>
        </w:rPr>
        <w:t>We are subject to the provisions of Section 203 of the DGCL, regulating corporate takeovers. In general, DGCL Section 203 prohibits a publicly held Delaware corporation from engaging in a “business combination” with an “interested stockholder” for a period of three years following the date on which the person became an interested stockholder unless:</w:t>
      </w:r>
    </w:p>
    <w:p>
      <w:pPr>
        <w:spacing w:after="0" w:line="158" w:lineRule="exact"/>
        <w:rPr>
          <w:sz w:val="20"/>
          <w:szCs w:val="20"/>
          <w:color w:val="auto"/>
        </w:rPr>
      </w:pPr>
    </w:p>
    <w:p>
      <w:pPr>
        <w:ind w:left="2420" w:right="839" w:hanging="217"/>
        <w:spacing w:after="0" w:line="245" w:lineRule="auto"/>
        <w:tabs>
          <w:tab w:leader="none" w:pos="2420" w:val="left"/>
        </w:tabs>
        <w:numPr>
          <w:ilvl w:val="0"/>
          <w:numId w:val="99"/>
        </w:numPr>
        <w:rPr>
          <w:rFonts w:ascii="Arial" w:cs="Arial" w:eastAsia="Arial" w:hAnsi="Arial"/>
          <w:sz w:val="11"/>
          <w:szCs w:val="11"/>
          <w:color w:val="F7323F"/>
        </w:rPr>
      </w:pPr>
      <w:r>
        <w:rPr>
          <w:rFonts w:ascii="Arial" w:cs="Arial" w:eastAsia="Arial" w:hAnsi="Arial"/>
          <w:sz w:val="11"/>
          <w:szCs w:val="11"/>
          <w:color w:val="050505"/>
        </w:rPr>
        <w:t>prior to the date of the transaction, the board of directors of the corporation approved either the business combination or the transaction which resulted in the stockholder becoming an interested stockholder;</w:t>
      </w:r>
    </w:p>
    <w:p>
      <w:pPr>
        <w:spacing w:after="0" w:line="38" w:lineRule="exact"/>
        <w:rPr>
          <w:rFonts w:ascii="Arial" w:cs="Arial" w:eastAsia="Arial" w:hAnsi="Arial"/>
          <w:sz w:val="11"/>
          <w:szCs w:val="11"/>
          <w:color w:val="F7323F"/>
        </w:rPr>
      </w:pPr>
    </w:p>
    <w:p>
      <w:pPr>
        <w:ind w:left="2420" w:right="839" w:hanging="217"/>
        <w:spacing w:after="0" w:line="245" w:lineRule="auto"/>
        <w:tabs>
          <w:tab w:leader="none" w:pos="2420" w:val="left"/>
        </w:tabs>
        <w:numPr>
          <w:ilvl w:val="0"/>
          <w:numId w:val="99"/>
        </w:numPr>
        <w:rPr>
          <w:rFonts w:ascii="Arial" w:cs="Arial" w:eastAsia="Arial" w:hAnsi="Arial"/>
          <w:sz w:val="11"/>
          <w:szCs w:val="11"/>
          <w:color w:val="F7323F"/>
        </w:rPr>
      </w:pPr>
      <w:r>
        <w:rPr>
          <w:rFonts w:ascii="Arial" w:cs="Arial" w:eastAsia="Arial" w:hAnsi="Arial"/>
          <w:sz w:val="11"/>
          <w:szCs w:val="11"/>
          <w:color w:val="050505"/>
        </w:rPr>
        <w:t>the interested stockholder owned at least 85% of the voting stock of the corporation outstanding at the time the transaction commenced, excluding for purposes of determining the voting stock outstanding, but not the outstanding</w:t>
      </w:r>
    </w:p>
    <w:p>
      <w:pPr>
        <w:spacing w:after="0" w:line="93" w:lineRule="exact"/>
        <w:rPr>
          <w:sz w:val="20"/>
          <w:szCs w:val="20"/>
          <w:color w:val="auto"/>
        </w:rPr>
      </w:pPr>
    </w:p>
    <w:p>
      <w:pPr>
        <w:ind w:left="5640"/>
        <w:spacing w:after="0"/>
        <w:rPr>
          <w:sz w:val="20"/>
          <w:szCs w:val="20"/>
          <w:color w:val="auto"/>
        </w:rPr>
      </w:pPr>
      <w:r>
        <w:rPr>
          <w:rFonts w:ascii="Arial" w:cs="Arial" w:eastAsia="Arial" w:hAnsi="Arial"/>
          <w:sz w:val="11"/>
          <w:szCs w:val="11"/>
          <w:color w:val="050505"/>
        </w:rPr>
        <w:t>139</w:t>
      </w:r>
    </w:p>
    <w:p>
      <w:pPr>
        <w:sectPr>
          <w:pgSz w:w="11900" w:h="16838" w:orient="portrait"/>
          <w:cols w:equalWidth="0" w:num="1">
            <w:col w:w="10239"/>
          </w:cols>
          <w:pgMar w:left="220" w:top="354" w:right="1440" w:bottom="1440" w:gutter="0" w:footer="0" w:header="0"/>
        </w:sectPr>
      </w:pPr>
    </w:p>
    <w:bookmarkStart w:id="149" w:name="page150"/>
    <w:bookmarkEnd w:id="149"/>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hyperlink w:anchor="page5">
        <w:r>
          <w:rPr>
            <w:rFonts w:ascii="Arial" w:cs="Arial" w:eastAsia="Arial" w:hAnsi="Arial"/>
            <w:sz w:val="12"/>
            <w:szCs w:val="12"/>
            <w:b w:val="1"/>
            <w:bCs w:val="1"/>
            <w:u w:val="single" w:color="auto"/>
            <w:color w:val="0000EE"/>
          </w:rPr>
          <w:t>Table of Contents</w:t>
        </w:r>
      </w:hyperlink>
    </w:p>
    <w:p>
      <w:pPr>
        <w:spacing w:after="0" w:line="216" w:lineRule="exact"/>
        <w:rPr>
          <w:sz w:val="20"/>
          <w:szCs w:val="20"/>
          <w:color w:val="auto"/>
        </w:rPr>
      </w:pPr>
    </w:p>
    <w:p>
      <w:pPr>
        <w:jc w:val="both"/>
        <w:ind w:left="2420" w:right="839"/>
        <w:spacing w:after="0" w:line="242" w:lineRule="auto"/>
        <w:rPr>
          <w:sz w:val="20"/>
          <w:szCs w:val="20"/>
          <w:color w:val="auto"/>
        </w:rPr>
      </w:pPr>
      <w:r>
        <w:rPr>
          <w:rFonts w:ascii="Arial" w:cs="Arial" w:eastAsia="Arial" w:hAnsi="Arial"/>
          <w:sz w:val="11"/>
          <w:szCs w:val="11"/>
          <w:color w:val="050505"/>
        </w:rPr>
        <w:t>voting stock owned by the interested stockholder, (1) shares owned by persons who are directors and also officers and (2) shares owned by employee stock plans in which employee participants do not have the right to determine confidentially whether shares held subject to the plan will be tendered in a tender or exchange offer; or</w:t>
      </w:r>
    </w:p>
    <w:p>
      <w:pPr>
        <w:spacing w:after="0" w:line="41" w:lineRule="exact"/>
        <w:rPr>
          <w:sz w:val="20"/>
          <w:szCs w:val="20"/>
          <w:color w:val="auto"/>
        </w:rPr>
      </w:pPr>
    </w:p>
    <w:p>
      <w:pPr>
        <w:jc w:val="both"/>
        <w:ind w:left="2420" w:right="839" w:hanging="217"/>
        <w:spacing w:after="0" w:line="242" w:lineRule="auto"/>
        <w:tabs>
          <w:tab w:leader="none" w:pos="2420" w:val="left"/>
        </w:tabs>
        <w:numPr>
          <w:ilvl w:val="0"/>
          <w:numId w:val="100"/>
        </w:numPr>
        <w:rPr>
          <w:rFonts w:ascii="Arial" w:cs="Arial" w:eastAsia="Arial" w:hAnsi="Arial"/>
          <w:sz w:val="11"/>
          <w:szCs w:val="11"/>
          <w:color w:val="F7323F"/>
        </w:rPr>
      </w:pPr>
      <w:r>
        <w:rPr>
          <w:rFonts w:ascii="Arial" w:cs="Arial" w:eastAsia="Arial" w:hAnsi="Arial"/>
          <w:sz w:val="11"/>
          <w:szCs w:val="11"/>
          <w:color w:val="050505"/>
        </w:rPr>
        <w:t>at or subsequent to the date of the transaction, the business combination is approved by the board of directors of the corporation and authorized at an annual or special meeting of stockholders, and not by written consent, by the affirmative vote of at least two-thirds of the outstanding voting stock that is not owned by the interested stockholder.</w:t>
      </w:r>
    </w:p>
    <w:p>
      <w:pPr>
        <w:spacing w:after="0" w:line="140" w:lineRule="exact"/>
        <w:rPr>
          <w:sz w:val="20"/>
          <w:szCs w:val="20"/>
          <w:color w:val="auto"/>
        </w:rPr>
      </w:pPr>
    </w:p>
    <w:p>
      <w:pPr>
        <w:jc w:val="both"/>
        <w:ind w:left="2060" w:right="839"/>
        <w:spacing w:after="0" w:line="270" w:lineRule="auto"/>
        <w:rPr>
          <w:sz w:val="20"/>
          <w:szCs w:val="20"/>
          <w:color w:val="auto"/>
        </w:rPr>
      </w:pPr>
      <w:r>
        <w:rPr>
          <w:rFonts w:ascii="Arial" w:cs="Arial" w:eastAsia="Arial" w:hAnsi="Arial"/>
          <w:sz w:val="10"/>
          <w:szCs w:val="10"/>
          <w:color w:val="050505"/>
        </w:rPr>
        <w:t>Generally, a “business combination” includes a merger, asset or stock sale, or other transaction or series of transactions together resulting in a financial benefit to the interested stockholder. An “interested stockholder” is a person who, together with affiliates and associates, owns or, within three years prior to the determination of interested stockholder status, did own 15% or more of a corporation’s outstanding voting stock. We expect the existence of this provision to have an anti-takeover effect with respect to transactions our board of directors does not approve in advance. We also anticipate that DGCL Section 203 may also discourage attempts that might result in a premium over the market price for the shares of common stock held by stockholders.</w:t>
      </w:r>
    </w:p>
    <w:p>
      <w:pPr>
        <w:spacing w:after="0" w:line="116" w:lineRule="exact"/>
        <w:rPr>
          <w:sz w:val="20"/>
          <w:szCs w:val="20"/>
          <w:color w:val="auto"/>
        </w:rPr>
      </w:pPr>
    </w:p>
    <w:p>
      <w:pPr>
        <w:ind w:left="2060"/>
        <w:spacing w:after="0"/>
        <w:rPr>
          <w:sz w:val="20"/>
          <w:szCs w:val="20"/>
          <w:color w:val="auto"/>
        </w:rPr>
      </w:pPr>
      <w:r>
        <w:rPr>
          <w:rFonts w:ascii="Arial" w:cs="Arial" w:eastAsia="Arial" w:hAnsi="Arial"/>
          <w:sz w:val="11"/>
          <w:szCs w:val="11"/>
          <w:b w:val="1"/>
          <w:bCs w:val="1"/>
          <w:i w:val="1"/>
          <w:iCs w:val="1"/>
          <w:color w:val="auto"/>
        </w:rPr>
        <w:t>Restated Certificate of Incorporation and Restated Bylaw Provisions</w:t>
      </w:r>
    </w:p>
    <w:p>
      <w:pPr>
        <w:spacing w:after="0" w:line="12" w:lineRule="exact"/>
        <w:rPr>
          <w:sz w:val="20"/>
          <w:szCs w:val="20"/>
          <w:color w:val="auto"/>
        </w:rPr>
      </w:pPr>
    </w:p>
    <w:p>
      <w:pPr>
        <w:jc w:val="both"/>
        <w:ind w:left="2060" w:right="839"/>
        <w:spacing w:after="0" w:line="245" w:lineRule="auto"/>
        <w:rPr>
          <w:sz w:val="20"/>
          <w:szCs w:val="20"/>
          <w:color w:val="auto"/>
        </w:rPr>
      </w:pPr>
      <w:r>
        <w:rPr>
          <w:rFonts w:ascii="Arial" w:cs="Arial" w:eastAsia="Arial" w:hAnsi="Arial"/>
          <w:sz w:val="11"/>
          <w:szCs w:val="11"/>
          <w:color w:val="050505"/>
        </w:rPr>
        <w:t>Our restated certificate of incorporation and our restated bylaws will include a number of provisions that could deter hostile takeovers or delay or prevent changes in control of our management team, including the following:</w:t>
      </w:r>
    </w:p>
    <w:p>
      <w:pPr>
        <w:spacing w:after="0" w:line="146" w:lineRule="exact"/>
        <w:rPr>
          <w:sz w:val="20"/>
          <w:szCs w:val="20"/>
          <w:color w:val="auto"/>
        </w:rPr>
      </w:pPr>
    </w:p>
    <w:p>
      <w:pPr>
        <w:jc w:val="both"/>
        <w:ind w:left="2420" w:right="839" w:hanging="217"/>
        <w:spacing w:after="0" w:line="245" w:lineRule="auto"/>
        <w:tabs>
          <w:tab w:leader="none" w:pos="2420" w:val="left"/>
        </w:tabs>
        <w:numPr>
          <w:ilvl w:val="0"/>
          <w:numId w:val="101"/>
        </w:numPr>
        <w:rPr>
          <w:rFonts w:ascii="Arial" w:cs="Arial" w:eastAsia="Arial" w:hAnsi="Arial"/>
          <w:sz w:val="11"/>
          <w:szCs w:val="11"/>
          <w:color w:val="F7323F"/>
        </w:rPr>
      </w:pPr>
      <w:r>
        <w:rPr>
          <w:rFonts w:ascii="Arial" w:cs="Arial" w:eastAsia="Arial" w:hAnsi="Arial"/>
          <w:sz w:val="11"/>
          <w:szCs w:val="11"/>
          <w:i w:val="1"/>
          <w:iCs w:val="1"/>
          <w:color w:val="050505"/>
        </w:rPr>
        <w:t>Dual Class Common Stock</w:t>
      </w:r>
      <w:r>
        <w:rPr>
          <w:rFonts w:ascii="Arial" w:cs="Arial" w:eastAsia="Arial" w:hAnsi="Arial"/>
          <w:sz w:val="11"/>
          <w:szCs w:val="11"/>
          <w:color w:val="050505"/>
        </w:rPr>
        <w:t>. As described above in the section titled “—Common Stock—Voting Rights,” our restated certificate of incorporation</w:t>
      </w:r>
      <w:r>
        <w:rPr>
          <w:rFonts w:ascii="Arial" w:cs="Arial" w:eastAsia="Arial" w:hAnsi="Arial"/>
          <w:sz w:val="11"/>
          <w:szCs w:val="11"/>
          <w:i w:val="1"/>
          <w:iCs w:val="1"/>
          <w:color w:val="050505"/>
        </w:rPr>
        <w:t xml:space="preserve"> </w:t>
      </w:r>
      <w:r>
        <w:rPr>
          <w:rFonts w:ascii="Arial" w:cs="Arial" w:eastAsia="Arial" w:hAnsi="Arial"/>
          <w:sz w:val="11"/>
          <w:szCs w:val="11"/>
          <w:color w:val="050505"/>
        </w:rPr>
        <w:t>will provide for a dual class common stock structure pursuant to which holders of our Class B common stock will have the ability to control the outcome of matters requiring stockholder approval, even if they own significantly less than a majority of the shares of our outstanding Class A and Class B common stock, including the election of directors and significant corporate transactions, such as a merger or other sale of our company or its assets. Current investors, executives, and employees will have the ability to exercise significant influence over those matters.</w:t>
      </w:r>
    </w:p>
    <w:p>
      <w:pPr>
        <w:spacing w:after="0" w:line="29" w:lineRule="exact"/>
        <w:rPr>
          <w:rFonts w:ascii="Arial" w:cs="Arial" w:eastAsia="Arial" w:hAnsi="Arial"/>
          <w:sz w:val="11"/>
          <w:szCs w:val="11"/>
          <w:color w:val="F7323F"/>
        </w:rPr>
      </w:pPr>
    </w:p>
    <w:p>
      <w:pPr>
        <w:jc w:val="both"/>
        <w:ind w:left="2420" w:right="839" w:hanging="217"/>
        <w:spacing w:after="0" w:line="245" w:lineRule="auto"/>
        <w:tabs>
          <w:tab w:leader="none" w:pos="2420" w:val="left"/>
        </w:tabs>
        <w:numPr>
          <w:ilvl w:val="0"/>
          <w:numId w:val="101"/>
        </w:numPr>
        <w:rPr>
          <w:rFonts w:ascii="Arial" w:cs="Arial" w:eastAsia="Arial" w:hAnsi="Arial"/>
          <w:sz w:val="11"/>
          <w:szCs w:val="11"/>
          <w:color w:val="F7323F"/>
        </w:rPr>
      </w:pPr>
      <w:r>
        <w:rPr>
          <w:rFonts w:ascii="Arial" w:cs="Arial" w:eastAsia="Arial" w:hAnsi="Arial"/>
          <w:sz w:val="11"/>
          <w:szCs w:val="11"/>
          <w:i w:val="1"/>
          <w:iCs w:val="1"/>
          <w:color w:val="050505"/>
        </w:rPr>
        <w:t>Board of Directors Vacancies</w:t>
      </w:r>
      <w:r>
        <w:rPr>
          <w:rFonts w:ascii="Arial" w:cs="Arial" w:eastAsia="Arial" w:hAnsi="Arial"/>
          <w:sz w:val="11"/>
          <w:szCs w:val="11"/>
          <w:color w:val="050505"/>
        </w:rPr>
        <w:t>. Our restated certificate of incorporation and restated bylaws will authorize only our board of directors to fill vacant</w:t>
      </w:r>
      <w:r>
        <w:rPr>
          <w:rFonts w:ascii="Arial" w:cs="Arial" w:eastAsia="Arial" w:hAnsi="Arial"/>
          <w:sz w:val="11"/>
          <w:szCs w:val="11"/>
          <w:i w:val="1"/>
          <w:iCs w:val="1"/>
          <w:color w:val="050505"/>
        </w:rPr>
        <w:t xml:space="preserve"> </w:t>
      </w:r>
      <w:r>
        <w:rPr>
          <w:rFonts w:ascii="Arial" w:cs="Arial" w:eastAsia="Arial" w:hAnsi="Arial"/>
          <w:sz w:val="11"/>
          <w:szCs w:val="11"/>
          <w:color w:val="050505"/>
        </w:rPr>
        <w:t>directorships, including newly created seats. In addition, the number of directors constituting our board of directors is permitted to be set only by a resolution adopted by a majority vote of our entire board of directors. These provisions would prevent a stockholder from increasing the size of our board of directors and then gaining control of our board of directors by filling the resulting vacancies with its own nominees. This makes it more difficult to change the composition of our board of directors but promotes continuity of management.</w:t>
      </w:r>
    </w:p>
    <w:p>
      <w:pPr>
        <w:spacing w:after="0" w:line="29" w:lineRule="exact"/>
        <w:rPr>
          <w:rFonts w:ascii="Arial" w:cs="Arial" w:eastAsia="Arial" w:hAnsi="Arial"/>
          <w:sz w:val="11"/>
          <w:szCs w:val="11"/>
          <w:color w:val="F7323F"/>
        </w:rPr>
      </w:pPr>
    </w:p>
    <w:p>
      <w:pPr>
        <w:jc w:val="both"/>
        <w:ind w:left="2420" w:right="839" w:hanging="217"/>
        <w:spacing w:after="0" w:line="247" w:lineRule="auto"/>
        <w:tabs>
          <w:tab w:leader="none" w:pos="2420" w:val="left"/>
        </w:tabs>
        <w:numPr>
          <w:ilvl w:val="0"/>
          <w:numId w:val="101"/>
        </w:numPr>
        <w:rPr>
          <w:rFonts w:ascii="Arial" w:cs="Arial" w:eastAsia="Arial" w:hAnsi="Arial"/>
          <w:sz w:val="11"/>
          <w:szCs w:val="11"/>
          <w:color w:val="F7323F"/>
        </w:rPr>
      </w:pPr>
      <w:r>
        <w:rPr>
          <w:rFonts w:ascii="Arial" w:cs="Arial" w:eastAsia="Arial" w:hAnsi="Arial"/>
          <w:sz w:val="11"/>
          <w:szCs w:val="11"/>
          <w:i w:val="1"/>
          <w:iCs w:val="1"/>
          <w:color w:val="050505"/>
        </w:rPr>
        <w:t>Classified Board</w:t>
      </w:r>
      <w:r>
        <w:rPr>
          <w:rFonts w:ascii="Arial" w:cs="Arial" w:eastAsia="Arial" w:hAnsi="Arial"/>
          <w:sz w:val="11"/>
          <w:szCs w:val="11"/>
          <w:color w:val="050505"/>
        </w:rPr>
        <w:t>. Our restated certificate of incorporation and restated bylaws will provide that our board of directors will be classified into three</w:t>
      </w:r>
      <w:r>
        <w:rPr>
          <w:rFonts w:ascii="Arial" w:cs="Arial" w:eastAsia="Arial" w:hAnsi="Arial"/>
          <w:sz w:val="11"/>
          <w:szCs w:val="11"/>
          <w:i w:val="1"/>
          <w:iCs w:val="1"/>
          <w:color w:val="050505"/>
        </w:rPr>
        <w:t xml:space="preserve"> </w:t>
      </w:r>
      <w:r>
        <w:rPr>
          <w:rFonts w:ascii="Arial" w:cs="Arial" w:eastAsia="Arial" w:hAnsi="Arial"/>
          <w:sz w:val="11"/>
          <w:szCs w:val="11"/>
          <w:color w:val="050505"/>
        </w:rPr>
        <w:t>classes of directors. The existence of a classified board of directors could discourage a third party from making a tender offer or otherwise attempting to obtain control of us as it is more difficult and time consuming for stockholders to replace a majority of the directors on a classified board of directors. See the section titled “Management—Board of Directors Composition” for additional information.</w:t>
      </w:r>
    </w:p>
    <w:p>
      <w:pPr>
        <w:spacing w:after="0" w:line="28" w:lineRule="exact"/>
        <w:rPr>
          <w:rFonts w:ascii="Arial" w:cs="Arial" w:eastAsia="Arial" w:hAnsi="Arial"/>
          <w:sz w:val="11"/>
          <w:szCs w:val="11"/>
          <w:color w:val="F7323F"/>
        </w:rPr>
      </w:pPr>
    </w:p>
    <w:p>
      <w:pPr>
        <w:ind w:left="2420" w:hanging="217"/>
        <w:spacing w:after="0"/>
        <w:tabs>
          <w:tab w:leader="none" w:pos="2420" w:val="left"/>
        </w:tabs>
        <w:numPr>
          <w:ilvl w:val="0"/>
          <w:numId w:val="101"/>
        </w:numPr>
        <w:rPr>
          <w:rFonts w:ascii="Arial" w:cs="Arial" w:eastAsia="Arial" w:hAnsi="Arial"/>
          <w:sz w:val="11"/>
          <w:szCs w:val="11"/>
          <w:color w:val="F7323F"/>
        </w:rPr>
      </w:pPr>
      <w:r>
        <w:rPr>
          <w:rFonts w:ascii="Arial" w:cs="Arial" w:eastAsia="Arial" w:hAnsi="Arial"/>
          <w:sz w:val="11"/>
          <w:szCs w:val="11"/>
          <w:i w:val="1"/>
          <w:iCs w:val="1"/>
          <w:color w:val="050505"/>
        </w:rPr>
        <w:t>Directors Removed Only for Cause</w:t>
      </w:r>
      <w:r>
        <w:rPr>
          <w:rFonts w:ascii="Arial" w:cs="Arial" w:eastAsia="Arial" w:hAnsi="Arial"/>
          <w:sz w:val="11"/>
          <w:szCs w:val="11"/>
          <w:color w:val="050505"/>
        </w:rPr>
        <w:t>. Our restated certificate of incorporation will provide that stockholders may remove directors only for cause.</w:t>
      </w:r>
    </w:p>
    <w:p>
      <w:pPr>
        <w:spacing w:after="0" w:line="44" w:lineRule="exact"/>
        <w:rPr>
          <w:rFonts w:ascii="Arial" w:cs="Arial" w:eastAsia="Arial" w:hAnsi="Arial"/>
          <w:sz w:val="11"/>
          <w:szCs w:val="11"/>
          <w:color w:val="F7323F"/>
        </w:rPr>
      </w:pPr>
    </w:p>
    <w:p>
      <w:pPr>
        <w:jc w:val="both"/>
        <w:ind w:left="2420" w:right="839" w:hanging="217"/>
        <w:spacing w:after="0" w:line="270" w:lineRule="auto"/>
        <w:tabs>
          <w:tab w:leader="none" w:pos="2420" w:val="left"/>
        </w:tabs>
        <w:numPr>
          <w:ilvl w:val="0"/>
          <w:numId w:val="101"/>
        </w:numPr>
        <w:rPr>
          <w:rFonts w:ascii="Arial" w:cs="Arial" w:eastAsia="Arial" w:hAnsi="Arial"/>
          <w:sz w:val="10"/>
          <w:szCs w:val="10"/>
          <w:color w:val="F7323F"/>
        </w:rPr>
      </w:pPr>
      <w:r>
        <w:rPr>
          <w:rFonts w:ascii="Arial" w:cs="Arial" w:eastAsia="Arial" w:hAnsi="Arial"/>
          <w:sz w:val="10"/>
          <w:szCs w:val="10"/>
          <w:i w:val="1"/>
          <w:iCs w:val="1"/>
          <w:color w:val="050505"/>
        </w:rPr>
        <w:t>Supermajority Requirements for Amendments of Our Restated Certificate of Incorporation and Restated Bylaws</w:t>
      </w:r>
      <w:r>
        <w:rPr>
          <w:rFonts w:ascii="Arial" w:cs="Arial" w:eastAsia="Arial" w:hAnsi="Arial"/>
          <w:sz w:val="10"/>
          <w:szCs w:val="10"/>
          <w:color w:val="050505"/>
        </w:rPr>
        <w:t>. Our restated certificate of</w:t>
      </w:r>
      <w:r>
        <w:rPr>
          <w:rFonts w:ascii="Arial" w:cs="Arial" w:eastAsia="Arial" w:hAnsi="Arial"/>
          <w:sz w:val="10"/>
          <w:szCs w:val="10"/>
          <w:i w:val="1"/>
          <w:iCs w:val="1"/>
          <w:color w:val="050505"/>
        </w:rPr>
        <w:t xml:space="preserve"> </w:t>
      </w:r>
      <w:r>
        <w:rPr>
          <w:rFonts w:ascii="Arial" w:cs="Arial" w:eastAsia="Arial" w:hAnsi="Arial"/>
          <w:sz w:val="10"/>
          <w:szCs w:val="10"/>
          <w:color w:val="050505"/>
        </w:rPr>
        <w:t>incorporation will further provide that the affirmative vote of holders of at least two-thirds of the voting power of all of the then outstanding shares of voting stock will be required to amend certain provisions of our restated certificate of incorporation, including provisions relating to the classified board, the size of the board, removal of directors, special meetings, actions by written consent, and designation of our preferred stock. In addition, the affirmative vote of holders of 75% of the voting power of each of our Class A common stock and Class B common stock, voting separately by class, will be required to amend the provisions of our restated certificate of incorporation relating to the terms of our Class B common stock. The affirmative vote of holders of at least 66 2/3% of the voting power of all of the then outstanding shares of voting stock will be required to amend or repeal our restated bylaws, although our restated bylaws may be amended by a simple majority vote of our board of directors.</w:t>
      </w:r>
    </w:p>
    <w:p>
      <w:pPr>
        <w:spacing w:after="0" w:line="18" w:lineRule="exact"/>
        <w:rPr>
          <w:rFonts w:ascii="Arial" w:cs="Arial" w:eastAsia="Arial" w:hAnsi="Arial"/>
          <w:sz w:val="10"/>
          <w:szCs w:val="10"/>
          <w:color w:val="F7323F"/>
        </w:rPr>
      </w:pPr>
    </w:p>
    <w:p>
      <w:pPr>
        <w:jc w:val="both"/>
        <w:ind w:left="2420" w:right="839" w:hanging="217"/>
        <w:spacing w:after="0" w:line="247" w:lineRule="auto"/>
        <w:tabs>
          <w:tab w:leader="none" w:pos="2420" w:val="left"/>
        </w:tabs>
        <w:numPr>
          <w:ilvl w:val="0"/>
          <w:numId w:val="101"/>
        </w:numPr>
        <w:rPr>
          <w:rFonts w:ascii="Arial" w:cs="Arial" w:eastAsia="Arial" w:hAnsi="Arial"/>
          <w:sz w:val="11"/>
          <w:szCs w:val="11"/>
          <w:color w:val="F7323F"/>
        </w:rPr>
      </w:pPr>
      <w:r>
        <w:rPr>
          <w:rFonts w:ascii="Arial" w:cs="Arial" w:eastAsia="Arial" w:hAnsi="Arial"/>
          <w:sz w:val="11"/>
          <w:szCs w:val="11"/>
          <w:i w:val="1"/>
          <w:iCs w:val="1"/>
          <w:color w:val="050505"/>
        </w:rPr>
        <w:t>Stockholder Action; Special Meeting of Stockholders</w:t>
      </w:r>
      <w:r>
        <w:rPr>
          <w:rFonts w:ascii="Arial" w:cs="Arial" w:eastAsia="Arial" w:hAnsi="Arial"/>
          <w:sz w:val="11"/>
          <w:szCs w:val="11"/>
          <w:color w:val="050505"/>
        </w:rPr>
        <w:t>. Our restated certificate of incorporation will provide that special meetings of our stockholders</w:t>
      </w:r>
      <w:r>
        <w:rPr>
          <w:rFonts w:ascii="Arial" w:cs="Arial" w:eastAsia="Arial" w:hAnsi="Arial"/>
          <w:sz w:val="11"/>
          <w:szCs w:val="11"/>
          <w:i w:val="1"/>
          <w:iCs w:val="1"/>
          <w:color w:val="050505"/>
        </w:rPr>
        <w:t xml:space="preserve"> </w:t>
      </w:r>
      <w:r>
        <w:rPr>
          <w:rFonts w:ascii="Arial" w:cs="Arial" w:eastAsia="Arial" w:hAnsi="Arial"/>
          <w:sz w:val="11"/>
          <w:szCs w:val="11"/>
          <w:color w:val="050505"/>
        </w:rPr>
        <w:t>may be called only by a majority of our board of directors, the chairman of our board of directors, our lead independent director, or our chief executive officer. Our restated certificate of incorporation will provide that our stockholders may not take action by written consent, but may only take action at annual or special</w:t>
      </w:r>
    </w:p>
    <w:p>
      <w:pPr>
        <w:spacing w:after="0" w:line="93" w:lineRule="exact"/>
        <w:rPr>
          <w:sz w:val="20"/>
          <w:szCs w:val="20"/>
          <w:color w:val="auto"/>
        </w:rPr>
      </w:pPr>
    </w:p>
    <w:p>
      <w:pPr>
        <w:ind w:left="5640"/>
        <w:spacing w:after="0"/>
        <w:rPr>
          <w:sz w:val="20"/>
          <w:szCs w:val="20"/>
          <w:color w:val="auto"/>
        </w:rPr>
      </w:pPr>
      <w:r>
        <w:rPr>
          <w:rFonts w:ascii="Arial" w:cs="Arial" w:eastAsia="Arial" w:hAnsi="Arial"/>
          <w:sz w:val="11"/>
          <w:szCs w:val="11"/>
          <w:color w:val="050505"/>
        </w:rPr>
        <w:t>140</w:t>
      </w:r>
    </w:p>
    <w:p>
      <w:pPr>
        <w:sectPr>
          <w:pgSz w:w="11900" w:h="16838" w:orient="portrait"/>
          <w:cols w:equalWidth="0" w:num="1">
            <w:col w:w="10239"/>
          </w:cols>
          <w:pgMar w:left="220" w:top="354" w:right="1440" w:bottom="1440" w:gutter="0" w:footer="0" w:header="0"/>
        </w:sectPr>
      </w:pPr>
    </w:p>
    <w:bookmarkStart w:id="150" w:name="page151"/>
    <w:bookmarkEnd w:id="150"/>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hyperlink w:anchor="page5">
        <w:r>
          <w:rPr>
            <w:rFonts w:ascii="Arial" w:cs="Arial" w:eastAsia="Arial" w:hAnsi="Arial"/>
            <w:sz w:val="12"/>
            <w:szCs w:val="12"/>
            <w:b w:val="1"/>
            <w:bCs w:val="1"/>
            <w:u w:val="single" w:color="auto"/>
            <w:color w:val="0000EE"/>
          </w:rPr>
          <w:t>Table of Contents</w:t>
        </w:r>
      </w:hyperlink>
    </w:p>
    <w:p>
      <w:pPr>
        <w:spacing w:after="0" w:line="216" w:lineRule="exact"/>
        <w:rPr>
          <w:sz w:val="20"/>
          <w:szCs w:val="20"/>
          <w:color w:val="auto"/>
        </w:rPr>
      </w:pPr>
    </w:p>
    <w:p>
      <w:pPr>
        <w:jc w:val="both"/>
        <w:ind w:left="2420" w:right="839"/>
        <w:spacing w:after="0"/>
        <w:rPr>
          <w:sz w:val="20"/>
          <w:szCs w:val="20"/>
          <w:color w:val="auto"/>
        </w:rPr>
      </w:pPr>
      <w:r>
        <w:rPr>
          <w:rFonts w:ascii="Arial" w:cs="Arial" w:eastAsia="Arial" w:hAnsi="Arial"/>
          <w:sz w:val="11"/>
          <w:szCs w:val="11"/>
          <w:color w:val="050505"/>
        </w:rPr>
        <w:t>meetings of our stockholders. As a result, holders of our capital stock would not be able to amend our restated bylaws or remove directors without holding a meeting of our stockholders called in accordance with our restated bylaws. Further, our restated bylaws will provide that special meetings of our stockholders may be called only by a majority of our board of directors, the chairman of our board of directors, our lead independent director, or our chief executive officer, thus prohibiting a stockholder from calling a special meeting. These provisions might delay the ability of our stockholders to force consideration of a proposal or for stockholders to take any action, including the removal of directors.</w:t>
      </w:r>
    </w:p>
    <w:p>
      <w:pPr>
        <w:spacing w:after="0" w:line="33" w:lineRule="exact"/>
        <w:rPr>
          <w:sz w:val="20"/>
          <w:szCs w:val="20"/>
          <w:color w:val="auto"/>
        </w:rPr>
      </w:pPr>
    </w:p>
    <w:p>
      <w:pPr>
        <w:jc w:val="both"/>
        <w:ind w:left="2420" w:right="839" w:hanging="217"/>
        <w:spacing w:after="0" w:line="243" w:lineRule="auto"/>
        <w:tabs>
          <w:tab w:leader="none" w:pos="2420" w:val="left"/>
        </w:tabs>
        <w:numPr>
          <w:ilvl w:val="0"/>
          <w:numId w:val="102"/>
        </w:numPr>
        <w:rPr>
          <w:rFonts w:ascii="Arial" w:cs="Arial" w:eastAsia="Arial" w:hAnsi="Arial"/>
          <w:sz w:val="11"/>
          <w:szCs w:val="11"/>
          <w:color w:val="F7323F"/>
        </w:rPr>
      </w:pPr>
      <w:r>
        <w:rPr>
          <w:rFonts w:ascii="Arial" w:cs="Arial" w:eastAsia="Arial" w:hAnsi="Arial"/>
          <w:sz w:val="11"/>
          <w:szCs w:val="11"/>
          <w:i w:val="1"/>
          <w:iCs w:val="1"/>
          <w:color w:val="050505"/>
        </w:rPr>
        <w:t>Advance Notice Requirements for Stockholder Proposals and Director Nominations</w:t>
      </w:r>
      <w:r>
        <w:rPr>
          <w:rFonts w:ascii="Arial" w:cs="Arial" w:eastAsia="Arial" w:hAnsi="Arial"/>
          <w:sz w:val="11"/>
          <w:szCs w:val="11"/>
          <w:color w:val="050505"/>
        </w:rPr>
        <w:t>. Our restated bylaws will provide advance notice procedures</w:t>
      </w:r>
      <w:r>
        <w:rPr>
          <w:rFonts w:ascii="Arial" w:cs="Arial" w:eastAsia="Arial" w:hAnsi="Arial"/>
          <w:sz w:val="11"/>
          <w:szCs w:val="11"/>
          <w:i w:val="1"/>
          <w:iCs w:val="1"/>
          <w:color w:val="050505"/>
        </w:rPr>
        <w:t xml:space="preserve"> </w:t>
      </w:r>
      <w:r>
        <w:rPr>
          <w:rFonts w:ascii="Arial" w:cs="Arial" w:eastAsia="Arial" w:hAnsi="Arial"/>
          <w:sz w:val="11"/>
          <w:szCs w:val="11"/>
          <w:color w:val="050505"/>
        </w:rPr>
        <w:t>for stockholders seeking to bring business before our annual meeting of stockholders or to nominate candidates for election as directors at our annual meeting of stockholders. Our restated bylaws also specify certain requirements regarding the form and content of a stockholder’s notice. These provisions might preclude our stockholders from bringing matters before our annual meeting of stockholders or from making nominations for directors at our annual meeting of stockholders if the proper procedures are not followed. We expect that these provisions might also discourage or deter a potential acquirer from conducting a solicitation of proxies to elect the acquirer’s own slate of directors or otherwise attempting to obtain control of our company.</w:t>
      </w:r>
    </w:p>
    <w:p>
      <w:pPr>
        <w:spacing w:after="0" w:line="31" w:lineRule="exact"/>
        <w:rPr>
          <w:rFonts w:ascii="Arial" w:cs="Arial" w:eastAsia="Arial" w:hAnsi="Arial"/>
          <w:sz w:val="11"/>
          <w:szCs w:val="11"/>
          <w:color w:val="F7323F"/>
        </w:rPr>
      </w:pPr>
    </w:p>
    <w:p>
      <w:pPr>
        <w:jc w:val="both"/>
        <w:ind w:left="2420" w:right="839" w:hanging="217"/>
        <w:spacing w:after="0" w:line="251" w:lineRule="auto"/>
        <w:tabs>
          <w:tab w:leader="none" w:pos="2420" w:val="left"/>
        </w:tabs>
        <w:numPr>
          <w:ilvl w:val="0"/>
          <w:numId w:val="102"/>
        </w:numPr>
        <w:rPr>
          <w:rFonts w:ascii="Arial" w:cs="Arial" w:eastAsia="Arial" w:hAnsi="Arial"/>
          <w:sz w:val="11"/>
          <w:szCs w:val="11"/>
          <w:color w:val="F7323F"/>
        </w:rPr>
      </w:pPr>
      <w:r>
        <w:rPr>
          <w:rFonts w:ascii="Arial" w:cs="Arial" w:eastAsia="Arial" w:hAnsi="Arial"/>
          <w:sz w:val="11"/>
          <w:szCs w:val="11"/>
          <w:i w:val="1"/>
          <w:iCs w:val="1"/>
          <w:color w:val="050505"/>
        </w:rPr>
        <w:t>No Cumulative Voting</w:t>
      </w:r>
      <w:r>
        <w:rPr>
          <w:rFonts w:ascii="Arial" w:cs="Arial" w:eastAsia="Arial" w:hAnsi="Arial"/>
          <w:sz w:val="11"/>
          <w:szCs w:val="11"/>
          <w:color w:val="050505"/>
        </w:rPr>
        <w:t>. The DGCL provides that stockholders are not entitled to the right to cumulate votes in the election of directors unless a</w:t>
      </w:r>
      <w:r>
        <w:rPr>
          <w:rFonts w:ascii="Arial" w:cs="Arial" w:eastAsia="Arial" w:hAnsi="Arial"/>
          <w:sz w:val="11"/>
          <w:szCs w:val="11"/>
          <w:i w:val="1"/>
          <w:iCs w:val="1"/>
          <w:color w:val="050505"/>
        </w:rPr>
        <w:t xml:space="preserve"> </w:t>
      </w:r>
      <w:r>
        <w:rPr>
          <w:rFonts w:ascii="Arial" w:cs="Arial" w:eastAsia="Arial" w:hAnsi="Arial"/>
          <w:sz w:val="11"/>
          <w:szCs w:val="11"/>
          <w:color w:val="050505"/>
        </w:rPr>
        <w:t>corporation’s certificate of incorporation provides otherwise. Our restated certificate of incorporation and restated bylaws will not provide for cumulative voting.</w:t>
      </w:r>
    </w:p>
    <w:p>
      <w:pPr>
        <w:spacing w:after="0" w:line="26" w:lineRule="exact"/>
        <w:rPr>
          <w:rFonts w:ascii="Arial" w:cs="Arial" w:eastAsia="Arial" w:hAnsi="Arial"/>
          <w:sz w:val="11"/>
          <w:szCs w:val="11"/>
          <w:color w:val="F7323F"/>
        </w:rPr>
      </w:pPr>
    </w:p>
    <w:p>
      <w:pPr>
        <w:jc w:val="both"/>
        <w:ind w:left="2420" w:right="839" w:hanging="217"/>
        <w:spacing w:after="0" w:line="245" w:lineRule="auto"/>
        <w:tabs>
          <w:tab w:leader="none" w:pos="2420" w:val="left"/>
        </w:tabs>
        <w:numPr>
          <w:ilvl w:val="0"/>
          <w:numId w:val="102"/>
        </w:numPr>
        <w:rPr>
          <w:rFonts w:ascii="Arial" w:cs="Arial" w:eastAsia="Arial" w:hAnsi="Arial"/>
          <w:sz w:val="11"/>
          <w:szCs w:val="11"/>
          <w:color w:val="F7323F"/>
        </w:rPr>
      </w:pPr>
      <w:r>
        <w:rPr>
          <w:rFonts w:ascii="Arial" w:cs="Arial" w:eastAsia="Arial" w:hAnsi="Arial"/>
          <w:sz w:val="11"/>
          <w:szCs w:val="11"/>
          <w:i w:val="1"/>
          <w:iCs w:val="1"/>
          <w:color w:val="050505"/>
        </w:rPr>
        <w:t>Issuance of Undesignated Preferred Stock</w:t>
      </w:r>
      <w:r>
        <w:rPr>
          <w:rFonts w:ascii="Arial" w:cs="Arial" w:eastAsia="Arial" w:hAnsi="Arial"/>
          <w:sz w:val="11"/>
          <w:szCs w:val="11"/>
          <w:color w:val="050505"/>
        </w:rPr>
        <w:t>. After the filing of our restated certificate of incorporation, our board of directors will have the authority,</w:t>
      </w:r>
      <w:r>
        <w:rPr>
          <w:rFonts w:ascii="Arial" w:cs="Arial" w:eastAsia="Arial" w:hAnsi="Arial"/>
          <w:sz w:val="11"/>
          <w:szCs w:val="11"/>
          <w:i w:val="1"/>
          <w:iCs w:val="1"/>
          <w:color w:val="050505"/>
        </w:rPr>
        <w:t xml:space="preserve"> </w:t>
      </w:r>
      <w:r>
        <w:rPr>
          <w:rFonts w:ascii="Arial" w:cs="Arial" w:eastAsia="Arial" w:hAnsi="Arial"/>
          <w:sz w:val="11"/>
          <w:szCs w:val="11"/>
          <w:color w:val="050505"/>
        </w:rPr>
        <w:t>without further action by the stockholders, to issue up to shares of undesignated preferred stock with rights and preferences, including voting rights, designated from time to time by our board of directors. The existence of authorized but unissued shares of preferred stock enables our board of directors to render more difficult or to discourage an attempt to obtain control of us by means of a merger, tender offer, proxy contest, or other means.</w:t>
      </w:r>
    </w:p>
    <w:p>
      <w:pPr>
        <w:spacing w:after="0" w:line="29" w:lineRule="exact"/>
        <w:rPr>
          <w:rFonts w:ascii="Arial" w:cs="Arial" w:eastAsia="Arial" w:hAnsi="Arial"/>
          <w:sz w:val="11"/>
          <w:szCs w:val="11"/>
          <w:color w:val="F7323F"/>
        </w:rPr>
      </w:pPr>
    </w:p>
    <w:p>
      <w:pPr>
        <w:jc w:val="both"/>
        <w:ind w:left="2420" w:right="839" w:hanging="217"/>
        <w:spacing w:after="0" w:line="271" w:lineRule="auto"/>
        <w:tabs>
          <w:tab w:leader="none" w:pos="2420" w:val="left"/>
        </w:tabs>
        <w:numPr>
          <w:ilvl w:val="0"/>
          <w:numId w:val="102"/>
        </w:numPr>
        <w:rPr>
          <w:rFonts w:ascii="Arial" w:cs="Arial" w:eastAsia="Arial" w:hAnsi="Arial"/>
          <w:sz w:val="10"/>
          <w:szCs w:val="10"/>
          <w:color w:val="F7323F"/>
        </w:rPr>
      </w:pPr>
      <w:r>
        <w:rPr>
          <w:rFonts w:ascii="Arial" w:cs="Arial" w:eastAsia="Arial" w:hAnsi="Arial"/>
          <w:sz w:val="10"/>
          <w:szCs w:val="10"/>
          <w:i w:val="1"/>
          <w:iCs w:val="1"/>
          <w:color w:val="050505"/>
        </w:rPr>
        <w:t>Choice of Forum</w:t>
      </w:r>
      <w:r>
        <w:rPr>
          <w:rFonts w:ascii="Arial" w:cs="Arial" w:eastAsia="Arial" w:hAnsi="Arial"/>
          <w:sz w:val="10"/>
          <w:szCs w:val="10"/>
          <w:color w:val="050505"/>
        </w:rPr>
        <w:t>. Our restated certificate of incorporation will provide that, to the fullest extent permitted by law, the Court of Chancery of the State</w:t>
      </w:r>
      <w:r>
        <w:rPr>
          <w:rFonts w:ascii="Arial" w:cs="Arial" w:eastAsia="Arial" w:hAnsi="Arial"/>
          <w:sz w:val="10"/>
          <w:szCs w:val="10"/>
          <w:i w:val="1"/>
          <w:iCs w:val="1"/>
          <w:color w:val="050505"/>
        </w:rPr>
        <w:t xml:space="preserve"> </w:t>
      </w:r>
      <w:r>
        <w:rPr>
          <w:rFonts w:ascii="Arial" w:cs="Arial" w:eastAsia="Arial" w:hAnsi="Arial"/>
          <w:sz w:val="10"/>
          <w:szCs w:val="10"/>
          <w:color w:val="050505"/>
        </w:rPr>
        <w:t>of Delaware will be the exclusive forum for any derivative action or proceeding brought on our behalf; any action asserting a breach of fiduciary duty; any action asserting a claim against us arising pursuant to the DGCL, our restated certificate of incorporation or our restated bylaws; or any action asserting a claim against us that is governed by the internal affairs doctrine. This exclusive forum provision will not apply to claims that are vested in the exclusive jurisdiction of a court or forum other than the Court of Chancery of the State of Delaware, or for which the Court of Chancery of the State of Delaware does not have subject matter jurisdiction. For instance, the provision would not preclude the filing of claims brought to enforce any liability or duty created by the Exchange Act or Securities Act or the rules and regulations thereunder in federal court.</w:t>
      </w:r>
    </w:p>
    <w:p>
      <w:pPr>
        <w:spacing w:after="0" w:line="188" w:lineRule="exact"/>
        <w:rPr>
          <w:sz w:val="20"/>
          <w:szCs w:val="20"/>
          <w:color w:val="auto"/>
        </w:rPr>
      </w:pPr>
    </w:p>
    <w:p>
      <w:pPr>
        <w:ind w:left="2060"/>
        <w:spacing w:after="0"/>
        <w:rPr>
          <w:sz w:val="20"/>
          <w:szCs w:val="20"/>
          <w:color w:val="auto"/>
        </w:rPr>
      </w:pPr>
      <w:r>
        <w:rPr>
          <w:rFonts w:ascii="Arial" w:cs="Arial" w:eastAsia="Arial" w:hAnsi="Arial"/>
          <w:sz w:val="11"/>
          <w:szCs w:val="11"/>
          <w:b w:val="1"/>
          <w:bCs w:val="1"/>
          <w:u w:val="single" w:color="auto"/>
          <w:color w:val="auto"/>
        </w:rPr>
        <w:t>Listing</w:t>
      </w:r>
    </w:p>
    <w:p>
      <w:pPr>
        <w:spacing w:after="0" w:line="12" w:lineRule="exact"/>
        <w:rPr>
          <w:sz w:val="20"/>
          <w:szCs w:val="20"/>
          <w:color w:val="auto"/>
        </w:rPr>
      </w:pPr>
    </w:p>
    <w:p>
      <w:pPr>
        <w:ind w:left="2060"/>
        <w:spacing w:after="0"/>
        <w:rPr>
          <w:sz w:val="20"/>
          <w:szCs w:val="20"/>
          <w:color w:val="auto"/>
        </w:rPr>
      </w:pPr>
      <w:r>
        <w:rPr>
          <w:rFonts w:ascii="Arial" w:cs="Arial" w:eastAsia="Arial" w:hAnsi="Arial"/>
          <w:sz w:val="11"/>
          <w:szCs w:val="11"/>
          <w:color w:val="050505"/>
        </w:rPr>
        <w:t>We have been approved to list our Class A common stock on the Nasdaq Global Select Market under the symbol “PTON.”</w:t>
      </w:r>
    </w:p>
    <w:p>
      <w:pPr>
        <w:spacing w:after="0" w:line="204" w:lineRule="exact"/>
        <w:rPr>
          <w:sz w:val="20"/>
          <w:szCs w:val="20"/>
          <w:color w:val="auto"/>
        </w:rPr>
      </w:pPr>
    </w:p>
    <w:p>
      <w:pPr>
        <w:ind w:left="2060"/>
        <w:spacing w:after="0"/>
        <w:rPr>
          <w:sz w:val="20"/>
          <w:szCs w:val="20"/>
          <w:color w:val="auto"/>
        </w:rPr>
      </w:pPr>
      <w:r>
        <w:rPr>
          <w:rFonts w:ascii="Arial" w:cs="Arial" w:eastAsia="Arial" w:hAnsi="Arial"/>
          <w:sz w:val="11"/>
          <w:szCs w:val="11"/>
          <w:b w:val="1"/>
          <w:bCs w:val="1"/>
          <w:u w:val="single" w:color="auto"/>
          <w:color w:val="auto"/>
        </w:rPr>
        <w:t>Transfer Agent and Registrar</w:t>
      </w:r>
    </w:p>
    <w:p>
      <w:pPr>
        <w:spacing w:after="0" w:line="12" w:lineRule="exact"/>
        <w:rPr>
          <w:sz w:val="20"/>
          <w:szCs w:val="20"/>
          <w:color w:val="auto"/>
        </w:rPr>
      </w:pPr>
    </w:p>
    <w:p>
      <w:pPr>
        <w:ind w:left="2060" w:right="839"/>
        <w:spacing w:after="0" w:line="245" w:lineRule="auto"/>
        <w:rPr>
          <w:sz w:val="20"/>
          <w:szCs w:val="20"/>
          <w:color w:val="auto"/>
        </w:rPr>
      </w:pPr>
      <w:r>
        <w:rPr>
          <w:rFonts w:ascii="Arial" w:cs="Arial" w:eastAsia="Arial" w:hAnsi="Arial"/>
          <w:sz w:val="11"/>
          <w:szCs w:val="11"/>
          <w:color w:val="050505"/>
        </w:rPr>
        <w:t>The transfer agent and registrar for our Class A common stock is American Stock Transfer &amp; Trust Company, LLC. The transfer agent’s address is 6201 15th Avenue, Brooklyn, New York 11219, and its telephone number is (800) 937-5449.</w:t>
      </w:r>
    </w:p>
    <w:p>
      <w:pPr>
        <w:spacing w:after="0" w:line="93" w:lineRule="exact"/>
        <w:rPr>
          <w:sz w:val="20"/>
          <w:szCs w:val="20"/>
          <w:color w:val="auto"/>
        </w:rPr>
      </w:pPr>
    </w:p>
    <w:p>
      <w:pPr>
        <w:ind w:left="5640"/>
        <w:spacing w:after="0"/>
        <w:rPr>
          <w:sz w:val="20"/>
          <w:szCs w:val="20"/>
          <w:color w:val="auto"/>
        </w:rPr>
      </w:pPr>
      <w:r>
        <w:rPr>
          <w:rFonts w:ascii="Arial" w:cs="Arial" w:eastAsia="Arial" w:hAnsi="Arial"/>
          <w:sz w:val="11"/>
          <w:szCs w:val="11"/>
          <w:color w:val="050505"/>
        </w:rPr>
        <w:t>141</w:t>
      </w:r>
    </w:p>
    <w:p>
      <w:pPr>
        <w:sectPr>
          <w:pgSz w:w="11900" w:h="16838" w:orient="portrait"/>
          <w:cols w:equalWidth="0" w:num="1">
            <w:col w:w="10239"/>
          </w:cols>
          <w:pgMar w:left="220" w:top="354" w:right="1440" w:bottom="1440" w:gutter="0" w:footer="0" w:header="0"/>
        </w:sectPr>
      </w:pPr>
    </w:p>
    <w:bookmarkStart w:id="151" w:name="page152"/>
    <w:bookmarkEnd w:id="151"/>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hyperlink w:anchor="page5">
        <w:r>
          <w:rPr>
            <w:rFonts w:ascii="Arial" w:cs="Arial" w:eastAsia="Arial" w:hAnsi="Arial"/>
            <w:sz w:val="12"/>
            <w:szCs w:val="12"/>
            <w:b w:val="1"/>
            <w:bCs w:val="1"/>
            <w:u w:val="single" w:color="auto"/>
            <w:color w:val="0000EE"/>
          </w:rPr>
          <w:t>Table of Contents</w:t>
        </w:r>
      </w:hyperlink>
    </w:p>
    <w:p>
      <w:pPr>
        <w:spacing w:after="0" w:line="200" w:lineRule="exact"/>
        <w:rPr>
          <w:sz w:val="20"/>
          <w:szCs w:val="20"/>
          <w:color w:val="auto"/>
        </w:rPr>
      </w:pPr>
    </w:p>
    <w:p>
      <w:pPr>
        <w:jc w:val="center"/>
        <w:ind w:right="-1220"/>
        <w:spacing w:after="0"/>
        <w:rPr>
          <w:sz w:val="20"/>
          <w:szCs w:val="20"/>
          <w:color w:val="auto"/>
        </w:rPr>
      </w:pPr>
      <w:r>
        <w:rPr>
          <w:rFonts w:ascii="Arial" w:cs="Arial" w:eastAsia="Arial" w:hAnsi="Arial"/>
          <w:sz w:val="12"/>
          <w:szCs w:val="12"/>
          <w:b w:val="1"/>
          <w:bCs w:val="1"/>
          <w:color w:val="auto"/>
        </w:rPr>
        <w:t>SHARES ELIGIBLE FOR FUTURE SALE</w:t>
      </w:r>
    </w:p>
    <w:p>
      <w:pPr>
        <w:spacing w:after="0" w:line="157" w:lineRule="exact"/>
        <w:rPr>
          <w:sz w:val="20"/>
          <w:szCs w:val="20"/>
          <w:color w:val="auto"/>
        </w:rPr>
      </w:pPr>
    </w:p>
    <w:p>
      <w:pPr>
        <w:jc w:val="both"/>
        <w:ind w:left="2060" w:right="839"/>
        <w:spacing w:after="0"/>
        <w:rPr>
          <w:sz w:val="20"/>
          <w:szCs w:val="20"/>
          <w:color w:val="auto"/>
        </w:rPr>
      </w:pPr>
      <w:r>
        <w:rPr>
          <w:rFonts w:ascii="Arial" w:cs="Arial" w:eastAsia="Arial" w:hAnsi="Arial"/>
          <w:sz w:val="11"/>
          <w:szCs w:val="11"/>
          <w:color w:val="050505"/>
        </w:rPr>
        <w:t>Prior to this offering, there has been no public market for shares of our Class A common stock, and we cannot predict the effect, if any, that market sales of shares of our Class A common stock or the availability of shares of our Class A common stock for sale will have on the market price of our Class A common stock prevailing from time to time. Nevertheless, sales of substantial amounts of our Class A common stock, including shares issued upon exercise of outstanding stock options in the public market following this offering could adversely affect market prices prevailing from time to time and could impair our ability to raise capital through the sale of our equity securities.</w:t>
      </w:r>
    </w:p>
    <w:p>
      <w:pPr>
        <w:spacing w:after="0" w:line="142" w:lineRule="exact"/>
        <w:rPr>
          <w:sz w:val="20"/>
          <w:szCs w:val="20"/>
          <w:color w:val="auto"/>
        </w:rPr>
      </w:pPr>
    </w:p>
    <w:p>
      <w:pPr>
        <w:jc w:val="both"/>
        <w:ind w:left="2060" w:right="839"/>
        <w:spacing w:after="0"/>
        <w:rPr>
          <w:sz w:val="20"/>
          <w:szCs w:val="20"/>
          <w:color w:val="auto"/>
        </w:rPr>
      </w:pPr>
      <w:r>
        <w:rPr>
          <w:rFonts w:ascii="Arial" w:cs="Arial" w:eastAsia="Arial" w:hAnsi="Arial"/>
          <w:sz w:val="11"/>
          <w:szCs w:val="11"/>
          <w:color w:val="050505"/>
        </w:rPr>
        <w:t>Following the completion of this offering and the private placement, based on the number of shares of our capital stock outstanding as of June 30, 2019, we will have a total of 43,448,275 shares of our Class A common stock outstanding and 235,942,233 shares of our Class B common stock outstanding. This includes 40,000,000 shares that we are selling in this offering, which shares may be resold in the public market immediately following this offering (or 39,913,794 shares assuming Karen Boone and Howard Draft, two of our directors, who have expressed an interest in purchasing $500,000 and $2.0 million in shares of our Class A common stock in this offering, respectively, equal to 17,241 shares and 68,965 shares, respectively, based upon the initial public offering price of $29.00, purchase such shares), and assumes no additional exercise of outstanding options. Shares of our Class B common stock are convertible into an equivalent number of shares of our Class A common stock and generally convert into shares of our Class A common stock upon transfer.</w:t>
      </w:r>
    </w:p>
    <w:p>
      <w:pPr>
        <w:spacing w:after="0" w:line="141" w:lineRule="exact"/>
        <w:rPr>
          <w:sz w:val="20"/>
          <w:szCs w:val="20"/>
          <w:color w:val="auto"/>
        </w:rPr>
      </w:pPr>
    </w:p>
    <w:p>
      <w:pPr>
        <w:jc w:val="both"/>
        <w:ind w:left="2060" w:right="839"/>
        <w:spacing w:after="0"/>
        <w:rPr>
          <w:sz w:val="20"/>
          <w:szCs w:val="20"/>
          <w:color w:val="auto"/>
        </w:rPr>
      </w:pPr>
      <w:r>
        <w:rPr>
          <w:rFonts w:ascii="Arial" w:cs="Arial" w:eastAsia="Arial" w:hAnsi="Arial"/>
          <w:sz w:val="11"/>
          <w:szCs w:val="11"/>
          <w:color w:val="050505"/>
        </w:rPr>
        <w:t>The remaining outstanding shares of our Class A common stock and Class B common stock, including the shares of Class A common stock to be issued in the private placement, will be deemed “restricted securities” as defined in Rule 144 under the Securities Act. Restricted securities may be sold in the public market only if they are registered under the Securities Act or if they qualify for an exemption from registration under Rule 144 or Rule 701 under the Securities Act, which rules are summarized below. As a result of the lock-up agreements and market standoff provisions described below and subject to the provisions of Rule 144 or Rule 701, shares will be available for sale in the public market as follows:</w:t>
      </w:r>
    </w:p>
    <w:p>
      <w:pPr>
        <w:spacing w:after="0" w:line="160" w:lineRule="exact"/>
        <w:rPr>
          <w:sz w:val="20"/>
          <w:szCs w:val="20"/>
          <w:color w:val="auto"/>
        </w:rPr>
      </w:pPr>
    </w:p>
    <w:p>
      <w:pPr>
        <w:jc w:val="both"/>
        <w:ind w:left="2420" w:right="839" w:hanging="217"/>
        <w:spacing w:after="0" w:line="241" w:lineRule="auto"/>
        <w:tabs>
          <w:tab w:leader="none" w:pos="2420" w:val="left"/>
        </w:tabs>
        <w:numPr>
          <w:ilvl w:val="0"/>
          <w:numId w:val="103"/>
        </w:numPr>
        <w:rPr>
          <w:rFonts w:ascii="Arial" w:cs="Arial" w:eastAsia="Arial" w:hAnsi="Arial"/>
          <w:sz w:val="11"/>
          <w:szCs w:val="11"/>
          <w:color w:val="F7323F"/>
        </w:rPr>
      </w:pPr>
      <w:r>
        <w:rPr>
          <w:rFonts w:ascii="Arial" w:cs="Arial" w:eastAsia="Arial" w:hAnsi="Arial"/>
          <w:sz w:val="11"/>
          <w:szCs w:val="11"/>
          <w:color w:val="050505"/>
        </w:rPr>
        <w:t>beginning on the date of this prospectus, 40,000,000 of the shares of Class A common stock sold in this offering will be immediately available for sale in the public market (or 39,913,794 shares assuming Karen Boone and Howard Draft, two of our directors, who have expressed an interest in purchasing $500,000 and $2.0 million in shares of our Class A common stock in this offering, respectively, equal to 17,241 shares and 68,965 shares, respectively, based upon the initial public offering price of $29.00, purchase such shares);</w:t>
      </w:r>
    </w:p>
    <w:p>
      <w:pPr>
        <w:spacing w:after="0" w:line="41" w:lineRule="exact"/>
        <w:rPr>
          <w:rFonts w:ascii="Arial" w:cs="Arial" w:eastAsia="Arial" w:hAnsi="Arial"/>
          <w:sz w:val="11"/>
          <w:szCs w:val="11"/>
          <w:color w:val="F7323F"/>
        </w:rPr>
      </w:pPr>
    </w:p>
    <w:p>
      <w:pPr>
        <w:jc w:val="both"/>
        <w:ind w:left="2420" w:right="839" w:hanging="217"/>
        <w:spacing w:after="0" w:line="239" w:lineRule="auto"/>
        <w:tabs>
          <w:tab w:leader="none" w:pos="2420" w:val="left"/>
        </w:tabs>
        <w:numPr>
          <w:ilvl w:val="0"/>
          <w:numId w:val="103"/>
        </w:numPr>
        <w:rPr>
          <w:rFonts w:ascii="Arial" w:cs="Arial" w:eastAsia="Arial" w:hAnsi="Arial"/>
          <w:sz w:val="11"/>
          <w:szCs w:val="11"/>
          <w:color w:val="F7323F"/>
        </w:rPr>
      </w:pPr>
      <w:r>
        <w:rPr>
          <w:rFonts w:ascii="Arial" w:cs="Arial" w:eastAsia="Arial" w:hAnsi="Arial"/>
          <w:sz w:val="11"/>
          <w:szCs w:val="11"/>
          <w:color w:val="050505"/>
        </w:rPr>
        <w:t>beginning 181 days after the date of this prospectus, 239,390,508 additional shares of common stock will become eligible for sale in the public market, of which 106,177,278 shares, including the 3,448,275 shares of Class A common stock to be issued in the private placement to entities affiliated with TCV, an existing stockholder (or 106,263,484 shares assuming Karen Boone and Howard Draft, two of our directors, who have expressed an interest in purchasing $500,000 and $2.0 million in shares of our Class A common stock in this offering, respectively, equal to 17,241 shares and 68,965 shares, respectively, based upon the initial public offering price of $29.00, purchase such shares), will be held by affiliates and subject to the volume and other restrictions of Rule 144, as described below; provided that if (1) if at least 120 days have elapsed since the date of this prospectus, (2) we have publicly released our earnings results for the quarterly period during which this offering occurred, and (3) the lock-up period as described below is scheduled to end during or within five trading days prior a blackout period, beginning on the date that is ten trading days prior to the commencement of such blackout period, such additional shares shall become eligible for sale in the public market; and</w:t>
      </w:r>
    </w:p>
    <w:p>
      <w:pPr>
        <w:spacing w:after="0" w:line="46" w:lineRule="exact"/>
        <w:rPr>
          <w:rFonts w:ascii="Arial" w:cs="Arial" w:eastAsia="Arial" w:hAnsi="Arial"/>
          <w:sz w:val="11"/>
          <w:szCs w:val="11"/>
          <w:color w:val="F7323F"/>
        </w:rPr>
      </w:pPr>
    </w:p>
    <w:p>
      <w:pPr>
        <w:ind w:left="2420" w:right="839" w:hanging="217"/>
        <w:spacing w:after="0" w:line="245" w:lineRule="auto"/>
        <w:tabs>
          <w:tab w:leader="none" w:pos="2420" w:val="left"/>
        </w:tabs>
        <w:numPr>
          <w:ilvl w:val="0"/>
          <w:numId w:val="103"/>
        </w:numPr>
        <w:rPr>
          <w:rFonts w:ascii="Arial" w:cs="Arial" w:eastAsia="Arial" w:hAnsi="Arial"/>
          <w:sz w:val="11"/>
          <w:szCs w:val="11"/>
          <w:color w:val="F7323F"/>
        </w:rPr>
      </w:pPr>
      <w:r>
        <w:rPr>
          <w:rFonts w:ascii="Arial" w:cs="Arial" w:eastAsia="Arial" w:hAnsi="Arial"/>
          <w:sz w:val="11"/>
          <w:szCs w:val="11"/>
          <w:color w:val="050505"/>
        </w:rPr>
        <w:t>the remainder of the shares of common stock will be eligible for sale in the public market from time to time thereafter upon subject to vesting and, in some cases, to the volume and other restrictions of Rule 144, as described below.</w:t>
      </w:r>
    </w:p>
    <w:p>
      <w:pPr>
        <w:spacing w:after="0" w:line="198" w:lineRule="exact"/>
        <w:rPr>
          <w:sz w:val="20"/>
          <w:szCs w:val="20"/>
          <w:color w:val="auto"/>
        </w:rPr>
      </w:pPr>
    </w:p>
    <w:p>
      <w:pPr>
        <w:ind w:left="2060"/>
        <w:spacing w:after="0"/>
        <w:rPr>
          <w:sz w:val="20"/>
          <w:szCs w:val="20"/>
          <w:color w:val="auto"/>
        </w:rPr>
      </w:pPr>
      <w:r>
        <w:rPr>
          <w:rFonts w:ascii="Arial" w:cs="Arial" w:eastAsia="Arial" w:hAnsi="Arial"/>
          <w:sz w:val="11"/>
          <w:szCs w:val="11"/>
          <w:b w:val="1"/>
          <w:bCs w:val="1"/>
          <w:u w:val="single" w:color="auto"/>
          <w:color w:val="auto"/>
        </w:rPr>
        <w:t>Lock-Up Agreements and Market Stand Off Provisions</w:t>
      </w:r>
    </w:p>
    <w:p>
      <w:pPr>
        <w:spacing w:after="0" w:line="12" w:lineRule="exact"/>
        <w:rPr>
          <w:sz w:val="20"/>
          <w:szCs w:val="20"/>
          <w:color w:val="auto"/>
        </w:rPr>
      </w:pPr>
    </w:p>
    <w:p>
      <w:pPr>
        <w:jc w:val="both"/>
        <w:ind w:left="2060" w:right="839"/>
        <w:spacing w:after="0"/>
        <w:rPr>
          <w:sz w:val="20"/>
          <w:szCs w:val="20"/>
          <w:color w:val="auto"/>
        </w:rPr>
      </w:pPr>
      <w:r>
        <w:rPr>
          <w:rFonts w:ascii="Arial" w:cs="Arial" w:eastAsia="Arial" w:hAnsi="Arial"/>
          <w:sz w:val="11"/>
          <w:szCs w:val="11"/>
          <w:color w:val="050505"/>
        </w:rPr>
        <w:t>All of our directors, executive officers, and substantially all of the holders of our common stock, or securities exercisable for or convertible into our common stock outstanding immediately prior to this offering, including the shares of Class A common stock to be issued in the private placement to entities affiliated with TCV, an existing stockholder, as well as any shares purchased by Karen Boone and Howard Draft, two of our directors, in this offering, are subject to lock-up agreements or market standoff provisions that, subject to exceptions described under the section titled “Underwriting” below, prohibit</w:t>
      </w:r>
    </w:p>
    <w:p>
      <w:pPr>
        <w:spacing w:after="0" w:line="97" w:lineRule="exact"/>
        <w:rPr>
          <w:sz w:val="20"/>
          <w:szCs w:val="20"/>
          <w:color w:val="auto"/>
        </w:rPr>
      </w:pPr>
    </w:p>
    <w:p>
      <w:pPr>
        <w:ind w:left="5640"/>
        <w:spacing w:after="0"/>
        <w:rPr>
          <w:sz w:val="20"/>
          <w:szCs w:val="20"/>
          <w:color w:val="auto"/>
        </w:rPr>
      </w:pPr>
      <w:r>
        <w:rPr>
          <w:rFonts w:ascii="Arial" w:cs="Arial" w:eastAsia="Arial" w:hAnsi="Arial"/>
          <w:sz w:val="11"/>
          <w:szCs w:val="11"/>
          <w:color w:val="050505"/>
        </w:rPr>
        <w:t>142</w:t>
      </w:r>
    </w:p>
    <w:p>
      <w:pPr>
        <w:sectPr>
          <w:pgSz w:w="11900" w:h="16838" w:orient="portrait"/>
          <w:cols w:equalWidth="0" w:num="1">
            <w:col w:w="10239"/>
          </w:cols>
          <w:pgMar w:left="220" w:top="354" w:right="1440" w:bottom="1440" w:gutter="0" w:footer="0" w:header="0"/>
        </w:sectPr>
      </w:pPr>
    </w:p>
    <w:bookmarkStart w:id="152" w:name="page153"/>
    <w:bookmarkEnd w:id="152"/>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hyperlink w:anchor="page5">
        <w:r>
          <w:rPr>
            <w:rFonts w:ascii="Arial" w:cs="Arial" w:eastAsia="Arial" w:hAnsi="Arial"/>
            <w:sz w:val="12"/>
            <w:szCs w:val="12"/>
            <w:b w:val="1"/>
            <w:bCs w:val="1"/>
            <w:u w:val="single" w:color="auto"/>
            <w:color w:val="0000EE"/>
          </w:rPr>
          <w:t>Table of Contents</w:t>
        </w:r>
      </w:hyperlink>
    </w:p>
    <w:p>
      <w:pPr>
        <w:spacing w:after="0" w:line="216" w:lineRule="exact"/>
        <w:rPr>
          <w:sz w:val="20"/>
          <w:szCs w:val="20"/>
          <w:color w:val="auto"/>
        </w:rPr>
      </w:pPr>
    </w:p>
    <w:p>
      <w:pPr>
        <w:jc w:val="both"/>
        <w:ind w:left="2060" w:right="839"/>
        <w:spacing w:after="0"/>
        <w:rPr>
          <w:sz w:val="20"/>
          <w:szCs w:val="20"/>
          <w:color w:val="auto"/>
        </w:rPr>
      </w:pPr>
      <w:r>
        <w:rPr>
          <w:rFonts w:ascii="Arial" w:cs="Arial" w:eastAsia="Arial" w:hAnsi="Arial"/>
          <w:sz w:val="11"/>
          <w:szCs w:val="11"/>
          <w:color w:val="050505"/>
        </w:rPr>
        <w:t>them from offering for sale, selling, contracting to sell, granting any option for the sale of, transferring or otherwise disposing of any shares of our common stock, stock options, or any security or instrument related to this common stock, or stock option for a period of at least 180 days following the date of this prospectus, without the prior written consent of Goldman Sachs &amp; Co. LLC and J.P. Morgan Securities LLC; provided that if (1) at least 120 days have elapsed since the date of this prospectus, (2) we have publicly released our earnings results for the quarterly period during which this offering occurred and (3) such lock-up period is scheduled to end during or within five trading days prior to a blackout period, such lock-up period will end ten trading days prior to the commencement of such blackout period. These agreements are subject to certain customary exceptions. See the section titled “Underwriting” for additional information.</w:t>
      </w:r>
    </w:p>
    <w:p>
      <w:pPr>
        <w:spacing w:after="0" w:line="201" w:lineRule="exact"/>
        <w:rPr>
          <w:sz w:val="20"/>
          <w:szCs w:val="20"/>
          <w:color w:val="auto"/>
        </w:rPr>
      </w:pPr>
    </w:p>
    <w:p>
      <w:pPr>
        <w:ind w:left="2060"/>
        <w:spacing w:after="0"/>
        <w:rPr>
          <w:sz w:val="20"/>
          <w:szCs w:val="20"/>
          <w:color w:val="auto"/>
        </w:rPr>
      </w:pPr>
      <w:r>
        <w:rPr>
          <w:rFonts w:ascii="Arial" w:cs="Arial" w:eastAsia="Arial" w:hAnsi="Arial"/>
          <w:sz w:val="11"/>
          <w:szCs w:val="11"/>
          <w:b w:val="1"/>
          <w:bCs w:val="1"/>
          <w:u w:val="single" w:color="auto"/>
          <w:color w:val="auto"/>
        </w:rPr>
        <w:t>Rule 144</w:t>
      </w:r>
    </w:p>
    <w:p>
      <w:pPr>
        <w:spacing w:after="0" w:line="12" w:lineRule="exact"/>
        <w:rPr>
          <w:sz w:val="20"/>
          <w:szCs w:val="20"/>
          <w:color w:val="auto"/>
        </w:rPr>
      </w:pPr>
    </w:p>
    <w:p>
      <w:pPr>
        <w:jc w:val="both"/>
        <w:ind w:left="2060" w:right="839"/>
        <w:spacing w:after="0"/>
        <w:rPr>
          <w:sz w:val="20"/>
          <w:szCs w:val="20"/>
          <w:color w:val="auto"/>
        </w:rPr>
      </w:pPr>
      <w:r>
        <w:rPr>
          <w:rFonts w:ascii="Arial" w:cs="Arial" w:eastAsia="Arial" w:hAnsi="Arial"/>
          <w:sz w:val="11"/>
          <w:szCs w:val="11"/>
          <w:color w:val="050505"/>
        </w:rPr>
        <w:t>In general, under Rule 144, as currently in effect, once we have been subject to the public company reporting requirements of Section 13 or Section 15(d) of the Exchange Act for at least 90 days, a person who is not deemed to have been one of our affiliates for purposes of the Securities Act at any time during the 90 days preceding a sale and who has beneficially owned the shares proposed to be sold for at least six months, including the holding period of any prior owner other than our affiliates, is entitled to sell those shares without complying with the manner of sale, volume limitation or notice provisions of Rule 144, subject to compliance with the public information requirements of Rule 144 and the requirements of the lock-up and market standoff agreements, as described above. If such a person has beneficially owned the shares proposed to be sold for at least one year, including the holding period of any prior owner other than our affiliates, then that person would be entitled to sell those shares (subject to the requirements of the lock-up and market standoff agreements, as described above) without complying with any of the requirements of Rule 144.</w:t>
      </w:r>
    </w:p>
    <w:p>
      <w:pPr>
        <w:spacing w:after="0" w:line="141" w:lineRule="exact"/>
        <w:rPr>
          <w:sz w:val="20"/>
          <w:szCs w:val="20"/>
          <w:color w:val="auto"/>
        </w:rPr>
      </w:pPr>
    </w:p>
    <w:p>
      <w:pPr>
        <w:jc w:val="both"/>
        <w:ind w:left="2060" w:right="839"/>
        <w:spacing w:after="0" w:line="245" w:lineRule="auto"/>
        <w:rPr>
          <w:sz w:val="20"/>
          <w:szCs w:val="20"/>
          <w:color w:val="auto"/>
        </w:rPr>
      </w:pPr>
      <w:r>
        <w:rPr>
          <w:rFonts w:ascii="Arial" w:cs="Arial" w:eastAsia="Arial" w:hAnsi="Arial"/>
          <w:sz w:val="11"/>
          <w:szCs w:val="11"/>
          <w:color w:val="050505"/>
        </w:rPr>
        <w:t>In general, under Rule 144, as currently in effect, our affiliates or persons selling shares on behalf of our affiliates are entitled to sell upon expiration of the lock-up and market standoff provisions described above, within any three-month period, a number of shares that does not exceed the greater of:</w:t>
      </w:r>
    </w:p>
    <w:p>
      <w:pPr>
        <w:spacing w:after="0" w:line="156" w:lineRule="exact"/>
        <w:rPr>
          <w:sz w:val="20"/>
          <w:szCs w:val="20"/>
          <w:color w:val="auto"/>
        </w:rPr>
      </w:pPr>
    </w:p>
    <w:p>
      <w:pPr>
        <w:ind w:left="2420" w:right="839" w:hanging="217"/>
        <w:spacing w:after="0" w:line="245" w:lineRule="auto"/>
        <w:tabs>
          <w:tab w:leader="none" w:pos="2420" w:val="left"/>
        </w:tabs>
        <w:numPr>
          <w:ilvl w:val="0"/>
          <w:numId w:val="104"/>
        </w:numPr>
        <w:rPr>
          <w:rFonts w:ascii="Arial" w:cs="Arial" w:eastAsia="Arial" w:hAnsi="Arial"/>
          <w:sz w:val="11"/>
          <w:szCs w:val="11"/>
          <w:color w:val="F7323F"/>
        </w:rPr>
      </w:pPr>
      <w:r>
        <w:rPr>
          <w:rFonts w:ascii="Arial" w:cs="Arial" w:eastAsia="Arial" w:hAnsi="Arial"/>
          <w:sz w:val="11"/>
          <w:szCs w:val="11"/>
          <w:color w:val="050505"/>
        </w:rPr>
        <w:t>1% of the number of shares of our Class A common stock then outstanding, which will equal approximately 434,483 shares immediately after this offering and the private placement; or</w:t>
      </w:r>
    </w:p>
    <w:p>
      <w:pPr>
        <w:spacing w:after="0" w:line="38" w:lineRule="exact"/>
        <w:rPr>
          <w:rFonts w:ascii="Arial" w:cs="Arial" w:eastAsia="Arial" w:hAnsi="Arial"/>
          <w:sz w:val="11"/>
          <w:szCs w:val="11"/>
          <w:color w:val="F7323F"/>
        </w:rPr>
      </w:pPr>
    </w:p>
    <w:p>
      <w:pPr>
        <w:ind w:left="2420" w:right="839" w:hanging="217"/>
        <w:spacing w:after="0" w:line="245" w:lineRule="auto"/>
        <w:tabs>
          <w:tab w:leader="none" w:pos="2420" w:val="left"/>
        </w:tabs>
        <w:numPr>
          <w:ilvl w:val="0"/>
          <w:numId w:val="104"/>
        </w:numPr>
        <w:rPr>
          <w:rFonts w:ascii="Arial" w:cs="Arial" w:eastAsia="Arial" w:hAnsi="Arial"/>
          <w:sz w:val="11"/>
          <w:szCs w:val="11"/>
          <w:color w:val="F7323F"/>
        </w:rPr>
      </w:pPr>
      <w:r>
        <w:rPr>
          <w:rFonts w:ascii="Arial" w:cs="Arial" w:eastAsia="Arial" w:hAnsi="Arial"/>
          <w:sz w:val="11"/>
          <w:szCs w:val="11"/>
          <w:color w:val="050505"/>
        </w:rPr>
        <w:t>the average weekly trading volume of our Class A common stock during the four calendar weeks preceding the filing of a notice on Form 144 with respect to that sale.</w:t>
      </w:r>
    </w:p>
    <w:p>
      <w:pPr>
        <w:spacing w:after="0" w:line="138" w:lineRule="exact"/>
        <w:rPr>
          <w:sz w:val="20"/>
          <w:szCs w:val="20"/>
          <w:color w:val="auto"/>
        </w:rPr>
      </w:pPr>
    </w:p>
    <w:p>
      <w:pPr>
        <w:jc w:val="both"/>
        <w:ind w:left="2060" w:right="839"/>
        <w:spacing w:after="0" w:line="245" w:lineRule="auto"/>
        <w:rPr>
          <w:sz w:val="20"/>
          <w:szCs w:val="20"/>
          <w:color w:val="auto"/>
        </w:rPr>
      </w:pPr>
      <w:r>
        <w:rPr>
          <w:rFonts w:ascii="Arial" w:cs="Arial" w:eastAsia="Arial" w:hAnsi="Arial"/>
          <w:sz w:val="11"/>
          <w:szCs w:val="11"/>
          <w:color w:val="050505"/>
        </w:rPr>
        <w:t>Sales under Rule 144 by our affiliates or persons selling shares on behalf of our affiliates are also subject to certain manner of sale provisions and notice requirements and to the availability of current public information about us.</w:t>
      </w:r>
    </w:p>
    <w:p>
      <w:pPr>
        <w:spacing w:after="0" w:line="198" w:lineRule="exact"/>
        <w:rPr>
          <w:sz w:val="20"/>
          <w:szCs w:val="20"/>
          <w:color w:val="auto"/>
        </w:rPr>
      </w:pPr>
    </w:p>
    <w:p>
      <w:pPr>
        <w:ind w:left="2060"/>
        <w:spacing w:after="0"/>
        <w:rPr>
          <w:sz w:val="20"/>
          <w:szCs w:val="20"/>
          <w:color w:val="auto"/>
        </w:rPr>
      </w:pPr>
      <w:r>
        <w:rPr>
          <w:rFonts w:ascii="Arial" w:cs="Arial" w:eastAsia="Arial" w:hAnsi="Arial"/>
          <w:sz w:val="11"/>
          <w:szCs w:val="11"/>
          <w:b w:val="1"/>
          <w:bCs w:val="1"/>
          <w:u w:val="single" w:color="auto"/>
          <w:color w:val="auto"/>
        </w:rPr>
        <w:t>Rule 701</w:t>
      </w:r>
    </w:p>
    <w:p>
      <w:pPr>
        <w:spacing w:after="0" w:line="12" w:lineRule="exact"/>
        <w:rPr>
          <w:sz w:val="20"/>
          <w:szCs w:val="20"/>
          <w:color w:val="auto"/>
        </w:rPr>
      </w:pPr>
    </w:p>
    <w:p>
      <w:pPr>
        <w:jc w:val="both"/>
        <w:ind w:left="2060" w:right="839"/>
        <w:spacing w:after="0"/>
        <w:rPr>
          <w:sz w:val="20"/>
          <w:szCs w:val="20"/>
          <w:color w:val="auto"/>
        </w:rPr>
      </w:pPr>
      <w:r>
        <w:rPr>
          <w:rFonts w:ascii="Arial" w:cs="Arial" w:eastAsia="Arial" w:hAnsi="Arial"/>
          <w:sz w:val="11"/>
          <w:szCs w:val="11"/>
          <w:color w:val="050505"/>
        </w:rPr>
        <w:t>Rule 701 generally allows a stockholder who purchased shares of our capital stock pursuant to a written compensatory plan or contract and who is not deemed to have been an affiliate of our company during the immediately preceding 90 days to sell these shares in reliance upon Rule 144, but without being required to comply with the public information, holding period, volume limitation, or notice provisions of Rule 144. Rule 701 also permits affiliates of our company to sell their Rule 701 shares under Rule 144 without complying with the holding period requirements of Rule 144. All holders of Rule 701 shares, however, are required by that rule to wait until 90 days after the date of this prospectus before selling those shares pursuant to Rule 701. Moreover, all Rule 701 shares are subject to lock-up agreements and or market standoff agreements as described above and under the section titled “Underwriting” and will not become eligible for sale until the expiration of those agreements.</w:t>
      </w:r>
    </w:p>
    <w:p>
      <w:pPr>
        <w:spacing w:after="0" w:line="201" w:lineRule="exact"/>
        <w:rPr>
          <w:sz w:val="20"/>
          <w:szCs w:val="20"/>
          <w:color w:val="auto"/>
        </w:rPr>
      </w:pPr>
    </w:p>
    <w:p>
      <w:pPr>
        <w:ind w:left="2060"/>
        <w:spacing w:after="0"/>
        <w:rPr>
          <w:sz w:val="20"/>
          <w:szCs w:val="20"/>
          <w:color w:val="auto"/>
        </w:rPr>
      </w:pPr>
      <w:r>
        <w:rPr>
          <w:rFonts w:ascii="Arial" w:cs="Arial" w:eastAsia="Arial" w:hAnsi="Arial"/>
          <w:sz w:val="11"/>
          <w:szCs w:val="11"/>
          <w:b w:val="1"/>
          <w:bCs w:val="1"/>
          <w:u w:val="single" w:color="auto"/>
          <w:color w:val="auto"/>
        </w:rPr>
        <w:t>Registration Statements</w:t>
      </w:r>
    </w:p>
    <w:p>
      <w:pPr>
        <w:spacing w:after="0" w:line="12" w:lineRule="exact"/>
        <w:rPr>
          <w:sz w:val="20"/>
          <w:szCs w:val="20"/>
          <w:color w:val="auto"/>
        </w:rPr>
      </w:pPr>
    </w:p>
    <w:p>
      <w:pPr>
        <w:jc w:val="both"/>
        <w:ind w:left="2060" w:right="839"/>
        <w:spacing w:after="0"/>
        <w:rPr>
          <w:sz w:val="20"/>
          <w:szCs w:val="20"/>
          <w:color w:val="auto"/>
        </w:rPr>
      </w:pPr>
      <w:r>
        <w:rPr>
          <w:rFonts w:ascii="Arial" w:cs="Arial" w:eastAsia="Arial" w:hAnsi="Arial"/>
          <w:sz w:val="11"/>
          <w:szCs w:val="11"/>
          <w:color w:val="050505"/>
        </w:rPr>
        <w:t>In connection with this offering, we intend to file one or more registration statements on Form S-8 under the Securities Act covering all of the shares of our Class B common stock subject to outstanding stock options and the shares of our Class A common stock reserved for issuance under our equity incentive plans. We expect to file this registration statement as soon as permitted under the Securities Act. However, the shares registered on Form S-8 may be subject to the volume limitations and the manner of sale, notice, and public information requirements of Rule 144 and will not be eligible for resale until expiration of the lock-up and market standoff agreements to which they are subject.</w:t>
      </w:r>
    </w:p>
    <w:p>
      <w:pPr>
        <w:spacing w:after="0" w:line="97" w:lineRule="exact"/>
        <w:rPr>
          <w:sz w:val="20"/>
          <w:szCs w:val="20"/>
          <w:color w:val="auto"/>
        </w:rPr>
      </w:pPr>
    </w:p>
    <w:p>
      <w:pPr>
        <w:ind w:left="5640"/>
        <w:spacing w:after="0"/>
        <w:rPr>
          <w:sz w:val="20"/>
          <w:szCs w:val="20"/>
          <w:color w:val="auto"/>
        </w:rPr>
      </w:pPr>
      <w:r>
        <w:rPr>
          <w:rFonts w:ascii="Arial" w:cs="Arial" w:eastAsia="Arial" w:hAnsi="Arial"/>
          <w:sz w:val="11"/>
          <w:szCs w:val="11"/>
          <w:color w:val="050505"/>
        </w:rPr>
        <w:t>143</w:t>
      </w:r>
    </w:p>
    <w:p>
      <w:pPr>
        <w:sectPr>
          <w:pgSz w:w="11900" w:h="16838" w:orient="portrait"/>
          <w:cols w:equalWidth="0" w:num="1">
            <w:col w:w="10239"/>
          </w:cols>
          <w:pgMar w:left="220" w:top="354" w:right="1440" w:bottom="1440" w:gutter="0" w:footer="0" w:header="0"/>
        </w:sectPr>
      </w:pPr>
    </w:p>
    <w:bookmarkStart w:id="153" w:name="page154"/>
    <w:bookmarkEnd w:id="153"/>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hyperlink w:anchor="page5">
        <w:r>
          <w:rPr>
            <w:rFonts w:ascii="Arial" w:cs="Arial" w:eastAsia="Arial" w:hAnsi="Arial"/>
            <w:sz w:val="12"/>
            <w:szCs w:val="12"/>
            <w:b w:val="1"/>
            <w:bCs w:val="1"/>
            <w:u w:val="single" w:color="auto"/>
            <w:color w:val="0000EE"/>
          </w:rPr>
          <w:t>Table of Contents</w:t>
        </w:r>
      </w:hyperlink>
    </w:p>
    <w:p>
      <w:pPr>
        <w:spacing w:after="0" w:line="204" w:lineRule="exact"/>
        <w:rPr>
          <w:sz w:val="20"/>
          <w:szCs w:val="20"/>
          <w:color w:val="auto"/>
        </w:rPr>
      </w:pPr>
    </w:p>
    <w:p>
      <w:pPr>
        <w:ind w:left="2060"/>
        <w:spacing w:after="0"/>
        <w:rPr>
          <w:sz w:val="20"/>
          <w:szCs w:val="20"/>
          <w:color w:val="auto"/>
        </w:rPr>
      </w:pPr>
      <w:r>
        <w:rPr>
          <w:rFonts w:ascii="Arial" w:cs="Arial" w:eastAsia="Arial" w:hAnsi="Arial"/>
          <w:sz w:val="11"/>
          <w:szCs w:val="11"/>
          <w:b w:val="1"/>
          <w:bCs w:val="1"/>
          <w:u w:val="single" w:color="auto"/>
          <w:color w:val="auto"/>
        </w:rPr>
        <w:t>Registration Rights</w:t>
      </w:r>
    </w:p>
    <w:p>
      <w:pPr>
        <w:spacing w:after="0" w:line="12" w:lineRule="exact"/>
        <w:rPr>
          <w:sz w:val="20"/>
          <w:szCs w:val="20"/>
          <w:color w:val="auto"/>
        </w:rPr>
      </w:pPr>
    </w:p>
    <w:p>
      <w:pPr>
        <w:jc w:val="both"/>
        <w:ind w:left="2060" w:right="839"/>
        <w:spacing w:after="0" w:line="241" w:lineRule="auto"/>
        <w:rPr>
          <w:sz w:val="20"/>
          <w:szCs w:val="20"/>
          <w:color w:val="auto"/>
        </w:rPr>
      </w:pPr>
      <w:r>
        <w:rPr>
          <w:rFonts w:ascii="Arial" w:cs="Arial" w:eastAsia="Arial" w:hAnsi="Arial"/>
          <w:sz w:val="11"/>
          <w:szCs w:val="11"/>
          <w:color w:val="050505"/>
        </w:rPr>
        <w:t>We have granted demand, Form S-3, and piggyback registration rights to certain of our stockholders to sell our common stock. Registration of the sale of these shares under the Securities Act would result in these shares becoming freely tradable without restriction under the Securities Act immediately upon the effectiveness of the registration, except for shares purchased by affiliates. See the section titled “Description of Capital Stock—Registration Rights” for additional information.</w:t>
      </w:r>
    </w:p>
    <w:p>
      <w:pPr>
        <w:spacing w:after="0" w:line="95" w:lineRule="exact"/>
        <w:rPr>
          <w:sz w:val="20"/>
          <w:szCs w:val="20"/>
          <w:color w:val="auto"/>
        </w:rPr>
      </w:pPr>
    </w:p>
    <w:p>
      <w:pPr>
        <w:ind w:left="5640"/>
        <w:spacing w:after="0"/>
        <w:rPr>
          <w:sz w:val="20"/>
          <w:szCs w:val="20"/>
          <w:color w:val="auto"/>
        </w:rPr>
      </w:pPr>
      <w:r>
        <w:rPr>
          <w:rFonts w:ascii="Arial" w:cs="Arial" w:eastAsia="Arial" w:hAnsi="Arial"/>
          <w:sz w:val="11"/>
          <w:szCs w:val="11"/>
          <w:color w:val="050505"/>
        </w:rPr>
        <w:t>144</w:t>
      </w:r>
    </w:p>
    <w:p>
      <w:pPr>
        <w:sectPr>
          <w:pgSz w:w="11900" w:h="16838" w:orient="portrait"/>
          <w:cols w:equalWidth="0" w:num="1">
            <w:col w:w="10239"/>
          </w:cols>
          <w:pgMar w:left="220" w:top="354" w:right="1440" w:bottom="1440" w:gutter="0" w:footer="0" w:header="0"/>
        </w:sectPr>
      </w:pPr>
    </w:p>
    <w:bookmarkStart w:id="154" w:name="page155"/>
    <w:bookmarkEnd w:id="154"/>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hyperlink w:anchor="page5">
        <w:r>
          <w:rPr>
            <w:rFonts w:ascii="Arial" w:cs="Arial" w:eastAsia="Arial" w:hAnsi="Arial"/>
            <w:sz w:val="12"/>
            <w:szCs w:val="12"/>
            <w:b w:val="1"/>
            <w:bCs w:val="1"/>
            <w:u w:val="single" w:color="auto"/>
            <w:color w:val="0000EE"/>
          </w:rPr>
          <w:t>Table of Contents</w:t>
        </w:r>
      </w:hyperlink>
    </w:p>
    <w:p>
      <w:pPr>
        <w:spacing w:after="0" w:line="200" w:lineRule="exact"/>
        <w:rPr>
          <w:sz w:val="20"/>
          <w:szCs w:val="20"/>
          <w:color w:val="auto"/>
        </w:rPr>
      </w:pPr>
    </w:p>
    <w:p>
      <w:pPr>
        <w:jc w:val="center"/>
        <w:ind w:right="-1220"/>
        <w:spacing w:after="0"/>
        <w:rPr>
          <w:sz w:val="20"/>
          <w:szCs w:val="20"/>
          <w:color w:val="auto"/>
        </w:rPr>
      </w:pPr>
      <w:r>
        <w:rPr>
          <w:rFonts w:ascii="Arial" w:cs="Arial" w:eastAsia="Arial" w:hAnsi="Arial"/>
          <w:sz w:val="12"/>
          <w:szCs w:val="12"/>
          <w:b w:val="1"/>
          <w:bCs w:val="1"/>
          <w:color w:val="auto"/>
        </w:rPr>
        <w:t>MATERIAL U.S. FEDERAL INCOME TAX CONSEQUENCES TO NON-U.S. HOLDERS OF OUR CLASS A COMMON STOCK</w:t>
      </w:r>
    </w:p>
    <w:p>
      <w:pPr>
        <w:spacing w:after="0" w:line="157" w:lineRule="exact"/>
        <w:rPr>
          <w:sz w:val="20"/>
          <w:szCs w:val="20"/>
          <w:color w:val="auto"/>
        </w:rPr>
      </w:pPr>
    </w:p>
    <w:p>
      <w:pPr>
        <w:jc w:val="both"/>
        <w:ind w:left="2060" w:right="839"/>
        <w:spacing w:after="0"/>
        <w:rPr>
          <w:sz w:val="20"/>
          <w:szCs w:val="20"/>
          <w:color w:val="auto"/>
        </w:rPr>
      </w:pPr>
      <w:r>
        <w:rPr>
          <w:rFonts w:ascii="Arial" w:cs="Arial" w:eastAsia="Arial" w:hAnsi="Arial"/>
          <w:sz w:val="11"/>
          <w:szCs w:val="11"/>
          <w:color w:val="050505"/>
        </w:rPr>
        <w:t>The following summary describes the material U.S. federal income tax consequences of the ownership and disposition of our Class A common stock acquired in this offering by Non-U.S. Holders (as defined below). This discussion does not address all aspects of U.S. federal income taxes, does not discuss the potential application of the alternative minimum tax or the Medicare Contribution tax on net investment income, and does not deal with state or local taxes, U.S. federal gift, and estate tax laws, except to the limited extent provided below, or any non-U.S. tax consequences that may be relevant to Non-U.S. Holders in light of their particular circumstances.</w:t>
      </w:r>
    </w:p>
    <w:p>
      <w:pPr>
        <w:spacing w:after="0" w:line="142" w:lineRule="exact"/>
        <w:rPr>
          <w:sz w:val="20"/>
          <w:szCs w:val="20"/>
          <w:color w:val="auto"/>
        </w:rPr>
      </w:pPr>
    </w:p>
    <w:p>
      <w:pPr>
        <w:ind w:left="2060"/>
        <w:spacing w:after="0"/>
        <w:rPr>
          <w:sz w:val="20"/>
          <w:szCs w:val="20"/>
          <w:color w:val="auto"/>
        </w:rPr>
      </w:pPr>
      <w:r>
        <w:rPr>
          <w:rFonts w:ascii="Arial" w:cs="Arial" w:eastAsia="Arial" w:hAnsi="Arial"/>
          <w:sz w:val="10"/>
          <w:szCs w:val="10"/>
          <w:color w:val="050505"/>
        </w:rPr>
        <w:t>Special rules different from those described below may apply to certain Non-U.S. Holders that are subject to special treatment under the Code, such as:</w:t>
      </w:r>
    </w:p>
    <w:p>
      <w:pPr>
        <w:spacing w:after="0" w:line="173" w:lineRule="exact"/>
        <w:rPr>
          <w:sz w:val="20"/>
          <w:szCs w:val="20"/>
          <w:color w:val="auto"/>
        </w:rPr>
      </w:pPr>
    </w:p>
    <w:p>
      <w:pPr>
        <w:ind w:left="2420" w:hanging="217"/>
        <w:spacing w:after="0"/>
        <w:tabs>
          <w:tab w:leader="none" w:pos="2420" w:val="left"/>
        </w:tabs>
        <w:numPr>
          <w:ilvl w:val="0"/>
          <w:numId w:val="105"/>
        </w:numPr>
        <w:rPr>
          <w:rFonts w:ascii="Arial" w:cs="Arial" w:eastAsia="Arial" w:hAnsi="Arial"/>
          <w:sz w:val="11"/>
          <w:szCs w:val="11"/>
          <w:color w:val="F7323F"/>
        </w:rPr>
      </w:pPr>
      <w:r>
        <w:rPr>
          <w:rFonts w:ascii="Arial" w:cs="Arial" w:eastAsia="Arial" w:hAnsi="Arial"/>
          <w:sz w:val="11"/>
          <w:szCs w:val="11"/>
          <w:color w:val="050505"/>
        </w:rPr>
        <w:t>insurance companies, banks, and other financial institutions;</w:t>
      </w:r>
    </w:p>
    <w:p>
      <w:pPr>
        <w:spacing w:after="0" w:line="44" w:lineRule="exact"/>
        <w:rPr>
          <w:rFonts w:ascii="Arial" w:cs="Arial" w:eastAsia="Arial" w:hAnsi="Arial"/>
          <w:sz w:val="11"/>
          <w:szCs w:val="11"/>
          <w:color w:val="F7323F"/>
        </w:rPr>
      </w:pPr>
    </w:p>
    <w:p>
      <w:pPr>
        <w:ind w:left="2420" w:hanging="217"/>
        <w:spacing w:after="0"/>
        <w:tabs>
          <w:tab w:leader="none" w:pos="2420" w:val="left"/>
        </w:tabs>
        <w:numPr>
          <w:ilvl w:val="0"/>
          <w:numId w:val="105"/>
        </w:numPr>
        <w:rPr>
          <w:rFonts w:ascii="Arial" w:cs="Arial" w:eastAsia="Arial" w:hAnsi="Arial"/>
          <w:sz w:val="11"/>
          <w:szCs w:val="11"/>
          <w:color w:val="F7323F"/>
        </w:rPr>
      </w:pPr>
      <w:r>
        <w:rPr>
          <w:rFonts w:ascii="Arial" w:cs="Arial" w:eastAsia="Arial" w:hAnsi="Arial"/>
          <w:sz w:val="11"/>
          <w:szCs w:val="11"/>
          <w:color w:val="050505"/>
        </w:rPr>
        <w:t>tax-exempt organizations (including private foundations) and tax-qualified retirement plans;</w:t>
      </w:r>
    </w:p>
    <w:p>
      <w:pPr>
        <w:spacing w:after="0" w:line="44" w:lineRule="exact"/>
        <w:rPr>
          <w:rFonts w:ascii="Arial" w:cs="Arial" w:eastAsia="Arial" w:hAnsi="Arial"/>
          <w:sz w:val="11"/>
          <w:szCs w:val="11"/>
          <w:color w:val="F7323F"/>
        </w:rPr>
      </w:pPr>
    </w:p>
    <w:p>
      <w:pPr>
        <w:ind w:left="2420" w:right="839" w:hanging="217"/>
        <w:spacing w:after="0" w:line="245" w:lineRule="auto"/>
        <w:tabs>
          <w:tab w:leader="none" w:pos="2420" w:val="left"/>
        </w:tabs>
        <w:numPr>
          <w:ilvl w:val="0"/>
          <w:numId w:val="105"/>
        </w:numPr>
        <w:rPr>
          <w:rFonts w:ascii="Arial" w:cs="Arial" w:eastAsia="Arial" w:hAnsi="Arial"/>
          <w:sz w:val="11"/>
          <w:szCs w:val="11"/>
          <w:color w:val="F7323F"/>
        </w:rPr>
      </w:pPr>
      <w:r>
        <w:rPr>
          <w:rFonts w:ascii="Arial" w:cs="Arial" w:eastAsia="Arial" w:hAnsi="Arial"/>
          <w:sz w:val="11"/>
          <w:szCs w:val="11"/>
          <w:color w:val="050505"/>
        </w:rPr>
        <w:t>“qualified foreign pension funds” as defined in Section 897(l)(2) of the Code and entities all of the interests of which are held by qualified foreign pension funds;</w:t>
      </w:r>
    </w:p>
    <w:p>
      <w:pPr>
        <w:spacing w:after="0" w:line="38" w:lineRule="exact"/>
        <w:rPr>
          <w:rFonts w:ascii="Arial" w:cs="Arial" w:eastAsia="Arial" w:hAnsi="Arial"/>
          <w:sz w:val="11"/>
          <w:szCs w:val="11"/>
          <w:color w:val="F7323F"/>
        </w:rPr>
      </w:pPr>
    </w:p>
    <w:p>
      <w:pPr>
        <w:ind w:left="2420" w:right="839" w:hanging="217"/>
        <w:spacing w:after="0" w:line="245" w:lineRule="auto"/>
        <w:tabs>
          <w:tab w:leader="none" w:pos="2420" w:val="left"/>
        </w:tabs>
        <w:numPr>
          <w:ilvl w:val="0"/>
          <w:numId w:val="105"/>
        </w:numPr>
        <w:rPr>
          <w:rFonts w:ascii="Arial" w:cs="Arial" w:eastAsia="Arial" w:hAnsi="Arial"/>
          <w:sz w:val="11"/>
          <w:szCs w:val="11"/>
          <w:color w:val="F7323F"/>
        </w:rPr>
      </w:pPr>
      <w:r>
        <w:rPr>
          <w:rFonts w:ascii="Arial" w:cs="Arial" w:eastAsia="Arial" w:hAnsi="Arial"/>
          <w:sz w:val="11"/>
          <w:szCs w:val="11"/>
          <w:color w:val="050505"/>
        </w:rPr>
        <w:t>persons subject to special tax accounting rules as a result of any item of gross income with respect to our Class A common stock being taken into account in an applicable financial statement;</w:t>
      </w:r>
    </w:p>
    <w:p>
      <w:pPr>
        <w:spacing w:after="0" w:line="38" w:lineRule="exact"/>
        <w:rPr>
          <w:rFonts w:ascii="Arial" w:cs="Arial" w:eastAsia="Arial" w:hAnsi="Arial"/>
          <w:sz w:val="11"/>
          <w:szCs w:val="11"/>
          <w:color w:val="F7323F"/>
        </w:rPr>
      </w:pPr>
    </w:p>
    <w:p>
      <w:pPr>
        <w:ind w:left="2420" w:hanging="217"/>
        <w:spacing w:after="0"/>
        <w:tabs>
          <w:tab w:leader="none" w:pos="2420" w:val="left"/>
        </w:tabs>
        <w:numPr>
          <w:ilvl w:val="0"/>
          <w:numId w:val="105"/>
        </w:numPr>
        <w:rPr>
          <w:rFonts w:ascii="Arial" w:cs="Arial" w:eastAsia="Arial" w:hAnsi="Arial"/>
          <w:sz w:val="11"/>
          <w:szCs w:val="11"/>
          <w:color w:val="F7323F"/>
        </w:rPr>
      </w:pPr>
      <w:r>
        <w:rPr>
          <w:rFonts w:ascii="Arial" w:cs="Arial" w:eastAsia="Arial" w:hAnsi="Arial"/>
          <w:sz w:val="11"/>
          <w:szCs w:val="11"/>
          <w:color w:val="050505"/>
        </w:rPr>
        <w:t>non-U.S. governments and international organizations;</w:t>
      </w:r>
    </w:p>
    <w:p>
      <w:pPr>
        <w:spacing w:after="0" w:line="44" w:lineRule="exact"/>
        <w:rPr>
          <w:rFonts w:ascii="Arial" w:cs="Arial" w:eastAsia="Arial" w:hAnsi="Arial"/>
          <w:sz w:val="11"/>
          <w:szCs w:val="11"/>
          <w:color w:val="F7323F"/>
        </w:rPr>
      </w:pPr>
    </w:p>
    <w:p>
      <w:pPr>
        <w:ind w:left="2420" w:hanging="217"/>
        <w:spacing w:after="0"/>
        <w:tabs>
          <w:tab w:leader="none" w:pos="2420" w:val="left"/>
        </w:tabs>
        <w:numPr>
          <w:ilvl w:val="0"/>
          <w:numId w:val="105"/>
        </w:numPr>
        <w:rPr>
          <w:rFonts w:ascii="Arial" w:cs="Arial" w:eastAsia="Arial" w:hAnsi="Arial"/>
          <w:sz w:val="11"/>
          <w:szCs w:val="11"/>
          <w:color w:val="F7323F"/>
        </w:rPr>
      </w:pPr>
      <w:r>
        <w:rPr>
          <w:rFonts w:ascii="Arial" w:cs="Arial" w:eastAsia="Arial" w:hAnsi="Arial"/>
          <w:sz w:val="11"/>
          <w:szCs w:val="11"/>
          <w:color w:val="050505"/>
        </w:rPr>
        <w:t>broker-dealers and traders in securities;</w:t>
      </w:r>
    </w:p>
    <w:p>
      <w:pPr>
        <w:spacing w:after="0" w:line="44" w:lineRule="exact"/>
        <w:rPr>
          <w:rFonts w:ascii="Arial" w:cs="Arial" w:eastAsia="Arial" w:hAnsi="Arial"/>
          <w:sz w:val="11"/>
          <w:szCs w:val="11"/>
          <w:color w:val="F7323F"/>
        </w:rPr>
      </w:pPr>
    </w:p>
    <w:p>
      <w:pPr>
        <w:ind w:left="2420" w:hanging="217"/>
        <w:spacing w:after="0"/>
        <w:tabs>
          <w:tab w:leader="none" w:pos="2420" w:val="left"/>
        </w:tabs>
        <w:numPr>
          <w:ilvl w:val="0"/>
          <w:numId w:val="105"/>
        </w:numPr>
        <w:rPr>
          <w:rFonts w:ascii="Arial" w:cs="Arial" w:eastAsia="Arial" w:hAnsi="Arial"/>
          <w:sz w:val="11"/>
          <w:szCs w:val="11"/>
          <w:color w:val="F7323F"/>
        </w:rPr>
      </w:pPr>
      <w:r>
        <w:rPr>
          <w:rFonts w:ascii="Arial" w:cs="Arial" w:eastAsia="Arial" w:hAnsi="Arial"/>
          <w:sz w:val="11"/>
          <w:szCs w:val="11"/>
          <w:color w:val="050505"/>
        </w:rPr>
        <w:t>U.S. expatriates and certain former citizens or long-term residents of the United States;</w:t>
      </w:r>
    </w:p>
    <w:p>
      <w:pPr>
        <w:spacing w:after="0" w:line="44" w:lineRule="exact"/>
        <w:rPr>
          <w:rFonts w:ascii="Arial" w:cs="Arial" w:eastAsia="Arial" w:hAnsi="Arial"/>
          <w:sz w:val="11"/>
          <w:szCs w:val="11"/>
          <w:color w:val="F7323F"/>
        </w:rPr>
      </w:pPr>
    </w:p>
    <w:p>
      <w:pPr>
        <w:ind w:left="2420" w:hanging="217"/>
        <w:spacing w:after="0"/>
        <w:tabs>
          <w:tab w:leader="none" w:pos="2420" w:val="left"/>
        </w:tabs>
        <w:numPr>
          <w:ilvl w:val="0"/>
          <w:numId w:val="105"/>
        </w:numPr>
        <w:rPr>
          <w:rFonts w:ascii="Arial" w:cs="Arial" w:eastAsia="Arial" w:hAnsi="Arial"/>
          <w:sz w:val="11"/>
          <w:szCs w:val="11"/>
          <w:color w:val="F7323F"/>
        </w:rPr>
      </w:pPr>
      <w:r>
        <w:rPr>
          <w:rFonts w:ascii="Arial" w:cs="Arial" w:eastAsia="Arial" w:hAnsi="Arial"/>
          <w:sz w:val="11"/>
          <w:szCs w:val="11"/>
          <w:color w:val="050505"/>
        </w:rPr>
        <w:t>persons that own, or are deemed to own, more than five percent of our Class A common stock;</w:t>
      </w:r>
    </w:p>
    <w:p>
      <w:pPr>
        <w:spacing w:after="0" w:line="44" w:lineRule="exact"/>
        <w:rPr>
          <w:rFonts w:ascii="Arial" w:cs="Arial" w:eastAsia="Arial" w:hAnsi="Arial"/>
          <w:sz w:val="11"/>
          <w:szCs w:val="11"/>
          <w:color w:val="F7323F"/>
        </w:rPr>
      </w:pPr>
    </w:p>
    <w:p>
      <w:pPr>
        <w:ind w:left="2420" w:right="839" w:hanging="217"/>
        <w:spacing w:after="0" w:line="245" w:lineRule="auto"/>
        <w:tabs>
          <w:tab w:leader="none" w:pos="2420" w:val="left"/>
        </w:tabs>
        <w:numPr>
          <w:ilvl w:val="0"/>
          <w:numId w:val="105"/>
        </w:numPr>
        <w:rPr>
          <w:rFonts w:ascii="Arial" w:cs="Arial" w:eastAsia="Arial" w:hAnsi="Arial"/>
          <w:sz w:val="11"/>
          <w:szCs w:val="11"/>
          <w:color w:val="F7323F"/>
        </w:rPr>
      </w:pPr>
      <w:r>
        <w:rPr>
          <w:rFonts w:ascii="Arial" w:cs="Arial" w:eastAsia="Arial" w:hAnsi="Arial"/>
          <w:sz w:val="11"/>
          <w:szCs w:val="11"/>
          <w:color w:val="050505"/>
        </w:rPr>
        <w:t>“controlled foreign corporations,” “passive foreign investment companies,” and corporations that accumulate earnings to avoid U.S. federal income tax;</w:t>
      </w:r>
    </w:p>
    <w:p>
      <w:pPr>
        <w:spacing w:after="0" w:line="38" w:lineRule="exact"/>
        <w:rPr>
          <w:rFonts w:ascii="Arial" w:cs="Arial" w:eastAsia="Arial" w:hAnsi="Arial"/>
          <w:sz w:val="11"/>
          <w:szCs w:val="11"/>
          <w:color w:val="F7323F"/>
        </w:rPr>
      </w:pPr>
    </w:p>
    <w:p>
      <w:pPr>
        <w:ind w:left="2420" w:right="839" w:hanging="217"/>
        <w:spacing w:after="0" w:line="245" w:lineRule="auto"/>
        <w:tabs>
          <w:tab w:leader="none" w:pos="2420" w:val="left"/>
        </w:tabs>
        <w:numPr>
          <w:ilvl w:val="0"/>
          <w:numId w:val="105"/>
        </w:numPr>
        <w:rPr>
          <w:rFonts w:ascii="Arial" w:cs="Arial" w:eastAsia="Arial" w:hAnsi="Arial"/>
          <w:sz w:val="11"/>
          <w:szCs w:val="11"/>
          <w:color w:val="F7323F"/>
        </w:rPr>
      </w:pPr>
      <w:r>
        <w:rPr>
          <w:rFonts w:ascii="Arial" w:cs="Arial" w:eastAsia="Arial" w:hAnsi="Arial"/>
          <w:sz w:val="11"/>
          <w:szCs w:val="11"/>
          <w:color w:val="050505"/>
        </w:rPr>
        <w:t>persons that hold our Class A common stock as part of a “straddle,” “hedge,” “conversion transaction,” “synthetic security,” or integrated investment or other risk reduction strategy;</w:t>
      </w:r>
    </w:p>
    <w:p>
      <w:pPr>
        <w:spacing w:after="0" w:line="38" w:lineRule="exact"/>
        <w:rPr>
          <w:rFonts w:ascii="Arial" w:cs="Arial" w:eastAsia="Arial" w:hAnsi="Arial"/>
          <w:sz w:val="11"/>
          <w:szCs w:val="11"/>
          <w:color w:val="F7323F"/>
        </w:rPr>
      </w:pPr>
    </w:p>
    <w:p>
      <w:pPr>
        <w:ind w:left="2420" w:right="839" w:hanging="217"/>
        <w:spacing w:after="0" w:line="245" w:lineRule="auto"/>
        <w:tabs>
          <w:tab w:leader="none" w:pos="2420" w:val="left"/>
        </w:tabs>
        <w:numPr>
          <w:ilvl w:val="0"/>
          <w:numId w:val="105"/>
        </w:numPr>
        <w:rPr>
          <w:rFonts w:ascii="Arial" w:cs="Arial" w:eastAsia="Arial" w:hAnsi="Arial"/>
          <w:sz w:val="11"/>
          <w:szCs w:val="11"/>
          <w:color w:val="F7323F"/>
        </w:rPr>
      </w:pPr>
      <w:r>
        <w:rPr>
          <w:rFonts w:ascii="Arial" w:cs="Arial" w:eastAsia="Arial" w:hAnsi="Arial"/>
          <w:sz w:val="11"/>
          <w:szCs w:val="11"/>
          <w:color w:val="050505"/>
        </w:rPr>
        <w:t>persons who do not hold our Class A common stock as a capital asset within the meaning of Section 1221 of the Code (generally, for investment purposes); and</w:t>
      </w:r>
    </w:p>
    <w:p>
      <w:pPr>
        <w:spacing w:after="0" w:line="38" w:lineRule="exact"/>
        <w:rPr>
          <w:rFonts w:ascii="Arial" w:cs="Arial" w:eastAsia="Arial" w:hAnsi="Arial"/>
          <w:sz w:val="11"/>
          <w:szCs w:val="11"/>
          <w:color w:val="F7323F"/>
        </w:rPr>
      </w:pPr>
    </w:p>
    <w:p>
      <w:pPr>
        <w:ind w:left="2420" w:hanging="217"/>
        <w:spacing w:after="0"/>
        <w:tabs>
          <w:tab w:leader="none" w:pos="2420" w:val="left"/>
        </w:tabs>
        <w:numPr>
          <w:ilvl w:val="0"/>
          <w:numId w:val="105"/>
        </w:numPr>
        <w:rPr>
          <w:rFonts w:ascii="Arial" w:cs="Arial" w:eastAsia="Arial" w:hAnsi="Arial"/>
          <w:sz w:val="10"/>
          <w:szCs w:val="10"/>
          <w:color w:val="F7323F"/>
        </w:rPr>
      </w:pPr>
      <w:r>
        <w:rPr>
          <w:rFonts w:ascii="Arial" w:cs="Arial" w:eastAsia="Arial" w:hAnsi="Arial"/>
          <w:sz w:val="10"/>
          <w:szCs w:val="10"/>
          <w:color w:val="050505"/>
        </w:rPr>
        <w:t>partnerships and other pass-through entities, and investors in such pass-through entities (regardless of their places of organization or formation).</w:t>
      </w:r>
    </w:p>
    <w:p>
      <w:pPr>
        <w:spacing w:after="0" w:line="155" w:lineRule="exact"/>
        <w:rPr>
          <w:sz w:val="20"/>
          <w:szCs w:val="20"/>
          <w:color w:val="auto"/>
        </w:rPr>
      </w:pPr>
    </w:p>
    <w:p>
      <w:pPr>
        <w:jc w:val="both"/>
        <w:ind w:left="2060" w:right="839"/>
        <w:spacing w:after="0" w:line="245" w:lineRule="auto"/>
        <w:rPr>
          <w:sz w:val="20"/>
          <w:szCs w:val="20"/>
          <w:color w:val="auto"/>
        </w:rPr>
      </w:pPr>
      <w:r>
        <w:rPr>
          <w:rFonts w:ascii="Arial" w:cs="Arial" w:eastAsia="Arial" w:hAnsi="Arial"/>
          <w:sz w:val="11"/>
          <w:szCs w:val="11"/>
          <w:color w:val="050505"/>
        </w:rPr>
        <w:t>Such Non-U.S. Holders are urged to consult their own tax advisors to determine the U.S. federal, state, local, and other tax consequences that may be relevant to them.</w:t>
      </w:r>
    </w:p>
    <w:p>
      <w:pPr>
        <w:spacing w:after="0" w:line="138" w:lineRule="exact"/>
        <w:rPr>
          <w:sz w:val="20"/>
          <w:szCs w:val="20"/>
          <w:color w:val="auto"/>
        </w:rPr>
      </w:pPr>
    </w:p>
    <w:p>
      <w:pPr>
        <w:jc w:val="both"/>
        <w:ind w:left="2060" w:right="839"/>
        <w:spacing w:after="0"/>
        <w:rPr>
          <w:sz w:val="20"/>
          <w:szCs w:val="20"/>
          <w:color w:val="auto"/>
        </w:rPr>
      </w:pPr>
      <w:r>
        <w:rPr>
          <w:rFonts w:ascii="Arial" w:cs="Arial" w:eastAsia="Arial" w:hAnsi="Arial"/>
          <w:sz w:val="11"/>
          <w:szCs w:val="11"/>
          <w:color w:val="050505"/>
        </w:rPr>
        <w:t>Furthermore, the discussion below is based upon the provisions of the Code, and Treasury regulations, rulings, and judicial decisions thereunder as of the date hereof, and such authorities may be repealed, revoked, or modified, possibly retroactively, and are subject to differing interpretations which could result in U.S. federal income tax consequences different from those discussed below. We have not requested a ruling from the Internal Revenue Service, or IRS, with respect to the statements made and the conclusions reached in the following summary, and there can be no assurance that the IRS will agree with such statements and conclusions or will not take a contrary position regarding the tax consequences described herein, or that any such contrary position would not be sustained by a court.</w:t>
      </w:r>
    </w:p>
    <w:p>
      <w:pPr>
        <w:spacing w:after="0" w:line="142" w:lineRule="exact"/>
        <w:rPr>
          <w:sz w:val="20"/>
          <w:szCs w:val="20"/>
          <w:color w:val="auto"/>
        </w:rPr>
      </w:pPr>
    </w:p>
    <w:p>
      <w:pPr>
        <w:jc w:val="both"/>
        <w:ind w:left="2060" w:right="839"/>
        <w:spacing w:after="0"/>
        <w:rPr>
          <w:sz w:val="20"/>
          <w:szCs w:val="20"/>
          <w:color w:val="auto"/>
        </w:rPr>
      </w:pPr>
      <w:r>
        <w:rPr>
          <w:rFonts w:ascii="Arial" w:cs="Arial" w:eastAsia="Arial" w:hAnsi="Arial"/>
          <w:sz w:val="11"/>
          <w:szCs w:val="11"/>
          <w:color w:val="050505"/>
        </w:rPr>
        <w:t>PERSONS CONSIDERING THE PURCHASE OF OUR CLASS A COMMON STOCK PURSUANT TO THIS OFFERING SHOULD CONSULT THEIR OWN TAX ADVISORS CONCERNING THE U.S. FEDERAL INCOME TAX CONSEQUENCES OF ACQUIRING, OWNING, AND DISPOSING OF OUR CLASS A COMMON STOCK IN LIGHT OF THEIR PARTICULAR SITUATIONS AS WELL AS ANY CONSEQUENCES ARISING UNDER THE LAWS OF ANY OTHER TAXING JURISDICTION, INCLUDING ANY STATE, LOCAL, OR NON-U.S. TAX CONSEQUENCES OR ANY U.S. FEDERAL NON-INCOME TAX CONSEQUENCES, AND THE POSSIBLE APPLICATION OF TAX TREATIES.</w:t>
      </w:r>
    </w:p>
    <w:p>
      <w:pPr>
        <w:spacing w:after="0" w:line="142" w:lineRule="exact"/>
        <w:rPr>
          <w:sz w:val="20"/>
          <w:szCs w:val="20"/>
          <w:color w:val="auto"/>
        </w:rPr>
      </w:pPr>
    </w:p>
    <w:p>
      <w:pPr>
        <w:jc w:val="both"/>
        <w:ind w:left="2060" w:right="839"/>
        <w:spacing w:after="0" w:line="245" w:lineRule="auto"/>
        <w:rPr>
          <w:sz w:val="20"/>
          <w:szCs w:val="20"/>
          <w:color w:val="auto"/>
        </w:rPr>
      </w:pPr>
      <w:r>
        <w:rPr>
          <w:rFonts w:ascii="Arial" w:cs="Arial" w:eastAsia="Arial" w:hAnsi="Arial"/>
          <w:sz w:val="11"/>
          <w:szCs w:val="11"/>
          <w:color w:val="050505"/>
        </w:rPr>
        <w:t>For the purposes of this discussion, a “Non-U.S. Holder” is a beneficial owner of Class A common stock that is not a U.S. Holder or a partnership for U.S. federal income tax purposes. A “U.S. Holder” means a beneficial owner of our Class A</w:t>
      </w:r>
    </w:p>
    <w:p>
      <w:pPr>
        <w:spacing w:after="0" w:line="93" w:lineRule="exact"/>
        <w:rPr>
          <w:sz w:val="20"/>
          <w:szCs w:val="20"/>
          <w:color w:val="auto"/>
        </w:rPr>
      </w:pPr>
    </w:p>
    <w:p>
      <w:pPr>
        <w:ind w:left="5640"/>
        <w:spacing w:after="0"/>
        <w:rPr>
          <w:sz w:val="20"/>
          <w:szCs w:val="20"/>
          <w:color w:val="auto"/>
        </w:rPr>
      </w:pPr>
      <w:r>
        <w:rPr>
          <w:rFonts w:ascii="Arial" w:cs="Arial" w:eastAsia="Arial" w:hAnsi="Arial"/>
          <w:sz w:val="11"/>
          <w:szCs w:val="11"/>
          <w:color w:val="050505"/>
        </w:rPr>
        <w:t>145</w:t>
      </w:r>
    </w:p>
    <w:p>
      <w:pPr>
        <w:sectPr>
          <w:pgSz w:w="11900" w:h="16838" w:orient="portrait"/>
          <w:cols w:equalWidth="0" w:num="1">
            <w:col w:w="10239"/>
          </w:cols>
          <w:pgMar w:left="220" w:top="354" w:right="1440" w:bottom="1440" w:gutter="0" w:footer="0" w:header="0"/>
        </w:sectPr>
      </w:pPr>
    </w:p>
    <w:bookmarkStart w:id="155" w:name="page156"/>
    <w:bookmarkEnd w:id="155"/>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hyperlink w:anchor="page5">
        <w:r>
          <w:rPr>
            <w:rFonts w:ascii="Arial" w:cs="Arial" w:eastAsia="Arial" w:hAnsi="Arial"/>
            <w:sz w:val="12"/>
            <w:szCs w:val="12"/>
            <w:b w:val="1"/>
            <w:bCs w:val="1"/>
            <w:u w:val="single" w:color="auto"/>
            <w:color w:val="0000EE"/>
          </w:rPr>
          <w:t>Table of Contents</w:t>
        </w:r>
      </w:hyperlink>
    </w:p>
    <w:p>
      <w:pPr>
        <w:spacing w:after="0" w:line="216" w:lineRule="exact"/>
        <w:rPr>
          <w:sz w:val="20"/>
          <w:szCs w:val="20"/>
          <w:color w:val="auto"/>
        </w:rPr>
      </w:pPr>
    </w:p>
    <w:p>
      <w:pPr>
        <w:jc w:val="both"/>
        <w:ind w:left="2060" w:right="839"/>
        <w:spacing w:after="0"/>
        <w:rPr>
          <w:sz w:val="20"/>
          <w:szCs w:val="20"/>
          <w:color w:val="auto"/>
        </w:rPr>
      </w:pPr>
      <w:r>
        <w:rPr>
          <w:rFonts w:ascii="Arial" w:cs="Arial" w:eastAsia="Arial" w:hAnsi="Arial"/>
          <w:sz w:val="11"/>
          <w:szCs w:val="11"/>
          <w:color w:val="050505"/>
        </w:rPr>
        <w:t>common stock that is, for U.S. federal income tax purposes, (1) an individual who is a citizen or resident of the United States, (2) a corporation (or other entity taxable as a corporation for U.S. federal income tax purposes), created or organized in or under the laws of the United States, any state thereof, or the District of Columbia, (3) an estate the income of which is subject to U.S. federal income taxation regardless of its source, or (4) a trust if it (i) is subject to the primary supervision of a court within the United States and one or more U.S. persons (within the meaning of Section 7701(a)(30) of the Code) have the authority to control all substantial decisions of the trust or (ii) has a valid election in effect under applicable U.S. Treasury regulations to be treated as a U.S. person.</w:t>
      </w:r>
    </w:p>
    <w:p>
      <w:pPr>
        <w:spacing w:after="0" w:line="142" w:lineRule="exact"/>
        <w:rPr>
          <w:sz w:val="20"/>
          <w:szCs w:val="20"/>
          <w:color w:val="auto"/>
        </w:rPr>
      </w:pPr>
    </w:p>
    <w:p>
      <w:pPr>
        <w:jc w:val="both"/>
        <w:ind w:left="2060" w:right="839"/>
        <w:spacing w:after="0" w:line="241" w:lineRule="auto"/>
        <w:rPr>
          <w:sz w:val="20"/>
          <w:szCs w:val="20"/>
          <w:color w:val="auto"/>
        </w:rPr>
      </w:pPr>
      <w:r>
        <w:rPr>
          <w:rFonts w:ascii="Arial" w:cs="Arial" w:eastAsia="Arial" w:hAnsi="Arial"/>
          <w:sz w:val="11"/>
          <w:szCs w:val="11"/>
          <w:color w:val="050505"/>
        </w:rPr>
        <w:t>If you are an individual non-U.S. citizen, you may, in some cases, be deemed to be a resident alien (as opposed to a nonresident alien) by virtue of being present in the United States for at least 31 days in the calendar year and for an aggregate of at least 183 days during a three-year period ending in the current calendar year. Generally, for this purpose, all the days present in the current year, one-third of the days present in the immediately preceding year, and one-sixth of the days present in the second preceding year, are counted.</w:t>
      </w:r>
    </w:p>
    <w:p>
      <w:pPr>
        <w:spacing w:after="0" w:line="140" w:lineRule="exact"/>
        <w:rPr>
          <w:sz w:val="20"/>
          <w:szCs w:val="20"/>
          <w:color w:val="auto"/>
        </w:rPr>
      </w:pPr>
    </w:p>
    <w:p>
      <w:pPr>
        <w:jc w:val="both"/>
        <w:ind w:left="2060" w:right="839"/>
        <w:spacing w:after="0" w:line="242" w:lineRule="auto"/>
        <w:rPr>
          <w:sz w:val="20"/>
          <w:szCs w:val="20"/>
          <w:color w:val="auto"/>
        </w:rPr>
      </w:pPr>
      <w:r>
        <w:rPr>
          <w:rFonts w:ascii="Arial" w:cs="Arial" w:eastAsia="Arial" w:hAnsi="Arial"/>
          <w:sz w:val="11"/>
          <w:szCs w:val="11"/>
          <w:color w:val="050505"/>
        </w:rPr>
        <w:t>Resident aliens are generally subject to U.S. federal income tax as if they were U.S. citizens. Individuals who are uncertain of their status as resident or nonresident aliens for U.S. federal income tax purposes are urged to consult their own tax advisors regarding the U.S. federal income tax consequences of the ownership or disposition of our Class A common stock.</w:t>
      </w:r>
    </w:p>
    <w:p>
      <w:pPr>
        <w:spacing w:after="0" w:line="128" w:lineRule="exact"/>
        <w:rPr>
          <w:sz w:val="20"/>
          <w:szCs w:val="20"/>
          <w:color w:val="auto"/>
        </w:rPr>
      </w:pPr>
    </w:p>
    <w:p>
      <w:pPr>
        <w:ind w:left="2060"/>
        <w:spacing w:after="0"/>
        <w:rPr>
          <w:sz w:val="20"/>
          <w:szCs w:val="20"/>
          <w:color w:val="auto"/>
        </w:rPr>
      </w:pPr>
      <w:r>
        <w:rPr>
          <w:rFonts w:ascii="Arial" w:cs="Arial" w:eastAsia="Arial" w:hAnsi="Arial"/>
          <w:sz w:val="11"/>
          <w:szCs w:val="11"/>
          <w:b w:val="1"/>
          <w:bCs w:val="1"/>
          <w:u w:val="single" w:color="auto"/>
          <w:color w:val="auto"/>
        </w:rPr>
        <w:t>Distributions</w:t>
      </w:r>
    </w:p>
    <w:p>
      <w:pPr>
        <w:spacing w:after="0" w:line="12" w:lineRule="exact"/>
        <w:rPr>
          <w:sz w:val="20"/>
          <w:szCs w:val="20"/>
          <w:color w:val="auto"/>
        </w:rPr>
      </w:pPr>
    </w:p>
    <w:p>
      <w:pPr>
        <w:jc w:val="both"/>
        <w:ind w:left="2060" w:right="839"/>
        <w:spacing w:after="0"/>
        <w:rPr>
          <w:sz w:val="20"/>
          <w:szCs w:val="20"/>
          <w:color w:val="auto"/>
        </w:rPr>
      </w:pPr>
      <w:r>
        <w:rPr>
          <w:rFonts w:ascii="Arial" w:cs="Arial" w:eastAsia="Arial" w:hAnsi="Arial"/>
          <w:sz w:val="11"/>
          <w:szCs w:val="11"/>
          <w:color w:val="050505"/>
        </w:rPr>
        <w:t>We do not expect to make any distributions on our Class A common stock in the foreseeable future. If we do make distributions on our Class A common stock, however, such distributions made to a Non-U.S. Holder of our Class A common stock will constitute dividends for U.S. tax purposes to the extent paid out of our current or accumulated earnings and profits (as determined under U.S. federal income tax principles). Distributions in excess of our current and accumulated earnings and profits will constitute a return of capital that is applied against and reduces, but not below zero, a Non-U.S. Holder’s adjusted tax basis in our Class A common stock. Any remaining excess will be treated as gain realized on the sale or exchange of our Class A common stock as described below under “—Gain on Disposition of Our Class A Common Stock.”</w:t>
      </w:r>
    </w:p>
    <w:p>
      <w:pPr>
        <w:spacing w:after="0" w:line="142" w:lineRule="exact"/>
        <w:rPr>
          <w:sz w:val="20"/>
          <w:szCs w:val="20"/>
          <w:color w:val="auto"/>
        </w:rPr>
      </w:pPr>
    </w:p>
    <w:p>
      <w:pPr>
        <w:jc w:val="both"/>
        <w:ind w:left="2060" w:right="839"/>
        <w:spacing w:after="0" w:line="239" w:lineRule="auto"/>
        <w:rPr>
          <w:sz w:val="20"/>
          <w:szCs w:val="20"/>
          <w:color w:val="auto"/>
        </w:rPr>
      </w:pPr>
      <w:r>
        <w:rPr>
          <w:rFonts w:ascii="Arial" w:cs="Arial" w:eastAsia="Arial" w:hAnsi="Arial"/>
          <w:sz w:val="11"/>
          <w:szCs w:val="11"/>
          <w:color w:val="050505"/>
        </w:rPr>
        <w:t>Any distribution on our Class A common stock that is treated as a dividend paid to a Non-U.S. Holder that is not effectively connected with the holder’s conduct of a trade or business in the United States will generally be subject to withholding tax at a 30% rate or such lower rate as may be specified by an applicable income tax treaty between the United States and the Non-U.S. Holder’s country of residence. To obtain a reduced rate of withholding under a treaty, a Non-U.S. Holder generally will be required to provide the applicable withholding agent with a properly executed IRS Form W-8BEN, IRS Form W-8BEN-E, or other appropriate form, certifying the Non-U.S. Holder’s entitlement to benefits under that treaty. Such form must be provided prior to the payment of dividends and must be updated periodically. If a Non-U.S. Holder holds stock through a financial institution or other agent acting on the holder’s behalf, the holder will be required to provide appropriate documentation to such agent. The holder’s agent will then be required to provide certification to the applicable withholding agent, either directly or through other intermediaries. If you are eligible for a reduced rate of U.S. withholding tax under an income tax treaty, you should consult with your own tax advisor to determine if you are able to obtain a refund or credit of any excess amounts withheld by timely filing an appropriate claim for a refund with the IRS.</w:t>
      </w:r>
    </w:p>
    <w:p>
      <w:pPr>
        <w:spacing w:after="0" w:line="146" w:lineRule="exact"/>
        <w:rPr>
          <w:sz w:val="20"/>
          <w:szCs w:val="20"/>
          <w:color w:val="auto"/>
        </w:rPr>
      </w:pPr>
    </w:p>
    <w:p>
      <w:pPr>
        <w:jc w:val="both"/>
        <w:ind w:left="2060" w:right="839"/>
        <w:spacing w:after="0"/>
        <w:rPr>
          <w:sz w:val="20"/>
          <w:szCs w:val="20"/>
          <w:color w:val="auto"/>
        </w:rPr>
      </w:pPr>
      <w:r>
        <w:rPr>
          <w:rFonts w:ascii="Arial" w:cs="Arial" w:eastAsia="Arial" w:hAnsi="Arial"/>
          <w:sz w:val="11"/>
          <w:szCs w:val="11"/>
          <w:color w:val="050505"/>
        </w:rPr>
        <w:t>We generally are not required to withhold tax on dividends paid to a Non-U.S. Holder that are effectively connected with the holder’s conduct of a trade or business within the United States (and, if required by an applicable income tax treaty, are attributable to a permanent establishment that the holder maintains in the United States) if a properly executed IRS Form W-8ECI, stating that the dividends are so connected, is furnished to the applicable withholding agent. In general, such effectively connected dividends will be subject to U.S. federal income tax on a net income basis at the regular graduated rates applicable to U.S. persons. A corporate Non-U.S. Holder receiving effectively connected dividends may also be subject to an additional “branch profits tax,” which is imposed, under certain circumstances, at a rate of 30% (or such lower rate as may be specified by an applicable treaty) on the corporate Non-U.S. Holder’s effectively connected earnings and profits, subject to certain adjustments.</w:t>
      </w:r>
    </w:p>
    <w:p>
      <w:pPr>
        <w:spacing w:after="0" w:line="141" w:lineRule="exact"/>
        <w:rPr>
          <w:sz w:val="20"/>
          <w:szCs w:val="20"/>
          <w:color w:val="auto"/>
        </w:rPr>
      </w:pPr>
    </w:p>
    <w:p>
      <w:pPr>
        <w:jc w:val="both"/>
        <w:ind w:left="2060" w:right="839"/>
        <w:spacing w:after="0" w:line="245" w:lineRule="auto"/>
        <w:rPr>
          <w:sz w:val="20"/>
          <w:szCs w:val="20"/>
          <w:color w:val="auto"/>
        </w:rPr>
      </w:pPr>
      <w:r>
        <w:rPr>
          <w:rFonts w:ascii="Arial" w:cs="Arial" w:eastAsia="Arial" w:hAnsi="Arial"/>
          <w:sz w:val="11"/>
          <w:szCs w:val="11"/>
          <w:color w:val="050505"/>
        </w:rPr>
        <w:t>See also the section below titled “—Foreign Accounts” for additional withholding rules that may apply to dividends paid to certain foreign financial institutions or non-financial foreign entities.</w:t>
      </w:r>
    </w:p>
    <w:p>
      <w:pPr>
        <w:spacing w:after="0" w:line="126" w:lineRule="exact"/>
        <w:rPr>
          <w:sz w:val="20"/>
          <w:szCs w:val="20"/>
          <w:color w:val="auto"/>
        </w:rPr>
      </w:pPr>
    </w:p>
    <w:p>
      <w:pPr>
        <w:ind w:left="2060"/>
        <w:spacing w:after="0"/>
        <w:rPr>
          <w:sz w:val="20"/>
          <w:szCs w:val="20"/>
          <w:color w:val="auto"/>
        </w:rPr>
      </w:pPr>
      <w:r>
        <w:rPr>
          <w:rFonts w:ascii="Arial" w:cs="Arial" w:eastAsia="Arial" w:hAnsi="Arial"/>
          <w:sz w:val="11"/>
          <w:szCs w:val="11"/>
          <w:b w:val="1"/>
          <w:bCs w:val="1"/>
          <w:u w:val="single" w:color="auto"/>
          <w:color w:val="auto"/>
        </w:rPr>
        <w:t>Gain on Disposition of Our Class A Common Stock</w:t>
      </w:r>
    </w:p>
    <w:p>
      <w:pPr>
        <w:spacing w:after="0" w:line="12" w:lineRule="exact"/>
        <w:rPr>
          <w:sz w:val="20"/>
          <w:szCs w:val="20"/>
          <w:color w:val="auto"/>
        </w:rPr>
      </w:pPr>
    </w:p>
    <w:p>
      <w:pPr>
        <w:jc w:val="both"/>
        <w:ind w:left="2060" w:right="839"/>
        <w:spacing w:after="0" w:line="245" w:lineRule="auto"/>
        <w:rPr>
          <w:sz w:val="20"/>
          <w:szCs w:val="20"/>
          <w:color w:val="auto"/>
        </w:rPr>
      </w:pPr>
      <w:r>
        <w:rPr>
          <w:rFonts w:ascii="Arial" w:cs="Arial" w:eastAsia="Arial" w:hAnsi="Arial"/>
          <w:sz w:val="11"/>
          <w:szCs w:val="11"/>
          <w:color w:val="050505"/>
        </w:rPr>
        <w:t>Subject to the discussions below under the sections titled “—Backup Withholding and Information Reporting,” a Non-U.S. Holder generally will not be subject to U.S. federal income or withholding tax with respect to gain realized on a sale or other</w:t>
      </w:r>
    </w:p>
    <w:p>
      <w:pPr>
        <w:spacing w:after="0" w:line="93" w:lineRule="exact"/>
        <w:rPr>
          <w:sz w:val="20"/>
          <w:szCs w:val="20"/>
          <w:color w:val="auto"/>
        </w:rPr>
      </w:pPr>
    </w:p>
    <w:p>
      <w:pPr>
        <w:ind w:left="5640"/>
        <w:spacing w:after="0"/>
        <w:rPr>
          <w:sz w:val="20"/>
          <w:szCs w:val="20"/>
          <w:color w:val="auto"/>
        </w:rPr>
      </w:pPr>
      <w:r>
        <w:rPr>
          <w:rFonts w:ascii="Arial" w:cs="Arial" w:eastAsia="Arial" w:hAnsi="Arial"/>
          <w:sz w:val="11"/>
          <w:szCs w:val="11"/>
          <w:color w:val="050505"/>
        </w:rPr>
        <w:t>146</w:t>
      </w:r>
    </w:p>
    <w:p>
      <w:pPr>
        <w:sectPr>
          <w:pgSz w:w="11900" w:h="16838" w:orient="portrait"/>
          <w:cols w:equalWidth="0" w:num="1">
            <w:col w:w="10239"/>
          </w:cols>
          <w:pgMar w:left="220" w:top="354" w:right="1440" w:bottom="1440" w:gutter="0" w:footer="0" w:header="0"/>
        </w:sectPr>
      </w:pPr>
    </w:p>
    <w:bookmarkStart w:id="156" w:name="page157"/>
    <w:bookmarkEnd w:id="156"/>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hyperlink w:anchor="page5">
        <w:r>
          <w:rPr>
            <w:rFonts w:ascii="Arial" w:cs="Arial" w:eastAsia="Arial" w:hAnsi="Arial"/>
            <w:sz w:val="12"/>
            <w:szCs w:val="12"/>
            <w:b w:val="1"/>
            <w:bCs w:val="1"/>
            <w:u w:val="single" w:color="auto"/>
            <w:color w:val="0000EE"/>
          </w:rPr>
          <w:t>Table of Contents</w:t>
        </w:r>
      </w:hyperlink>
    </w:p>
    <w:p>
      <w:pPr>
        <w:spacing w:after="0" w:line="216" w:lineRule="exact"/>
        <w:rPr>
          <w:sz w:val="20"/>
          <w:szCs w:val="20"/>
          <w:color w:val="auto"/>
        </w:rPr>
      </w:pPr>
    </w:p>
    <w:p>
      <w:pPr>
        <w:jc w:val="both"/>
        <w:ind w:left="2060" w:right="839"/>
        <w:spacing w:after="0"/>
        <w:rPr>
          <w:sz w:val="20"/>
          <w:szCs w:val="20"/>
          <w:color w:val="auto"/>
        </w:rPr>
      </w:pPr>
      <w:r>
        <w:rPr>
          <w:rFonts w:ascii="Arial" w:cs="Arial" w:eastAsia="Arial" w:hAnsi="Arial"/>
          <w:sz w:val="11"/>
          <w:szCs w:val="11"/>
          <w:color w:val="050505"/>
        </w:rPr>
        <w:t>disposition of our Class A common stock unless (1) the gain is effectively connected with a trade or business of the holder in the United States (and, if required by an applicable income tax treaty, is attributable to a permanent establishment that the holder maintains in the United States), (2) the Non-U.S. Holder is a nonresident alien individual and is present in the United States for 183 or more days in the taxable year of the disposition and certain other conditions are met, or (3) we are or have been a “United States real property holding corporation” within the meaning of Code Section 897(c)(2) at any time within the shorter of the five-year period preceding such disposition or the holder’s holding period in the Class A common stock.</w:t>
      </w:r>
    </w:p>
    <w:p>
      <w:pPr>
        <w:spacing w:after="0" w:line="142" w:lineRule="exact"/>
        <w:rPr>
          <w:sz w:val="20"/>
          <w:szCs w:val="20"/>
          <w:color w:val="auto"/>
        </w:rPr>
      </w:pPr>
    </w:p>
    <w:p>
      <w:pPr>
        <w:jc w:val="both"/>
        <w:ind w:left="2060" w:right="839"/>
        <w:spacing w:after="0" w:line="263" w:lineRule="auto"/>
        <w:rPr>
          <w:sz w:val="20"/>
          <w:szCs w:val="20"/>
          <w:color w:val="auto"/>
        </w:rPr>
      </w:pPr>
      <w:r>
        <w:rPr>
          <w:rFonts w:ascii="Arial" w:cs="Arial" w:eastAsia="Arial" w:hAnsi="Arial"/>
          <w:sz w:val="10"/>
          <w:szCs w:val="10"/>
          <w:color w:val="050505"/>
        </w:rPr>
        <w:t>If you are a Non-U.S. Holder described in (1) above, you will be required to pay tax on the net gain derived from the sale at the regular graduated U.S. federal income tax rates applicable to U.S. persons. Corporate Non-U.S. Holders described in (1) above may also be subject to the additional branch profits tax at a 30% rate or such lower rate as may be specified by an applicable income tax treaty. If you are an individual Non-U.S. Holder described in</w:t>
      </w:r>
    </w:p>
    <w:p>
      <w:pPr>
        <w:jc w:val="both"/>
        <w:ind w:left="2060" w:right="839" w:hanging="1"/>
        <w:spacing w:after="0" w:line="239" w:lineRule="auto"/>
        <w:tabs>
          <w:tab w:leader="none" w:pos="2233" w:val="left"/>
        </w:tabs>
        <w:numPr>
          <w:ilvl w:val="0"/>
          <w:numId w:val="106"/>
        </w:numPr>
        <w:rPr>
          <w:rFonts w:ascii="Arial" w:cs="Arial" w:eastAsia="Arial" w:hAnsi="Arial"/>
          <w:sz w:val="11"/>
          <w:szCs w:val="11"/>
          <w:color w:val="050505"/>
        </w:rPr>
      </w:pPr>
      <w:r>
        <w:rPr>
          <w:rFonts w:ascii="Arial" w:cs="Arial" w:eastAsia="Arial" w:hAnsi="Arial"/>
          <w:sz w:val="11"/>
          <w:szCs w:val="11"/>
          <w:color w:val="050505"/>
        </w:rPr>
        <w:t>above, you will be required to pay a flat 30% tax on the gain derived from the sale, which gain may be offset by U.S. source capital losses (even though you are not considered a resident of the United States), provided you have timely filed U.S. federal income tax returns with respect to such losses. With respect to (3) above, in general, we would be a United States real property holding corporation if United States real property interests (as defined in the Code and the Treasury Regulations) comprised (by fair market value) at least half of our assets. We believe that we are not, and do not anticipate becoming, a United States real property holding corporation. However, there can be no assurance that we will not become a United States real property holding corporation in the future. Even if we are treated as a United States real property holding corporation, gain realized by a Non-U.S. Holder on a disposition of our Class A common stock will not be subject to U.S. federal income tax so long as (1) the Non-U.S. Holder owned, directly, indirectly, or constructively, no more than five percent of our Class A common stock at all times within the shorter of (i) the five-year period preceding the disposition or (ii) the holder’s holding period and (2) our Class A common stock is regularly traded on an established securities market. There can be no assurance that our Class A common stock will qualify as regularly traded on an established securities market.</w:t>
      </w:r>
    </w:p>
    <w:p>
      <w:pPr>
        <w:spacing w:after="0" w:line="134" w:lineRule="exact"/>
        <w:rPr>
          <w:sz w:val="20"/>
          <w:szCs w:val="20"/>
          <w:color w:val="auto"/>
        </w:rPr>
      </w:pPr>
    </w:p>
    <w:p>
      <w:pPr>
        <w:ind w:left="2060"/>
        <w:spacing w:after="0"/>
        <w:rPr>
          <w:sz w:val="20"/>
          <w:szCs w:val="20"/>
          <w:color w:val="auto"/>
        </w:rPr>
      </w:pPr>
      <w:r>
        <w:rPr>
          <w:rFonts w:ascii="Arial" w:cs="Arial" w:eastAsia="Arial" w:hAnsi="Arial"/>
          <w:sz w:val="11"/>
          <w:szCs w:val="11"/>
          <w:b w:val="1"/>
          <w:bCs w:val="1"/>
          <w:u w:val="single" w:color="auto"/>
          <w:color w:val="auto"/>
        </w:rPr>
        <w:t>U.S. Federal Estate Tax</w:t>
      </w:r>
    </w:p>
    <w:p>
      <w:pPr>
        <w:spacing w:after="0" w:line="12" w:lineRule="exact"/>
        <w:rPr>
          <w:sz w:val="20"/>
          <w:szCs w:val="20"/>
          <w:color w:val="auto"/>
        </w:rPr>
      </w:pPr>
    </w:p>
    <w:p>
      <w:pPr>
        <w:jc w:val="both"/>
        <w:ind w:left="2060" w:right="839"/>
        <w:spacing w:after="0"/>
        <w:rPr>
          <w:sz w:val="20"/>
          <w:szCs w:val="20"/>
          <w:color w:val="auto"/>
        </w:rPr>
      </w:pPr>
      <w:r>
        <w:rPr>
          <w:rFonts w:ascii="Arial" w:cs="Arial" w:eastAsia="Arial" w:hAnsi="Arial"/>
          <w:sz w:val="11"/>
          <w:szCs w:val="11"/>
          <w:color w:val="050505"/>
        </w:rPr>
        <w:t>The estates of nonresident alien individuals generally are subject to U.S. federal estate tax on property with a U.S. situs. Because we are a U.S. corporation, our Class A common stock will be U.S. situs property and, therefore, will be included in the taxable estate of a nonresident alien decedent, unless an applicable estate tax treaty between the United States and the decedent’s country of residence provides otherwise. The terms “resident” and “nonresident” are defined differently for U.S. federal estate tax purposes than for U.S. federal income tax purposes. Investors are urged to consult their own tax advisors regarding the U.S. federal estate tax consequences of the ownership or disposition of our Class A common stock.</w:t>
      </w:r>
    </w:p>
    <w:p>
      <w:pPr>
        <w:spacing w:after="0" w:line="130" w:lineRule="exact"/>
        <w:rPr>
          <w:sz w:val="20"/>
          <w:szCs w:val="20"/>
          <w:color w:val="auto"/>
        </w:rPr>
      </w:pPr>
    </w:p>
    <w:p>
      <w:pPr>
        <w:ind w:left="2060"/>
        <w:spacing w:after="0"/>
        <w:rPr>
          <w:sz w:val="20"/>
          <w:szCs w:val="20"/>
          <w:color w:val="auto"/>
        </w:rPr>
      </w:pPr>
      <w:r>
        <w:rPr>
          <w:rFonts w:ascii="Arial" w:cs="Arial" w:eastAsia="Arial" w:hAnsi="Arial"/>
          <w:sz w:val="11"/>
          <w:szCs w:val="11"/>
          <w:b w:val="1"/>
          <w:bCs w:val="1"/>
          <w:u w:val="single" w:color="auto"/>
          <w:color w:val="auto"/>
        </w:rPr>
        <w:t>Backup Withholding and Information Reporting</w:t>
      </w:r>
    </w:p>
    <w:p>
      <w:pPr>
        <w:spacing w:after="0" w:line="12" w:lineRule="exact"/>
        <w:rPr>
          <w:sz w:val="20"/>
          <w:szCs w:val="20"/>
          <w:color w:val="auto"/>
        </w:rPr>
      </w:pPr>
    </w:p>
    <w:p>
      <w:pPr>
        <w:jc w:val="both"/>
        <w:ind w:left="2060" w:right="839"/>
        <w:spacing w:after="0" w:line="241" w:lineRule="auto"/>
        <w:rPr>
          <w:sz w:val="20"/>
          <w:szCs w:val="20"/>
          <w:color w:val="auto"/>
        </w:rPr>
      </w:pPr>
      <w:r>
        <w:rPr>
          <w:rFonts w:ascii="Arial" w:cs="Arial" w:eastAsia="Arial" w:hAnsi="Arial"/>
          <w:sz w:val="11"/>
          <w:szCs w:val="11"/>
          <w:color w:val="050505"/>
        </w:rPr>
        <w:t>Generally, we or certain financial middlemen must report information to the IRS with respect to any dividends we pay on our Class A common stock, including the amount of any such dividends, the name and address of the recipient, and the amount, if any, of tax withheld. A similar report is sent to the holder to whom any such dividends are paid. Pursuant to tax treaties or certain other agreements, the IRS may make its reports available to tax authorities in the recipient’s country of residence.</w:t>
      </w:r>
    </w:p>
    <w:p>
      <w:pPr>
        <w:spacing w:after="0" w:line="140" w:lineRule="exact"/>
        <w:rPr>
          <w:sz w:val="20"/>
          <w:szCs w:val="20"/>
          <w:color w:val="auto"/>
        </w:rPr>
      </w:pPr>
    </w:p>
    <w:p>
      <w:pPr>
        <w:jc w:val="both"/>
        <w:ind w:left="2060" w:right="839"/>
        <w:spacing w:after="0" w:line="278" w:lineRule="auto"/>
        <w:rPr>
          <w:sz w:val="20"/>
          <w:szCs w:val="20"/>
          <w:color w:val="auto"/>
        </w:rPr>
      </w:pPr>
      <w:r>
        <w:rPr>
          <w:rFonts w:ascii="Arial" w:cs="Arial" w:eastAsia="Arial" w:hAnsi="Arial"/>
          <w:sz w:val="10"/>
          <w:szCs w:val="10"/>
          <w:color w:val="050505"/>
        </w:rPr>
        <w:t>Dividends paid by us (or our paying agents) to a Non-U.S. Holder may also be subject to U.S. backup withholding. U.S. backup withholding generally will not apply to a Non-U.S. Holder who provides a properly executed IRS Form W-8BEN or IRS Form W-8BEN-E, as applicable, or otherwise establishes an exemption, provided that the applicable withholding agent does not have actual knowledge or reason to know the holder is a U.S. person.</w:t>
      </w:r>
    </w:p>
    <w:p>
      <w:pPr>
        <w:spacing w:after="0" w:line="123" w:lineRule="exact"/>
        <w:rPr>
          <w:sz w:val="20"/>
          <w:szCs w:val="20"/>
          <w:color w:val="auto"/>
        </w:rPr>
      </w:pPr>
    </w:p>
    <w:p>
      <w:pPr>
        <w:jc w:val="both"/>
        <w:ind w:left="2060" w:right="839"/>
        <w:spacing w:after="0"/>
        <w:rPr>
          <w:sz w:val="20"/>
          <w:szCs w:val="20"/>
          <w:color w:val="auto"/>
        </w:rPr>
      </w:pPr>
      <w:r>
        <w:rPr>
          <w:rFonts w:ascii="Arial" w:cs="Arial" w:eastAsia="Arial" w:hAnsi="Arial"/>
          <w:sz w:val="11"/>
          <w:szCs w:val="11"/>
          <w:color w:val="050505"/>
        </w:rPr>
        <w:t>Under current U.S. federal income tax law, U.S. information reporting and backup withholding requirements generally will apply to the proceeds of a disposition of our Class A common stock effected by or through a U.S. office of any broker, U.S. or non-U.S., unless the Non-U.S. Holder provides a properly executed IRS Form W-8BEN or IRS Form W-8BEN-E, as applicable, or otherwise meets documentary evidence requirements for establishing non-U.S. person status or otherwise establishes an exemption. Generally, U.S. information reporting and backup withholding requirements will not apply to a payment of disposition proceeds to a Non-U.S. Holder where the transaction is effected outside the United States through a non-U.S. office of a non-U.S. broker. Information reporting and backup withholding requirements may, however, apply to a payment of disposition proceeds if the broker has actual knowledge, or reason to know, that the holder is, in fact, a U.S. person. For information reporting purposes only, certain U.S. related brokers may be treated in a manner similar to U.S. brokers.</w:t>
      </w:r>
    </w:p>
    <w:p>
      <w:pPr>
        <w:spacing w:after="0" w:line="96" w:lineRule="exact"/>
        <w:rPr>
          <w:sz w:val="20"/>
          <w:szCs w:val="20"/>
          <w:color w:val="auto"/>
        </w:rPr>
      </w:pPr>
    </w:p>
    <w:p>
      <w:pPr>
        <w:ind w:left="5640"/>
        <w:spacing w:after="0"/>
        <w:rPr>
          <w:sz w:val="20"/>
          <w:szCs w:val="20"/>
          <w:color w:val="auto"/>
        </w:rPr>
      </w:pPr>
      <w:r>
        <w:rPr>
          <w:rFonts w:ascii="Arial" w:cs="Arial" w:eastAsia="Arial" w:hAnsi="Arial"/>
          <w:sz w:val="11"/>
          <w:szCs w:val="11"/>
          <w:color w:val="050505"/>
        </w:rPr>
        <w:t>147</w:t>
      </w:r>
    </w:p>
    <w:p>
      <w:pPr>
        <w:sectPr>
          <w:pgSz w:w="11900" w:h="16838" w:orient="portrait"/>
          <w:cols w:equalWidth="0" w:num="1">
            <w:col w:w="10239"/>
          </w:cols>
          <w:pgMar w:left="220" w:top="354" w:right="1440" w:bottom="1440" w:gutter="0" w:footer="0" w:header="0"/>
        </w:sectPr>
      </w:pPr>
    </w:p>
    <w:bookmarkStart w:id="157" w:name="page158"/>
    <w:bookmarkEnd w:id="157"/>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hyperlink w:anchor="page5">
        <w:r>
          <w:rPr>
            <w:rFonts w:ascii="Arial" w:cs="Arial" w:eastAsia="Arial" w:hAnsi="Arial"/>
            <w:sz w:val="12"/>
            <w:szCs w:val="12"/>
            <w:b w:val="1"/>
            <w:bCs w:val="1"/>
            <w:u w:val="single" w:color="auto"/>
            <w:color w:val="0000EE"/>
          </w:rPr>
          <w:t>Table of Contents</w:t>
        </w:r>
      </w:hyperlink>
    </w:p>
    <w:p>
      <w:pPr>
        <w:spacing w:after="0" w:line="216" w:lineRule="exact"/>
        <w:rPr>
          <w:sz w:val="20"/>
          <w:szCs w:val="20"/>
          <w:color w:val="auto"/>
        </w:rPr>
      </w:pPr>
    </w:p>
    <w:p>
      <w:pPr>
        <w:jc w:val="both"/>
        <w:ind w:left="2060" w:right="839"/>
        <w:spacing w:after="0" w:line="245" w:lineRule="auto"/>
        <w:rPr>
          <w:sz w:val="20"/>
          <w:szCs w:val="20"/>
          <w:color w:val="auto"/>
        </w:rPr>
      </w:pPr>
      <w:r>
        <w:rPr>
          <w:rFonts w:ascii="Arial" w:cs="Arial" w:eastAsia="Arial" w:hAnsi="Arial"/>
          <w:sz w:val="11"/>
          <w:szCs w:val="11"/>
          <w:color w:val="050505"/>
        </w:rPr>
        <w:t>Backup withholding is not an additional tax. If backup withholding is applied to you, you should consult with your own tax advisor to determine whether you have overpaid your U.S. federal income tax, and whether you are able to obtain a tax refund or credit of the overpaid amount.</w:t>
      </w:r>
    </w:p>
    <w:p>
      <w:pPr>
        <w:spacing w:after="0" w:line="126" w:lineRule="exact"/>
        <w:rPr>
          <w:sz w:val="20"/>
          <w:szCs w:val="20"/>
          <w:color w:val="auto"/>
        </w:rPr>
      </w:pPr>
    </w:p>
    <w:p>
      <w:pPr>
        <w:ind w:left="2060"/>
        <w:spacing w:after="0"/>
        <w:rPr>
          <w:sz w:val="20"/>
          <w:szCs w:val="20"/>
          <w:color w:val="auto"/>
        </w:rPr>
      </w:pPr>
      <w:r>
        <w:rPr>
          <w:rFonts w:ascii="Arial" w:cs="Arial" w:eastAsia="Arial" w:hAnsi="Arial"/>
          <w:sz w:val="11"/>
          <w:szCs w:val="11"/>
          <w:b w:val="1"/>
          <w:bCs w:val="1"/>
          <w:u w:val="single" w:color="auto"/>
          <w:color w:val="auto"/>
        </w:rPr>
        <w:t>Foreign Accounts</w:t>
      </w:r>
    </w:p>
    <w:p>
      <w:pPr>
        <w:spacing w:after="0" w:line="12" w:lineRule="exact"/>
        <w:rPr>
          <w:sz w:val="20"/>
          <w:szCs w:val="20"/>
          <w:color w:val="auto"/>
        </w:rPr>
      </w:pPr>
    </w:p>
    <w:p>
      <w:pPr>
        <w:jc w:val="both"/>
        <w:ind w:left="2060" w:right="839"/>
        <w:spacing w:after="0" w:line="239" w:lineRule="auto"/>
        <w:rPr>
          <w:sz w:val="20"/>
          <w:szCs w:val="20"/>
          <w:color w:val="auto"/>
        </w:rPr>
      </w:pPr>
      <w:r>
        <w:rPr>
          <w:rFonts w:ascii="Arial" w:cs="Arial" w:eastAsia="Arial" w:hAnsi="Arial"/>
          <w:sz w:val="11"/>
          <w:szCs w:val="11"/>
          <w:color w:val="050505"/>
        </w:rPr>
        <w:t>In addition, U.S. federal withholding taxes may apply under the Foreign Account Tax Compliance Act, or FATCA, on certain types of payments, including dividends on our Class A common stock, made to non-U.S. financial institutions and certain other non-U.S. entities. Specifically, a 30% withholding tax may be imposed on dividends on our Class A common stock paid to a “foreign financial institution” or a “non-financial foreign entity” (each as defined in the Code), unless (1) the foreign financial institution agrees to undertake certain diligence and reporting obligations, (2) the non-financial foreign entity either certifies it does not have any “substantial United States owners” (as defined in the Code) or furnishes identifying information regarding each substantial United States owner, or (3) the foreign financial institution or non-financial foreign entity otherwise qualifies for an exemption from these rules. The 30% federal withholding tax described in this paragraph cannot be reduced under an income tax treaty with the United States. If the payee is a foreign financial institution and is subject to the diligence and reporting requirements in (1) above, it must enter into an agreement with the U.S. Department of the Treasury requiring, among other things, that it undertake to identify accounts held by certain “specified United States persons” or “United States-owned foreign entities” (each as defined in the Code), annually report certain information about such accounts, and withhold 30% on certain payments to non-compliant foreign financial institutions and certain other account holders. Foreign financial institutions located in jurisdictions that have an intergovernmental agreement with the United States governing FATCA may be subject to different rules. Under the applicable Treasury Regulations and administrative guidance, withholding under FATCA generally applies to payments of dividends on our common stock, and will apply to payments of gross proceeds from the sale or other disposition of such stock on or after January 1, 2019, although under recently proposed regulations (the preamble to which specifies that taxpayers are permitted to rely on such proposed regulations pending finalization), no withholding would apply with respect to payments of gross proceeds.</w:t>
      </w:r>
    </w:p>
    <w:p>
      <w:pPr>
        <w:spacing w:after="0" w:line="146" w:lineRule="exact"/>
        <w:rPr>
          <w:sz w:val="20"/>
          <w:szCs w:val="20"/>
          <w:color w:val="auto"/>
        </w:rPr>
      </w:pPr>
    </w:p>
    <w:p>
      <w:pPr>
        <w:jc w:val="both"/>
        <w:ind w:left="2060" w:right="839"/>
        <w:spacing w:after="0" w:line="245" w:lineRule="auto"/>
        <w:rPr>
          <w:sz w:val="20"/>
          <w:szCs w:val="20"/>
          <w:color w:val="auto"/>
        </w:rPr>
      </w:pPr>
      <w:r>
        <w:rPr>
          <w:rFonts w:ascii="Arial" w:cs="Arial" w:eastAsia="Arial" w:hAnsi="Arial"/>
          <w:sz w:val="11"/>
          <w:szCs w:val="11"/>
          <w:color w:val="050505"/>
        </w:rPr>
        <w:t>Prospective investors should consult their tax advisors regarding the potential application of withholding under FATCA to their investment in our Class A common stock.</w:t>
      </w:r>
    </w:p>
    <w:p>
      <w:pPr>
        <w:spacing w:after="0" w:line="138" w:lineRule="exact"/>
        <w:rPr>
          <w:sz w:val="20"/>
          <w:szCs w:val="20"/>
          <w:color w:val="auto"/>
        </w:rPr>
      </w:pPr>
    </w:p>
    <w:p>
      <w:pPr>
        <w:jc w:val="both"/>
        <w:ind w:left="2060" w:right="839"/>
        <w:spacing w:after="0" w:line="241" w:lineRule="auto"/>
        <w:rPr>
          <w:sz w:val="20"/>
          <w:szCs w:val="20"/>
          <w:color w:val="auto"/>
        </w:rPr>
      </w:pPr>
      <w:r>
        <w:rPr>
          <w:rFonts w:ascii="Arial" w:cs="Arial" w:eastAsia="Arial" w:hAnsi="Arial"/>
          <w:sz w:val="11"/>
          <w:szCs w:val="11"/>
          <w:color w:val="050505"/>
        </w:rPr>
        <w:t>EACH PROSPECTIVE INVESTOR SHOULD CONSULT ITS OWN TAX ADVISOR REGARDING THE TAX CONSEQUENCES OF PURCHASING, HOLDING, AND DISPOSING OF OUR CLASS A COMMON STOCK, INCLUDING THE CONSEQUENCES OF ANY PROPOSED CHANGE IN APPLICABLE LAW, AS WELL AS TAX CONSEQUENCES ARISING UNDER ANY STATE, LOCAL, NON-U.S. OR U.S. FEDERAL NON-INCOME TAX LAWS SUCH AS ESTATE AND GIFT TAX.</w:t>
      </w:r>
    </w:p>
    <w:p>
      <w:pPr>
        <w:spacing w:after="0" w:line="95" w:lineRule="exact"/>
        <w:rPr>
          <w:sz w:val="20"/>
          <w:szCs w:val="20"/>
          <w:color w:val="auto"/>
        </w:rPr>
      </w:pPr>
    </w:p>
    <w:p>
      <w:pPr>
        <w:ind w:left="5640"/>
        <w:spacing w:after="0"/>
        <w:rPr>
          <w:sz w:val="20"/>
          <w:szCs w:val="20"/>
          <w:color w:val="auto"/>
        </w:rPr>
      </w:pPr>
      <w:r>
        <w:rPr>
          <w:rFonts w:ascii="Arial" w:cs="Arial" w:eastAsia="Arial" w:hAnsi="Arial"/>
          <w:sz w:val="11"/>
          <w:szCs w:val="11"/>
          <w:color w:val="050505"/>
        </w:rPr>
        <w:t>148</w:t>
      </w:r>
    </w:p>
    <w:p>
      <w:pPr>
        <w:sectPr>
          <w:pgSz w:w="11900" w:h="16838" w:orient="portrait"/>
          <w:cols w:equalWidth="0" w:num="1">
            <w:col w:w="10239"/>
          </w:cols>
          <w:pgMar w:left="220" w:top="354" w:right="1440" w:bottom="1440" w:gutter="0" w:footer="0" w:header="0"/>
        </w:sectPr>
      </w:pPr>
    </w:p>
    <w:bookmarkStart w:id="158" w:name="page159"/>
    <w:bookmarkEnd w:id="158"/>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hyperlink w:anchor="page5">
        <w:r>
          <w:rPr>
            <w:rFonts w:ascii="Arial" w:cs="Arial" w:eastAsia="Arial" w:hAnsi="Arial"/>
            <w:sz w:val="12"/>
            <w:szCs w:val="12"/>
            <w:b w:val="1"/>
            <w:bCs w:val="1"/>
            <w:u w:val="single" w:color="auto"/>
            <w:color w:val="0000EE"/>
          </w:rPr>
          <w:t>Table of Contents</w:t>
        </w:r>
      </w:hyperlink>
    </w:p>
    <w:p>
      <w:pPr>
        <w:spacing w:after="0" w:line="200" w:lineRule="exact"/>
        <w:rPr>
          <w:sz w:val="20"/>
          <w:szCs w:val="20"/>
          <w:color w:val="auto"/>
        </w:rPr>
      </w:pPr>
    </w:p>
    <w:p>
      <w:pPr>
        <w:jc w:val="center"/>
        <w:ind w:right="-1220"/>
        <w:spacing w:after="0"/>
        <w:rPr>
          <w:sz w:val="20"/>
          <w:szCs w:val="20"/>
          <w:color w:val="auto"/>
        </w:rPr>
      </w:pPr>
      <w:r>
        <w:rPr>
          <w:rFonts w:ascii="Arial" w:cs="Arial" w:eastAsia="Arial" w:hAnsi="Arial"/>
          <w:sz w:val="12"/>
          <w:szCs w:val="12"/>
          <w:b w:val="1"/>
          <w:bCs w:val="1"/>
          <w:color w:val="auto"/>
        </w:rPr>
        <w:t>UNDERWRITING</w:t>
      </w:r>
    </w:p>
    <w:p>
      <w:pPr>
        <w:spacing w:after="0" w:line="157" w:lineRule="exact"/>
        <w:rPr>
          <w:sz w:val="20"/>
          <w:szCs w:val="20"/>
          <w:color w:val="auto"/>
        </w:rPr>
      </w:pPr>
    </w:p>
    <w:p>
      <w:pPr>
        <w:ind w:left="2060"/>
        <w:spacing w:after="0"/>
        <w:rPr>
          <w:sz w:val="20"/>
          <w:szCs w:val="20"/>
          <w:color w:val="auto"/>
        </w:rPr>
      </w:pPr>
      <w:r>
        <w:rPr>
          <w:rFonts w:ascii="Arial" w:cs="Arial" w:eastAsia="Arial" w:hAnsi="Arial"/>
          <w:sz w:val="10"/>
          <w:szCs w:val="10"/>
          <w:color w:val="050505"/>
        </w:rPr>
        <w:t>We and the underwriters named below have entered into an underwriting agreement with respect to the shares of Class A common stock being offered.</w:t>
      </w:r>
    </w:p>
    <w:p>
      <w:pPr>
        <w:spacing w:after="0" w:line="11" w:lineRule="exact"/>
        <w:rPr>
          <w:sz w:val="20"/>
          <w:szCs w:val="20"/>
          <w:color w:val="auto"/>
        </w:rPr>
      </w:pPr>
    </w:p>
    <w:p>
      <w:pPr>
        <w:ind w:left="2060"/>
        <w:spacing w:after="0"/>
        <w:rPr>
          <w:sz w:val="20"/>
          <w:szCs w:val="20"/>
          <w:color w:val="auto"/>
        </w:rPr>
      </w:pPr>
      <w:r>
        <w:rPr>
          <w:rFonts w:ascii="Arial" w:cs="Arial" w:eastAsia="Arial" w:hAnsi="Arial"/>
          <w:sz w:val="10"/>
          <w:szCs w:val="10"/>
          <w:color w:val="050505"/>
        </w:rPr>
        <w:t>Subject to certain conditions, each underwriter has severally agreed to purchase the number of shares indicated in the following table. Goldman Sachs &amp;</w:t>
      </w:r>
    </w:p>
    <w:p>
      <w:pPr>
        <w:spacing w:after="0" w:line="11" w:lineRule="exact"/>
        <w:rPr>
          <w:sz w:val="20"/>
          <w:szCs w:val="20"/>
          <w:color w:val="auto"/>
        </w:rPr>
      </w:pPr>
    </w:p>
    <w:p>
      <w:pPr>
        <w:ind w:left="2060"/>
        <w:spacing w:after="0"/>
        <w:rPr>
          <w:sz w:val="20"/>
          <w:szCs w:val="20"/>
          <w:color w:val="auto"/>
        </w:rPr>
      </w:pPr>
      <w:r>
        <w:rPr>
          <w:rFonts w:ascii="Arial" w:cs="Arial" w:eastAsia="Arial" w:hAnsi="Arial"/>
          <w:sz w:val="11"/>
          <w:szCs w:val="11"/>
          <w:color w:val="050505"/>
        </w:rPr>
        <w:t>Co. LLC and J.P. Morgan Securities LLC are the representatives of the underwriters.</w:t>
      </w:r>
    </w:p>
    <w:p>
      <w:pPr>
        <w:spacing w:after="0" w:line="149" w:lineRule="exact"/>
        <w:rPr>
          <w:sz w:val="20"/>
          <w:szCs w:val="20"/>
          <w:color w:val="auto"/>
        </w:rPr>
      </w:pPr>
    </w:p>
    <w:tbl>
      <w:tblPr>
        <w:tblLayout w:type="fixed"/>
        <w:tblInd w:w="2060" w:type="dxa"/>
        <w:tblCellMar>
          <w:top w:w="0" w:type="dxa"/>
          <w:left w:w="0" w:type="dxa"/>
          <w:bottom w:w="0" w:type="dxa"/>
          <w:right w:w="0" w:type="dxa"/>
        </w:tblCellMar>
      </w:tblPr>
      <w:tr>
        <w:trPr>
          <w:trHeight w:val="126"/>
        </w:trPr>
        <w:tc>
          <w:tcPr>
            <w:tcW w:w="680" w:type="dxa"/>
            <w:vAlign w:val="bottom"/>
            <w:vMerge w:val="restart"/>
          </w:tcPr>
          <w:p>
            <w:pPr>
              <w:spacing w:after="0"/>
              <w:rPr>
                <w:sz w:val="20"/>
                <w:szCs w:val="20"/>
                <w:color w:val="auto"/>
              </w:rPr>
            </w:pPr>
            <w:r>
              <w:rPr>
                <w:rFonts w:ascii="Arial" w:cs="Arial" w:eastAsia="Arial" w:hAnsi="Arial"/>
                <w:sz w:val="11"/>
                <w:szCs w:val="11"/>
                <w:b w:val="1"/>
                <w:bCs w:val="1"/>
                <w:color w:val="050505"/>
                <w:w w:val="97"/>
              </w:rPr>
              <w:t>Underwriters</w:t>
            </w:r>
          </w:p>
        </w:tc>
        <w:tc>
          <w:tcPr>
            <w:tcW w:w="6000" w:type="dxa"/>
            <w:vAlign w:val="bottom"/>
            <w:vMerge w:val="restart"/>
          </w:tcPr>
          <w:p>
            <w:pPr>
              <w:spacing w:after="0"/>
              <w:rPr>
                <w:sz w:val="10"/>
                <w:szCs w:val="10"/>
                <w:color w:val="auto"/>
              </w:rPr>
            </w:pPr>
          </w:p>
        </w:tc>
        <w:tc>
          <w:tcPr>
            <w:tcW w:w="680" w:type="dxa"/>
            <w:vAlign w:val="bottom"/>
            <w:gridSpan w:val="2"/>
          </w:tcPr>
          <w:p>
            <w:pPr>
              <w:jc w:val="center"/>
              <w:ind w:right="60"/>
              <w:spacing w:after="0"/>
              <w:rPr>
                <w:sz w:val="20"/>
                <w:szCs w:val="20"/>
                <w:color w:val="auto"/>
              </w:rPr>
            </w:pPr>
            <w:r>
              <w:rPr>
                <w:rFonts w:ascii="Arial" w:cs="Arial" w:eastAsia="Arial" w:hAnsi="Arial"/>
                <w:sz w:val="11"/>
                <w:szCs w:val="11"/>
                <w:b w:val="1"/>
                <w:bCs w:val="1"/>
                <w:color w:val="050505"/>
              </w:rPr>
              <w:t>Number</w:t>
            </w:r>
          </w:p>
        </w:tc>
        <w:tc>
          <w:tcPr>
            <w:tcW w:w="0" w:type="dxa"/>
            <w:vAlign w:val="bottom"/>
          </w:tcPr>
          <w:p>
            <w:pPr>
              <w:spacing w:after="0"/>
              <w:rPr>
                <w:sz w:val="1"/>
                <w:szCs w:val="1"/>
                <w:color w:val="auto"/>
              </w:rPr>
            </w:pPr>
          </w:p>
        </w:tc>
      </w:tr>
      <w:tr>
        <w:trPr>
          <w:trHeight w:val="148"/>
        </w:trPr>
        <w:tc>
          <w:tcPr>
            <w:tcW w:w="680" w:type="dxa"/>
            <w:vAlign w:val="bottom"/>
            <w:tcBorders>
              <w:bottom w:val="single" w:sz="8" w:color="auto"/>
            </w:tcBorders>
            <w:vMerge w:val="continue"/>
          </w:tcPr>
          <w:p>
            <w:pPr>
              <w:spacing w:after="0"/>
              <w:rPr>
                <w:sz w:val="12"/>
                <w:szCs w:val="12"/>
                <w:color w:val="auto"/>
              </w:rPr>
            </w:pPr>
          </w:p>
        </w:tc>
        <w:tc>
          <w:tcPr>
            <w:tcW w:w="6000" w:type="dxa"/>
            <w:vAlign w:val="bottom"/>
            <w:vMerge w:val="continue"/>
          </w:tcPr>
          <w:p>
            <w:pPr>
              <w:spacing w:after="0"/>
              <w:rPr>
                <w:sz w:val="12"/>
                <w:szCs w:val="12"/>
                <w:color w:val="auto"/>
              </w:rPr>
            </w:pPr>
          </w:p>
        </w:tc>
        <w:tc>
          <w:tcPr>
            <w:tcW w:w="680" w:type="dxa"/>
            <w:vAlign w:val="bottom"/>
            <w:gridSpan w:val="2"/>
          </w:tcPr>
          <w:p>
            <w:pPr>
              <w:jc w:val="center"/>
              <w:ind w:right="60"/>
              <w:spacing w:after="0"/>
              <w:rPr>
                <w:sz w:val="20"/>
                <w:szCs w:val="20"/>
                <w:color w:val="auto"/>
              </w:rPr>
            </w:pPr>
            <w:r>
              <w:rPr>
                <w:rFonts w:ascii="Arial" w:cs="Arial" w:eastAsia="Arial" w:hAnsi="Arial"/>
                <w:sz w:val="11"/>
                <w:szCs w:val="11"/>
                <w:b w:val="1"/>
                <w:bCs w:val="1"/>
                <w:color w:val="050505"/>
                <w:w w:val="99"/>
              </w:rPr>
              <w:t>of Shares</w:t>
            </w:r>
          </w:p>
        </w:tc>
        <w:tc>
          <w:tcPr>
            <w:tcW w:w="0" w:type="dxa"/>
            <w:vAlign w:val="bottom"/>
          </w:tcPr>
          <w:p>
            <w:pPr>
              <w:spacing w:after="0"/>
              <w:rPr>
                <w:sz w:val="1"/>
                <w:szCs w:val="1"/>
                <w:color w:val="auto"/>
              </w:rPr>
            </w:pPr>
          </w:p>
        </w:tc>
      </w:tr>
      <w:tr>
        <w:trPr>
          <w:trHeight w:val="104"/>
        </w:trPr>
        <w:tc>
          <w:tcPr>
            <w:tcW w:w="6680" w:type="dxa"/>
            <w:vAlign w:val="bottom"/>
            <w:tcBorders>
              <w:top w:val="single" w:sz="8" w:color="CCEEFF"/>
            </w:tcBorders>
            <w:gridSpan w:val="2"/>
            <w:shd w:val="clear" w:color="auto" w:fill="CCEEFF"/>
          </w:tcPr>
          <w:p>
            <w:pPr>
              <w:ind w:left="40"/>
              <w:spacing w:after="0" w:line="104" w:lineRule="exact"/>
              <w:rPr>
                <w:sz w:val="20"/>
                <w:szCs w:val="20"/>
                <w:color w:val="auto"/>
              </w:rPr>
            </w:pPr>
            <w:r>
              <w:rPr>
                <w:rFonts w:ascii="Arial" w:cs="Arial" w:eastAsia="Arial" w:hAnsi="Arial"/>
                <w:sz w:val="11"/>
                <w:szCs w:val="11"/>
                <w:color w:val="050505"/>
              </w:rPr>
              <w:t>Goldman Sachs &amp; Co. LLC</w:t>
            </w:r>
          </w:p>
        </w:tc>
        <w:tc>
          <w:tcPr>
            <w:tcW w:w="620" w:type="dxa"/>
            <w:vAlign w:val="bottom"/>
            <w:tcBorders>
              <w:top w:val="single" w:sz="8" w:color="auto"/>
            </w:tcBorders>
            <w:shd w:val="clear" w:color="auto" w:fill="CCEEFF"/>
          </w:tcPr>
          <w:p>
            <w:pPr>
              <w:jc w:val="right"/>
              <w:spacing w:after="0" w:line="104" w:lineRule="exact"/>
              <w:rPr>
                <w:sz w:val="20"/>
                <w:szCs w:val="20"/>
                <w:color w:val="auto"/>
              </w:rPr>
            </w:pPr>
            <w:r>
              <w:rPr>
                <w:rFonts w:ascii="Arial" w:cs="Arial" w:eastAsia="Arial" w:hAnsi="Arial"/>
                <w:sz w:val="11"/>
                <w:szCs w:val="11"/>
                <w:color w:val="050505"/>
              </w:rPr>
              <w:t>12,158,683</w:t>
            </w:r>
          </w:p>
        </w:tc>
        <w:tc>
          <w:tcPr>
            <w:tcW w:w="60" w:type="dxa"/>
            <w:vAlign w:val="bottom"/>
            <w:tcBorders>
              <w:top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6680" w:type="dxa"/>
            <w:vAlign w:val="bottom"/>
            <w:gridSpan w:val="2"/>
          </w:tcPr>
          <w:p>
            <w:pPr>
              <w:ind w:left="40"/>
              <w:spacing w:after="0"/>
              <w:rPr>
                <w:sz w:val="20"/>
                <w:szCs w:val="20"/>
                <w:color w:val="auto"/>
              </w:rPr>
            </w:pPr>
            <w:r>
              <w:rPr>
                <w:rFonts w:ascii="Arial" w:cs="Arial" w:eastAsia="Arial" w:hAnsi="Arial"/>
                <w:sz w:val="11"/>
                <w:szCs w:val="11"/>
                <w:color w:val="050505"/>
              </w:rPr>
              <w:t>J.P. Morgan Securities LLC</w:t>
            </w:r>
          </w:p>
        </w:tc>
        <w:tc>
          <w:tcPr>
            <w:tcW w:w="620" w:type="dxa"/>
            <w:vAlign w:val="bottom"/>
          </w:tcPr>
          <w:p>
            <w:pPr>
              <w:jc w:val="right"/>
              <w:spacing w:after="0"/>
              <w:rPr>
                <w:sz w:val="20"/>
                <w:szCs w:val="20"/>
                <w:color w:val="auto"/>
              </w:rPr>
            </w:pPr>
            <w:r>
              <w:rPr>
                <w:rFonts w:ascii="Arial" w:cs="Arial" w:eastAsia="Arial" w:hAnsi="Arial"/>
                <w:sz w:val="11"/>
                <w:szCs w:val="11"/>
                <w:color w:val="050505"/>
              </w:rPr>
              <w:t>12,158,683</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6680" w:type="dxa"/>
            <w:vAlign w:val="bottom"/>
            <w:gridSpan w:val="2"/>
            <w:shd w:val="clear" w:color="auto" w:fill="CCEEFF"/>
          </w:tcPr>
          <w:p>
            <w:pPr>
              <w:ind w:left="40"/>
              <w:spacing w:after="0"/>
              <w:rPr>
                <w:sz w:val="20"/>
                <w:szCs w:val="20"/>
                <w:color w:val="auto"/>
              </w:rPr>
            </w:pPr>
            <w:r>
              <w:rPr>
                <w:rFonts w:ascii="Arial" w:cs="Arial" w:eastAsia="Arial" w:hAnsi="Arial"/>
                <w:sz w:val="11"/>
                <w:szCs w:val="11"/>
                <w:color w:val="050505"/>
              </w:rPr>
              <w:t>BofA Securities, Inc.</w:t>
            </w:r>
          </w:p>
        </w:tc>
        <w:tc>
          <w:tcPr>
            <w:tcW w:w="620" w:type="dxa"/>
            <w:vAlign w:val="bottom"/>
            <w:shd w:val="clear" w:color="auto" w:fill="CCEEFF"/>
          </w:tcPr>
          <w:p>
            <w:pPr>
              <w:jc w:val="right"/>
              <w:spacing w:after="0"/>
              <w:rPr>
                <w:sz w:val="20"/>
                <w:szCs w:val="20"/>
                <w:color w:val="auto"/>
              </w:rPr>
            </w:pPr>
            <w:r>
              <w:rPr>
                <w:rFonts w:ascii="Arial" w:cs="Arial" w:eastAsia="Arial" w:hAnsi="Arial"/>
                <w:sz w:val="11"/>
                <w:szCs w:val="11"/>
                <w:color w:val="050505"/>
              </w:rPr>
              <w:t>4,121,588</w:t>
            </w:r>
          </w:p>
        </w:tc>
        <w:tc>
          <w:tcPr>
            <w:tcW w:w="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6680" w:type="dxa"/>
            <w:vAlign w:val="bottom"/>
            <w:gridSpan w:val="2"/>
          </w:tcPr>
          <w:p>
            <w:pPr>
              <w:ind w:left="40"/>
              <w:spacing w:after="0"/>
              <w:rPr>
                <w:sz w:val="20"/>
                <w:szCs w:val="20"/>
                <w:color w:val="auto"/>
              </w:rPr>
            </w:pPr>
            <w:r>
              <w:rPr>
                <w:rFonts w:ascii="Arial" w:cs="Arial" w:eastAsia="Arial" w:hAnsi="Arial"/>
                <w:sz w:val="11"/>
                <w:szCs w:val="11"/>
                <w:color w:val="050505"/>
              </w:rPr>
              <w:t>Barclays Capital Inc.</w:t>
            </w:r>
          </w:p>
        </w:tc>
        <w:tc>
          <w:tcPr>
            <w:tcW w:w="620" w:type="dxa"/>
            <w:vAlign w:val="bottom"/>
          </w:tcPr>
          <w:p>
            <w:pPr>
              <w:jc w:val="right"/>
              <w:spacing w:after="0"/>
              <w:rPr>
                <w:sz w:val="20"/>
                <w:szCs w:val="20"/>
                <w:color w:val="auto"/>
              </w:rPr>
            </w:pPr>
            <w:r>
              <w:rPr>
                <w:rFonts w:ascii="Arial" w:cs="Arial" w:eastAsia="Arial" w:hAnsi="Arial"/>
                <w:sz w:val="11"/>
                <w:szCs w:val="11"/>
                <w:color w:val="050505"/>
              </w:rPr>
              <w:t>4,121,588</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6680" w:type="dxa"/>
            <w:vAlign w:val="bottom"/>
            <w:gridSpan w:val="2"/>
            <w:shd w:val="clear" w:color="auto" w:fill="CCEEFF"/>
          </w:tcPr>
          <w:p>
            <w:pPr>
              <w:ind w:left="40"/>
              <w:spacing w:after="0"/>
              <w:rPr>
                <w:sz w:val="20"/>
                <w:szCs w:val="20"/>
                <w:color w:val="auto"/>
              </w:rPr>
            </w:pPr>
            <w:r>
              <w:rPr>
                <w:rFonts w:ascii="Arial" w:cs="Arial" w:eastAsia="Arial" w:hAnsi="Arial"/>
                <w:sz w:val="11"/>
                <w:szCs w:val="11"/>
                <w:color w:val="050505"/>
              </w:rPr>
              <w:t>UBS Securities LLC</w:t>
            </w:r>
          </w:p>
        </w:tc>
        <w:tc>
          <w:tcPr>
            <w:tcW w:w="620" w:type="dxa"/>
            <w:vAlign w:val="bottom"/>
            <w:shd w:val="clear" w:color="auto" w:fill="CCEEFF"/>
          </w:tcPr>
          <w:p>
            <w:pPr>
              <w:jc w:val="right"/>
              <w:spacing w:after="0"/>
              <w:rPr>
                <w:sz w:val="20"/>
                <w:szCs w:val="20"/>
                <w:color w:val="auto"/>
              </w:rPr>
            </w:pPr>
            <w:r>
              <w:rPr>
                <w:rFonts w:ascii="Arial" w:cs="Arial" w:eastAsia="Arial" w:hAnsi="Arial"/>
                <w:sz w:val="11"/>
                <w:szCs w:val="11"/>
                <w:color w:val="050505"/>
              </w:rPr>
              <w:t>1,030,396</w:t>
            </w:r>
          </w:p>
        </w:tc>
        <w:tc>
          <w:tcPr>
            <w:tcW w:w="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6680" w:type="dxa"/>
            <w:vAlign w:val="bottom"/>
            <w:gridSpan w:val="2"/>
          </w:tcPr>
          <w:p>
            <w:pPr>
              <w:ind w:left="40"/>
              <w:spacing w:after="0"/>
              <w:rPr>
                <w:sz w:val="20"/>
                <w:szCs w:val="20"/>
                <w:color w:val="auto"/>
              </w:rPr>
            </w:pPr>
            <w:r>
              <w:rPr>
                <w:rFonts w:ascii="Arial" w:cs="Arial" w:eastAsia="Arial" w:hAnsi="Arial"/>
                <w:sz w:val="11"/>
                <w:szCs w:val="11"/>
                <w:color w:val="050505"/>
              </w:rPr>
              <w:t>Cowen and Company, LLC</w:t>
            </w:r>
          </w:p>
        </w:tc>
        <w:tc>
          <w:tcPr>
            <w:tcW w:w="620" w:type="dxa"/>
            <w:vAlign w:val="bottom"/>
          </w:tcPr>
          <w:p>
            <w:pPr>
              <w:jc w:val="right"/>
              <w:spacing w:after="0"/>
              <w:rPr>
                <w:sz w:val="20"/>
                <w:szCs w:val="20"/>
                <w:color w:val="auto"/>
              </w:rPr>
            </w:pPr>
            <w:r>
              <w:rPr>
                <w:rFonts w:ascii="Arial" w:cs="Arial" w:eastAsia="Arial" w:hAnsi="Arial"/>
                <w:sz w:val="11"/>
                <w:szCs w:val="11"/>
                <w:color w:val="050505"/>
              </w:rPr>
              <w:t>680,062</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6680" w:type="dxa"/>
            <w:vAlign w:val="bottom"/>
            <w:gridSpan w:val="2"/>
            <w:shd w:val="clear" w:color="auto" w:fill="CCEEFF"/>
          </w:tcPr>
          <w:p>
            <w:pPr>
              <w:ind w:left="40"/>
              <w:spacing w:after="0"/>
              <w:rPr>
                <w:sz w:val="20"/>
                <w:szCs w:val="20"/>
                <w:color w:val="auto"/>
              </w:rPr>
            </w:pPr>
            <w:r>
              <w:rPr>
                <w:rFonts w:ascii="Arial" w:cs="Arial" w:eastAsia="Arial" w:hAnsi="Arial"/>
                <w:sz w:val="11"/>
                <w:szCs w:val="11"/>
                <w:color w:val="050505"/>
              </w:rPr>
              <w:t>Canaccord Genuity LLC</w:t>
            </w:r>
          </w:p>
        </w:tc>
        <w:tc>
          <w:tcPr>
            <w:tcW w:w="620" w:type="dxa"/>
            <w:vAlign w:val="bottom"/>
            <w:shd w:val="clear" w:color="auto" w:fill="CCEEFF"/>
          </w:tcPr>
          <w:p>
            <w:pPr>
              <w:jc w:val="right"/>
              <w:spacing w:after="0"/>
              <w:rPr>
                <w:sz w:val="20"/>
                <w:szCs w:val="20"/>
                <w:color w:val="auto"/>
              </w:rPr>
            </w:pPr>
            <w:r>
              <w:rPr>
                <w:rFonts w:ascii="Arial" w:cs="Arial" w:eastAsia="Arial" w:hAnsi="Arial"/>
                <w:sz w:val="11"/>
                <w:szCs w:val="11"/>
                <w:color w:val="050505"/>
              </w:rPr>
              <w:t>510,000</w:t>
            </w:r>
          </w:p>
        </w:tc>
        <w:tc>
          <w:tcPr>
            <w:tcW w:w="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6680" w:type="dxa"/>
            <w:vAlign w:val="bottom"/>
            <w:gridSpan w:val="2"/>
          </w:tcPr>
          <w:p>
            <w:pPr>
              <w:ind w:left="40"/>
              <w:spacing w:after="0"/>
              <w:rPr>
                <w:sz w:val="20"/>
                <w:szCs w:val="20"/>
                <w:color w:val="auto"/>
              </w:rPr>
            </w:pPr>
            <w:r>
              <w:rPr>
                <w:rFonts w:ascii="Arial" w:cs="Arial" w:eastAsia="Arial" w:hAnsi="Arial"/>
                <w:sz w:val="11"/>
                <w:szCs w:val="11"/>
                <w:color w:val="050505"/>
              </w:rPr>
              <w:t>Evercore Group L.L.C.</w:t>
            </w:r>
          </w:p>
        </w:tc>
        <w:tc>
          <w:tcPr>
            <w:tcW w:w="620" w:type="dxa"/>
            <w:vAlign w:val="bottom"/>
          </w:tcPr>
          <w:p>
            <w:pPr>
              <w:jc w:val="right"/>
              <w:spacing w:after="0"/>
              <w:rPr>
                <w:sz w:val="20"/>
                <w:szCs w:val="20"/>
                <w:color w:val="auto"/>
              </w:rPr>
            </w:pPr>
            <w:r>
              <w:rPr>
                <w:rFonts w:ascii="Arial" w:cs="Arial" w:eastAsia="Arial" w:hAnsi="Arial"/>
                <w:sz w:val="11"/>
                <w:szCs w:val="11"/>
                <w:color w:val="050505"/>
              </w:rPr>
              <w:t>510,000</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6680" w:type="dxa"/>
            <w:vAlign w:val="bottom"/>
            <w:gridSpan w:val="2"/>
            <w:shd w:val="clear" w:color="auto" w:fill="CCEEFF"/>
          </w:tcPr>
          <w:p>
            <w:pPr>
              <w:ind w:left="40"/>
              <w:spacing w:after="0"/>
              <w:rPr>
                <w:sz w:val="20"/>
                <w:szCs w:val="20"/>
                <w:color w:val="auto"/>
              </w:rPr>
            </w:pPr>
            <w:r>
              <w:rPr>
                <w:rFonts w:ascii="Arial" w:cs="Arial" w:eastAsia="Arial" w:hAnsi="Arial"/>
                <w:sz w:val="11"/>
                <w:szCs w:val="11"/>
                <w:color w:val="050505"/>
              </w:rPr>
              <w:t>JMP Securities LLC</w:t>
            </w:r>
          </w:p>
        </w:tc>
        <w:tc>
          <w:tcPr>
            <w:tcW w:w="620" w:type="dxa"/>
            <w:vAlign w:val="bottom"/>
            <w:shd w:val="clear" w:color="auto" w:fill="CCEEFF"/>
          </w:tcPr>
          <w:p>
            <w:pPr>
              <w:jc w:val="right"/>
              <w:spacing w:after="0"/>
              <w:rPr>
                <w:sz w:val="20"/>
                <w:szCs w:val="20"/>
                <w:color w:val="auto"/>
              </w:rPr>
            </w:pPr>
            <w:r>
              <w:rPr>
                <w:rFonts w:ascii="Arial" w:cs="Arial" w:eastAsia="Arial" w:hAnsi="Arial"/>
                <w:sz w:val="11"/>
                <w:szCs w:val="11"/>
                <w:color w:val="050505"/>
              </w:rPr>
              <w:t>510,000</w:t>
            </w:r>
          </w:p>
        </w:tc>
        <w:tc>
          <w:tcPr>
            <w:tcW w:w="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6680" w:type="dxa"/>
            <w:vAlign w:val="bottom"/>
            <w:gridSpan w:val="2"/>
          </w:tcPr>
          <w:p>
            <w:pPr>
              <w:ind w:left="40"/>
              <w:spacing w:after="0"/>
              <w:rPr>
                <w:sz w:val="20"/>
                <w:szCs w:val="20"/>
                <w:color w:val="auto"/>
              </w:rPr>
            </w:pPr>
            <w:r>
              <w:rPr>
                <w:rFonts w:ascii="Arial" w:cs="Arial" w:eastAsia="Arial" w:hAnsi="Arial"/>
                <w:sz w:val="11"/>
                <w:szCs w:val="11"/>
                <w:color w:val="050505"/>
              </w:rPr>
              <w:t>KeyBanc Capital Markets Inc.</w:t>
            </w:r>
          </w:p>
        </w:tc>
        <w:tc>
          <w:tcPr>
            <w:tcW w:w="620" w:type="dxa"/>
            <w:vAlign w:val="bottom"/>
          </w:tcPr>
          <w:p>
            <w:pPr>
              <w:jc w:val="right"/>
              <w:spacing w:after="0"/>
              <w:rPr>
                <w:sz w:val="20"/>
                <w:szCs w:val="20"/>
                <w:color w:val="auto"/>
              </w:rPr>
            </w:pPr>
            <w:r>
              <w:rPr>
                <w:rFonts w:ascii="Arial" w:cs="Arial" w:eastAsia="Arial" w:hAnsi="Arial"/>
                <w:sz w:val="11"/>
                <w:szCs w:val="11"/>
                <w:color w:val="050505"/>
              </w:rPr>
              <w:t>510,000</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6680" w:type="dxa"/>
            <w:vAlign w:val="bottom"/>
            <w:gridSpan w:val="2"/>
            <w:shd w:val="clear" w:color="auto" w:fill="CCEEFF"/>
          </w:tcPr>
          <w:p>
            <w:pPr>
              <w:ind w:left="40"/>
              <w:spacing w:after="0"/>
              <w:rPr>
                <w:sz w:val="20"/>
                <w:szCs w:val="20"/>
                <w:color w:val="auto"/>
              </w:rPr>
            </w:pPr>
            <w:r>
              <w:rPr>
                <w:rFonts w:ascii="Arial" w:cs="Arial" w:eastAsia="Arial" w:hAnsi="Arial"/>
                <w:sz w:val="11"/>
                <w:szCs w:val="11"/>
                <w:color w:val="050505"/>
              </w:rPr>
              <w:t>Needham &amp; Company, LLC</w:t>
            </w:r>
          </w:p>
        </w:tc>
        <w:tc>
          <w:tcPr>
            <w:tcW w:w="620" w:type="dxa"/>
            <w:vAlign w:val="bottom"/>
            <w:shd w:val="clear" w:color="auto" w:fill="CCEEFF"/>
          </w:tcPr>
          <w:p>
            <w:pPr>
              <w:jc w:val="right"/>
              <w:spacing w:after="0"/>
              <w:rPr>
                <w:sz w:val="20"/>
                <w:szCs w:val="20"/>
                <w:color w:val="auto"/>
              </w:rPr>
            </w:pPr>
            <w:r>
              <w:rPr>
                <w:rFonts w:ascii="Arial" w:cs="Arial" w:eastAsia="Arial" w:hAnsi="Arial"/>
                <w:sz w:val="11"/>
                <w:szCs w:val="11"/>
                <w:color w:val="050505"/>
              </w:rPr>
              <w:t>510,000</w:t>
            </w:r>
          </w:p>
        </w:tc>
        <w:tc>
          <w:tcPr>
            <w:tcW w:w="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6680" w:type="dxa"/>
            <w:vAlign w:val="bottom"/>
            <w:gridSpan w:val="2"/>
          </w:tcPr>
          <w:p>
            <w:pPr>
              <w:ind w:left="40"/>
              <w:spacing w:after="0"/>
              <w:rPr>
                <w:sz w:val="20"/>
                <w:szCs w:val="20"/>
                <w:color w:val="auto"/>
              </w:rPr>
            </w:pPr>
            <w:r>
              <w:rPr>
                <w:rFonts w:ascii="Arial" w:cs="Arial" w:eastAsia="Arial" w:hAnsi="Arial"/>
                <w:sz w:val="11"/>
                <w:szCs w:val="11"/>
                <w:color w:val="050505"/>
              </w:rPr>
              <w:t>Oppenheimer &amp; Co. Inc.</w:t>
            </w:r>
          </w:p>
        </w:tc>
        <w:tc>
          <w:tcPr>
            <w:tcW w:w="620" w:type="dxa"/>
            <w:vAlign w:val="bottom"/>
          </w:tcPr>
          <w:p>
            <w:pPr>
              <w:jc w:val="right"/>
              <w:spacing w:after="0"/>
              <w:rPr>
                <w:sz w:val="20"/>
                <w:szCs w:val="20"/>
                <w:color w:val="auto"/>
              </w:rPr>
            </w:pPr>
            <w:r>
              <w:rPr>
                <w:rFonts w:ascii="Arial" w:cs="Arial" w:eastAsia="Arial" w:hAnsi="Arial"/>
                <w:sz w:val="11"/>
                <w:szCs w:val="11"/>
                <w:color w:val="050505"/>
              </w:rPr>
              <w:t>510,000</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6680" w:type="dxa"/>
            <w:vAlign w:val="bottom"/>
            <w:gridSpan w:val="2"/>
            <w:shd w:val="clear" w:color="auto" w:fill="CCEEFF"/>
          </w:tcPr>
          <w:p>
            <w:pPr>
              <w:ind w:left="40"/>
              <w:spacing w:after="0"/>
              <w:rPr>
                <w:sz w:val="20"/>
                <w:szCs w:val="20"/>
                <w:color w:val="auto"/>
              </w:rPr>
            </w:pPr>
            <w:r>
              <w:rPr>
                <w:rFonts w:ascii="Arial" w:cs="Arial" w:eastAsia="Arial" w:hAnsi="Arial"/>
                <w:sz w:val="11"/>
                <w:szCs w:val="11"/>
                <w:color w:val="050505"/>
              </w:rPr>
              <w:t>Raymond James &amp; Associates, Inc.</w:t>
            </w:r>
          </w:p>
        </w:tc>
        <w:tc>
          <w:tcPr>
            <w:tcW w:w="620" w:type="dxa"/>
            <w:vAlign w:val="bottom"/>
            <w:shd w:val="clear" w:color="auto" w:fill="CCEEFF"/>
          </w:tcPr>
          <w:p>
            <w:pPr>
              <w:jc w:val="right"/>
              <w:spacing w:after="0"/>
              <w:rPr>
                <w:sz w:val="20"/>
                <w:szCs w:val="20"/>
                <w:color w:val="auto"/>
              </w:rPr>
            </w:pPr>
            <w:r>
              <w:rPr>
                <w:rFonts w:ascii="Arial" w:cs="Arial" w:eastAsia="Arial" w:hAnsi="Arial"/>
                <w:sz w:val="11"/>
                <w:szCs w:val="11"/>
                <w:color w:val="050505"/>
              </w:rPr>
              <w:t>510,000</w:t>
            </w:r>
          </w:p>
        </w:tc>
        <w:tc>
          <w:tcPr>
            <w:tcW w:w="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6680" w:type="dxa"/>
            <w:vAlign w:val="bottom"/>
            <w:gridSpan w:val="2"/>
          </w:tcPr>
          <w:p>
            <w:pPr>
              <w:ind w:left="40"/>
              <w:spacing w:after="0"/>
              <w:rPr>
                <w:sz w:val="20"/>
                <w:szCs w:val="20"/>
                <w:color w:val="auto"/>
              </w:rPr>
            </w:pPr>
            <w:r>
              <w:rPr>
                <w:rFonts w:ascii="Arial" w:cs="Arial" w:eastAsia="Arial" w:hAnsi="Arial"/>
                <w:sz w:val="11"/>
                <w:szCs w:val="11"/>
                <w:color w:val="050505"/>
              </w:rPr>
              <w:t>Stifel, Nicolaus &amp; Company, Incorporated</w:t>
            </w:r>
          </w:p>
        </w:tc>
        <w:tc>
          <w:tcPr>
            <w:tcW w:w="620" w:type="dxa"/>
            <w:vAlign w:val="bottom"/>
          </w:tcPr>
          <w:p>
            <w:pPr>
              <w:jc w:val="right"/>
              <w:spacing w:after="0"/>
              <w:rPr>
                <w:sz w:val="20"/>
                <w:szCs w:val="20"/>
                <w:color w:val="auto"/>
              </w:rPr>
            </w:pPr>
            <w:r>
              <w:rPr>
                <w:rFonts w:ascii="Arial" w:cs="Arial" w:eastAsia="Arial" w:hAnsi="Arial"/>
                <w:sz w:val="11"/>
                <w:szCs w:val="11"/>
                <w:color w:val="050505"/>
              </w:rPr>
              <w:t>510,000</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6680" w:type="dxa"/>
            <w:vAlign w:val="bottom"/>
            <w:gridSpan w:val="2"/>
            <w:shd w:val="clear" w:color="auto" w:fill="CCEEFF"/>
          </w:tcPr>
          <w:p>
            <w:pPr>
              <w:ind w:left="40"/>
              <w:spacing w:after="0"/>
              <w:rPr>
                <w:sz w:val="20"/>
                <w:szCs w:val="20"/>
                <w:color w:val="auto"/>
              </w:rPr>
            </w:pPr>
            <w:r>
              <w:rPr>
                <w:rFonts w:ascii="Arial" w:cs="Arial" w:eastAsia="Arial" w:hAnsi="Arial"/>
                <w:sz w:val="11"/>
                <w:szCs w:val="11"/>
                <w:color w:val="050505"/>
              </w:rPr>
              <w:t>SunTrust Robinson Humphrey, Inc.</w:t>
            </w:r>
          </w:p>
        </w:tc>
        <w:tc>
          <w:tcPr>
            <w:tcW w:w="620" w:type="dxa"/>
            <w:vAlign w:val="bottom"/>
            <w:shd w:val="clear" w:color="auto" w:fill="CCEEFF"/>
          </w:tcPr>
          <w:p>
            <w:pPr>
              <w:jc w:val="right"/>
              <w:spacing w:after="0"/>
              <w:rPr>
                <w:sz w:val="20"/>
                <w:szCs w:val="20"/>
                <w:color w:val="auto"/>
              </w:rPr>
            </w:pPr>
            <w:r>
              <w:rPr>
                <w:rFonts w:ascii="Arial" w:cs="Arial" w:eastAsia="Arial" w:hAnsi="Arial"/>
                <w:sz w:val="11"/>
                <w:szCs w:val="11"/>
                <w:color w:val="050505"/>
              </w:rPr>
              <w:t>510,000</w:t>
            </w:r>
          </w:p>
        </w:tc>
        <w:tc>
          <w:tcPr>
            <w:tcW w:w="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6680" w:type="dxa"/>
            <w:vAlign w:val="bottom"/>
            <w:gridSpan w:val="2"/>
          </w:tcPr>
          <w:p>
            <w:pPr>
              <w:ind w:left="40"/>
              <w:spacing w:after="0"/>
              <w:rPr>
                <w:sz w:val="20"/>
                <w:szCs w:val="20"/>
                <w:color w:val="auto"/>
              </w:rPr>
            </w:pPr>
            <w:r>
              <w:rPr>
                <w:rFonts w:ascii="Arial" w:cs="Arial" w:eastAsia="Arial" w:hAnsi="Arial"/>
                <w:sz w:val="11"/>
                <w:szCs w:val="11"/>
                <w:color w:val="050505"/>
              </w:rPr>
              <w:t>William Blair &amp; Company, L.L.C.</w:t>
            </w:r>
          </w:p>
        </w:tc>
        <w:tc>
          <w:tcPr>
            <w:tcW w:w="620" w:type="dxa"/>
            <w:vAlign w:val="bottom"/>
          </w:tcPr>
          <w:p>
            <w:pPr>
              <w:jc w:val="right"/>
              <w:spacing w:after="0"/>
              <w:rPr>
                <w:sz w:val="20"/>
                <w:szCs w:val="20"/>
                <w:color w:val="auto"/>
              </w:rPr>
            </w:pPr>
            <w:r>
              <w:rPr>
                <w:rFonts w:ascii="Arial" w:cs="Arial" w:eastAsia="Arial" w:hAnsi="Arial"/>
                <w:sz w:val="11"/>
                <w:szCs w:val="11"/>
                <w:color w:val="050505"/>
              </w:rPr>
              <w:t>510,000</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6680" w:type="dxa"/>
            <w:vAlign w:val="bottom"/>
            <w:gridSpan w:val="2"/>
            <w:shd w:val="clear" w:color="auto" w:fill="CCEEFF"/>
          </w:tcPr>
          <w:p>
            <w:pPr>
              <w:ind w:left="40"/>
              <w:spacing w:after="0"/>
              <w:rPr>
                <w:sz w:val="20"/>
                <w:szCs w:val="20"/>
                <w:color w:val="auto"/>
              </w:rPr>
            </w:pPr>
            <w:r>
              <w:rPr>
                <w:rFonts w:ascii="Arial" w:cs="Arial" w:eastAsia="Arial" w:hAnsi="Arial"/>
                <w:sz w:val="11"/>
                <w:szCs w:val="11"/>
                <w:color w:val="050505"/>
              </w:rPr>
              <w:t>Telsey Advisory Group LLC</w:t>
            </w:r>
          </w:p>
        </w:tc>
        <w:tc>
          <w:tcPr>
            <w:tcW w:w="620" w:type="dxa"/>
            <w:vAlign w:val="bottom"/>
            <w:shd w:val="clear" w:color="auto" w:fill="CCEEFF"/>
          </w:tcPr>
          <w:p>
            <w:pPr>
              <w:jc w:val="right"/>
              <w:spacing w:after="0"/>
              <w:rPr>
                <w:sz w:val="20"/>
                <w:szCs w:val="20"/>
                <w:color w:val="auto"/>
              </w:rPr>
            </w:pPr>
            <w:r>
              <w:rPr>
                <w:rFonts w:ascii="Arial" w:cs="Arial" w:eastAsia="Arial" w:hAnsi="Arial"/>
                <w:sz w:val="11"/>
                <w:szCs w:val="11"/>
                <w:color w:val="050505"/>
              </w:rPr>
              <w:t>255,000</w:t>
            </w:r>
          </w:p>
        </w:tc>
        <w:tc>
          <w:tcPr>
            <w:tcW w:w="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6680" w:type="dxa"/>
            <w:vAlign w:val="bottom"/>
            <w:gridSpan w:val="2"/>
          </w:tcPr>
          <w:p>
            <w:pPr>
              <w:ind w:left="40"/>
              <w:spacing w:after="0"/>
              <w:rPr>
                <w:sz w:val="20"/>
                <w:szCs w:val="20"/>
                <w:color w:val="auto"/>
              </w:rPr>
            </w:pPr>
            <w:r>
              <w:rPr>
                <w:rFonts w:ascii="Arial" w:cs="Arial" w:eastAsia="Arial" w:hAnsi="Arial"/>
                <w:sz w:val="11"/>
                <w:szCs w:val="11"/>
                <w:color w:val="050505"/>
              </w:rPr>
              <w:t>Academy Securities, Inc.</w:t>
            </w:r>
          </w:p>
        </w:tc>
        <w:tc>
          <w:tcPr>
            <w:tcW w:w="620" w:type="dxa"/>
            <w:vAlign w:val="bottom"/>
          </w:tcPr>
          <w:p>
            <w:pPr>
              <w:jc w:val="right"/>
              <w:spacing w:after="0"/>
              <w:rPr>
                <w:sz w:val="20"/>
                <w:szCs w:val="20"/>
                <w:color w:val="auto"/>
              </w:rPr>
            </w:pPr>
            <w:r>
              <w:rPr>
                <w:rFonts w:ascii="Arial" w:cs="Arial" w:eastAsia="Arial" w:hAnsi="Arial"/>
                <w:sz w:val="11"/>
                <w:szCs w:val="11"/>
                <w:color w:val="050505"/>
              </w:rPr>
              <w:t>93,500</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6680" w:type="dxa"/>
            <w:vAlign w:val="bottom"/>
            <w:gridSpan w:val="2"/>
            <w:shd w:val="clear" w:color="auto" w:fill="CCEEFF"/>
          </w:tcPr>
          <w:p>
            <w:pPr>
              <w:ind w:left="40"/>
              <w:spacing w:after="0"/>
              <w:rPr>
                <w:sz w:val="20"/>
                <w:szCs w:val="20"/>
                <w:color w:val="auto"/>
              </w:rPr>
            </w:pPr>
            <w:r>
              <w:rPr>
                <w:rFonts w:ascii="Arial" w:cs="Arial" w:eastAsia="Arial" w:hAnsi="Arial"/>
                <w:sz w:val="11"/>
                <w:szCs w:val="11"/>
                <w:color w:val="050505"/>
              </w:rPr>
              <w:t>Siebert Cisneros Shank &amp; Co., LLC</w:t>
            </w:r>
          </w:p>
        </w:tc>
        <w:tc>
          <w:tcPr>
            <w:tcW w:w="620" w:type="dxa"/>
            <w:vAlign w:val="bottom"/>
            <w:shd w:val="clear" w:color="auto" w:fill="CCEEFF"/>
          </w:tcPr>
          <w:p>
            <w:pPr>
              <w:jc w:val="right"/>
              <w:spacing w:after="0"/>
              <w:rPr>
                <w:sz w:val="20"/>
                <w:szCs w:val="20"/>
                <w:color w:val="auto"/>
              </w:rPr>
            </w:pPr>
            <w:r>
              <w:rPr>
                <w:rFonts w:ascii="Arial" w:cs="Arial" w:eastAsia="Arial" w:hAnsi="Arial"/>
                <w:sz w:val="11"/>
                <w:szCs w:val="11"/>
                <w:color w:val="050505"/>
              </w:rPr>
              <w:t>93,500</w:t>
            </w:r>
          </w:p>
        </w:tc>
        <w:tc>
          <w:tcPr>
            <w:tcW w:w="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6680" w:type="dxa"/>
            <w:vAlign w:val="bottom"/>
            <w:gridSpan w:val="2"/>
          </w:tcPr>
          <w:p>
            <w:pPr>
              <w:ind w:left="40"/>
              <w:spacing w:after="0"/>
              <w:rPr>
                <w:sz w:val="20"/>
                <w:szCs w:val="20"/>
                <w:color w:val="auto"/>
              </w:rPr>
            </w:pPr>
            <w:r>
              <w:rPr>
                <w:rFonts w:ascii="Arial" w:cs="Arial" w:eastAsia="Arial" w:hAnsi="Arial"/>
                <w:sz w:val="11"/>
                <w:szCs w:val="11"/>
                <w:color w:val="050505"/>
              </w:rPr>
              <w:t>R. Seelaus &amp; Co., LLC</w:t>
            </w:r>
          </w:p>
        </w:tc>
        <w:tc>
          <w:tcPr>
            <w:tcW w:w="620" w:type="dxa"/>
            <w:vAlign w:val="bottom"/>
          </w:tcPr>
          <w:p>
            <w:pPr>
              <w:jc w:val="right"/>
              <w:spacing w:after="0"/>
              <w:rPr>
                <w:sz w:val="20"/>
                <w:szCs w:val="20"/>
                <w:color w:val="auto"/>
              </w:rPr>
            </w:pPr>
            <w:r>
              <w:rPr>
                <w:rFonts w:ascii="Arial" w:cs="Arial" w:eastAsia="Arial" w:hAnsi="Arial"/>
                <w:sz w:val="11"/>
                <w:szCs w:val="11"/>
                <w:color w:val="050505"/>
              </w:rPr>
              <w:t>93,500</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6680" w:type="dxa"/>
            <w:vAlign w:val="bottom"/>
            <w:gridSpan w:val="2"/>
            <w:shd w:val="clear" w:color="auto" w:fill="CCEEFF"/>
          </w:tcPr>
          <w:p>
            <w:pPr>
              <w:ind w:left="40"/>
              <w:spacing w:after="0"/>
              <w:rPr>
                <w:sz w:val="20"/>
                <w:szCs w:val="20"/>
                <w:color w:val="auto"/>
              </w:rPr>
            </w:pPr>
            <w:r>
              <w:rPr>
                <w:rFonts w:ascii="Arial" w:cs="Arial" w:eastAsia="Arial" w:hAnsi="Arial"/>
                <w:sz w:val="11"/>
                <w:szCs w:val="11"/>
                <w:color w:val="050505"/>
              </w:rPr>
              <w:t>The Williams Capital Group, LP</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050505"/>
              </w:rPr>
              <w:t>93,500</w:t>
            </w:r>
          </w:p>
        </w:tc>
        <w:tc>
          <w:tcPr>
            <w:tcW w:w="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6680" w:type="dxa"/>
            <w:vAlign w:val="bottom"/>
            <w:gridSpan w:val="2"/>
          </w:tcPr>
          <w:p>
            <w:pPr>
              <w:ind w:left="40"/>
              <w:spacing w:after="0" w:line="124" w:lineRule="exact"/>
              <w:rPr>
                <w:sz w:val="20"/>
                <w:szCs w:val="20"/>
                <w:color w:val="auto"/>
              </w:rPr>
            </w:pPr>
            <w:r>
              <w:rPr>
                <w:rFonts w:ascii="Arial" w:cs="Arial" w:eastAsia="Arial" w:hAnsi="Arial"/>
                <w:sz w:val="11"/>
                <w:szCs w:val="11"/>
                <w:color w:val="050505"/>
              </w:rPr>
              <w:t>Total</w:t>
            </w:r>
          </w:p>
        </w:tc>
        <w:tc>
          <w:tcPr>
            <w:tcW w:w="620" w:type="dxa"/>
            <w:vAlign w:val="bottom"/>
            <w:tcBorders>
              <w:bottom w:val="single" w:sz="8" w:color="auto"/>
            </w:tcBorders>
          </w:tcPr>
          <w:p>
            <w:pPr>
              <w:jc w:val="right"/>
              <w:spacing w:after="0" w:line="124" w:lineRule="exact"/>
              <w:rPr>
                <w:sz w:val="20"/>
                <w:szCs w:val="20"/>
                <w:color w:val="auto"/>
              </w:rPr>
            </w:pPr>
            <w:r>
              <w:rPr>
                <w:rFonts w:ascii="Arial" w:cs="Arial" w:eastAsia="Arial" w:hAnsi="Arial"/>
                <w:sz w:val="11"/>
                <w:szCs w:val="11"/>
                <w:color w:val="050505"/>
              </w:rPr>
              <w:t>40,000,000</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10" w:lineRule="exact"/>
        <w:rPr>
          <w:sz w:val="20"/>
          <w:szCs w:val="20"/>
          <w:color w:val="auto"/>
        </w:rPr>
      </w:pPr>
    </w:p>
    <w:p>
      <w:pPr>
        <w:jc w:val="both"/>
        <w:ind w:left="2060" w:right="839"/>
        <w:spacing w:after="0" w:line="245" w:lineRule="auto"/>
        <w:rPr>
          <w:sz w:val="20"/>
          <w:szCs w:val="20"/>
          <w:color w:val="auto"/>
        </w:rPr>
      </w:pPr>
      <w:r>
        <w:rPr>
          <w:rFonts w:ascii="Arial" w:cs="Arial" w:eastAsia="Arial" w:hAnsi="Arial"/>
          <w:sz w:val="11"/>
          <w:szCs w:val="11"/>
          <w:color w:val="050505"/>
        </w:rPr>
        <w:t>The underwriters are committed to take and pay for all of the shares being offered, if any are taken, other than the shares covered by the option described below unless and until this option is exercised.</w:t>
      </w:r>
    </w:p>
    <w:p>
      <w:pPr>
        <w:spacing w:after="0" w:line="138" w:lineRule="exact"/>
        <w:rPr>
          <w:sz w:val="20"/>
          <w:szCs w:val="20"/>
          <w:color w:val="auto"/>
        </w:rPr>
      </w:pPr>
    </w:p>
    <w:p>
      <w:pPr>
        <w:jc w:val="both"/>
        <w:ind w:left="2060" w:right="839"/>
        <w:spacing w:after="0" w:line="278" w:lineRule="auto"/>
        <w:rPr>
          <w:sz w:val="20"/>
          <w:szCs w:val="20"/>
          <w:color w:val="auto"/>
        </w:rPr>
      </w:pPr>
      <w:r>
        <w:rPr>
          <w:rFonts w:ascii="Arial" w:cs="Arial" w:eastAsia="Arial" w:hAnsi="Arial"/>
          <w:sz w:val="10"/>
          <w:szCs w:val="10"/>
          <w:color w:val="050505"/>
        </w:rPr>
        <w:t>The underwriters have an option to buy up to an additional 6,000,000 shares of Class A common stock in this offering to cover sales by the underwriters of a greater number of shares than the total number set forth in the table above. They may exercise that option for 30 days. If any shares are purchased pursuant to this option, the underwriters will severally purchase shares in approximately the same proportion as set forth in the table above.</w:t>
      </w:r>
    </w:p>
    <w:p>
      <w:pPr>
        <w:spacing w:after="0" w:line="123" w:lineRule="exact"/>
        <w:rPr>
          <w:sz w:val="20"/>
          <w:szCs w:val="20"/>
          <w:color w:val="auto"/>
        </w:rPr>
      </w:pPr>
    </w:p>
    <w:p>
      <w:pPr>
        <w:jc w:val="both"/>
        <w:ind w:left="2060" w:right="839"/>
        <w:spacing w:after="0" w:line="241" w:lineRule="auto"/>
        <w:rPr>
          <w:sz w:val="20"/>
          <w:szCs w:val="20"/>
          <w:color w:val="auto"/>
        </w:rPr>
      </w:pPr>
      <w:r>
        <w:rPr>
          <w:rFonts w:ascii="Arial" w:cs="Arial" w:eastAsia="Arial" w:hAnsi="Arial"/>
          <w:sz w:val="11"/>
          <w:szCs w:val="11"/>
          <w:color w:val="050505"/>
        </w:rPr>
        <w:t>Karen Boone and Howard Draft, two of our directors, have expressed an interest in purchasing $500,000 and $2.0 million in shares of Class A common stock, respectively, in this offering (equal to 17,241 shares and 68,965 shares, respectively, based upon the initial public offering price of $29.00). At our request, the underwriters have reserved such shares for sale to Ms. Boone and Mr. Draft. All such shares will be purchased at the initial public offering price and on the same terms as the other purchasers in this offering.</w:t>
      </w:r>
    </w:p>
    <w:p>
      <w:pPr>
        <w:spacing w:after="0" w:line="95" w:lineRule="exact"/>
        <w:rPr>
          <w:sz w:val="20"/>
          <w:szCs w:val="20"/>
          <w:color w:val="auto"/>
        </w:rPr>
      </w:pPr>
    </w:p>
    <w:p>
      <w:pPr>
        <w:ind w:left="5640"/>
        <w:spacing w:after="0"/>
        <w:rPr>
          <w:sz w:val="20"/>
          <w:szCs w:val="20"/>
          <w:color w:val="auto"/>
        </w:rPr>
      </w:pPr>
      <w:r>
        <w:rPr>
          <w:rFonts w:ascii="Arial" w:cs="Arial" w:eastAsia="Arial" w:hAnsi="Arial"/>
          <w:sz w:val="11"/>
          <w:szCs w:val="11"/>
          <w:color w:val="050505"/>
        </w:rPr>
        <w:t>149</w:t>
      </w:r>
    </w:p>
    <w:p>
      <w:pPr>
        <w:sectPr>
          <w:pgSz w:w="11900" w:h="16838" w:orient="portrait"/>
          <w:cols w:equalWidth="0" w:num="1">
            <w:col w:w="10239"/>
          </w:cols>
          <w:pgMar w:left="220" w:top="354" w:right="1440" w:bottom="1440" w:gutter="0" w:footer="0" w:header="0"/>
        </w:sectPr>
      </w:pPr>
    </w:p>
    <w:bookmarkStart w:id="159" w:name="page160"/>
    <w:bookmarkEnd w:id="159"/>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hyperlink w:anchor="page5">
        <w:r>
          <w:rPr>
            <w:rFonts w:ascii="Arial" w:cs="Arial" w:eastAsia="Arial" w:hAnsi="Arial"/>
            <w:sz w:val="12"/>
            <w:szCs w:val="12"/>
            <w:b w:val="1"/>
            <w:bCs w:val="1"/>
            <w:u w:val="single" w:color="auto"/>
            <w:color w:val="0000EE"/>
          </w:rPr>
          <w:t>Table of Contents</w:t>
        </w:r>
      </w:hyperlink>
    </w:p>
    <w:p>
      <w:pPr>
        <w:spacing w:after="0" w:line="216" w:lineRule="exact"/>
        <w:rPr>
          <w:sz w:val="20"/>
          <w:szCs w:val="20"/>
          <w:color w:val="auto"/>
        </w:rPr>
      </w:pPr>
    </w:p>
    <w:p>
      <w:pPr>
        <w:jc w:val="both"/>
        <w:ind w:left="2060" w:right="839"/>
        <w:spacing w:after="0" w:line="245" w:lineRule="auto"/>
        <w:rPr>
          <w:sz w:val="20"/>
          <w:szCs w:val="20"/>
          <w:color w:val="auto"/>
        </w:rPr>
      </w:pPr>
      <w:r>
        <w:rPr>
          <w:rFonts w:ascii="Arial" w:cs="Arial" w:eastAsia="Arial" w:hAnsi="Arial"/>
          <w:sz w:val="11"/>
          <w:szCs w:val="11"/>
          <w:color w:val="050505"/>
        </w:rPr>
        <w:t>The following table shows the per share and total underwriting discount to be paid to the underwriters by us. Such amounts are shown assuming both no exercise and full exercise of the underwriters’ option to purchase 6,000,000 additional shares of our Class A common stock.</w:t>
      </w:r>
    </w:p>
    <w:p>
      <w:pPr>
        <w:spacing w:after="0" w:line="144" w:lineRule="exact"/>
        <w:rPr>
          <w:sz w:val="20"/>
          <w:szCs w:val="20"/>
          <w:color w:val="auto"/>
        </w:rPr>
      </w:pPr>
    </w:p>
    <w:tbl>
      <w:tblPr>
        <w:tblLayout w:type="fixed"/>
        <w:tblInd w:w="2060" w:type="dxa"/>
        <w:tblCellMar>
          <w:top w:w="0" w:type="dxa"/>
          <w:left w:w="0" w:type="dxa"/>
          <w:bottom w:w="0" w:type="dxa"/>
          <w:right w:w="0" w:type="dxa"/>
        </w:tblCellMar>
      </w:tblPr>
      <w:tr>
        <w:trPr>
          <w:trHeight w:val="126"/>
        </w:trPr>
        <w:tc>
          <w:tcPr>
            <w:tcW w:w="560" w:type="dxa"/>
            <w:vAlign w:val="bottom"/>
            <w:vMerge w:val="restart"/>
          </w:tcPr>
          <w:p>
            <w:pPr>
              <w:spacing w:after="0"/>
              <w:rPr>
                <w:sz w:val="20"/>
                <w:szCs w:val="20"/>
                <w:color w:val="auto"/>
              </w:rPr>
            </w:pPr>
            <w:r>
              <w:rPr>
                <w:rFonts w:ascii="Arial" w:cs="Arial" w:eastAsia="Arial" w:hAnsi="Arial"/>
                <w:sz w:val="11"/>
                <w:szCs w:val="11"/>
                <w:b w:val="1"/>
                <w:bCs w:val="1"/>
                <w:color w:val="050505"/>
                <w:w w:val="95"/>
              </w:rPr>
              <w:t>Paid by Us</w:t>
            </w:r>
          </w:p>
        </w:tc>
        <w:tc>
          <w:tcPr>
            <w:tcW w:w="5380" w:type="dxa"/>
            <w:vAlign w:val="bottom"/>
          </w:tcPr>
          <w:p>
            <w:pPr>
              <w:spacing w:after="0"/>
              <w:rPr>
                <w:sz w:val="10"/>
                <w:szCs w:val="10"/>
                <w:color w:val="auto"/>
              </w:rPr>
            </w:pPr>
          </w:p>
        </w:tc>
        <w:tc>
          <w:tcPr>
            <w:tcW w:w="560" w:type="dxa"/>
            <w:vAlign w:val="bottom"/>
          </w:tcPr>
          <w:p>
            <w:pPr>
              <w:jc w:val="right"/>
              <w:ind w:right="186"/>
              <w:spacing w:after="0"/>
              <w:rPr>
                <w:sz w:val="20"/>
                <w:szCs w:val="20"/>
                <w:color w:val="auto"/>
              </w:rPr>
            </w:pPr>
            <w:r>
              <w:rPr>
                <w:rFonts w:ascii="Arial" w:cs="Arial" w:eastAsia="Arial" w:hAnsi="Arial"/>
                <w:sz w:val="11"/>
                <w:szCs w:val="11"/>
                <w:b w:val="1"/>
                <w:bCs w:val="1"/>
                <w:color w:val="050505"/>
              </w:rPr>
              <w:t>No</w:t>
            </w:r>
          </w:p>
        </w:tc>
        <w:tc>
          <w:tcPr>
            <w:tcW w:w="240" w:type="dxa"/>
            <w:vAlign w:val="bottom"/>
          </w:tcPr>
          <w:p>
            <w:pPr>
              <w:spacing w:after="0"/>
              <w:rPr>
                <w:sz w:val="10"/>
                <w:szCs w:val="10"/>
                <w:color w:val="auto"/>
              </w:rPr>
            </w:pPr>
          </w:p>
        </w:tc>
        <w:tc>
          <w:tcPr>
            <w:tcW w:w="620" w:type="dxa"/>
            <w:vAlign w:val="bottom"/>
          </w:tcPr>
          <w:p>
            <w:pPr>
              <w:jc w:val="right"/>
              <w:ind w:right="226"/>
              <w:spacing w:after="0"/>
              <w:rPr>
                <w:sz w:val="20"/>
                <w:szCs w:val="20"/>
                <w:color w:val="auto"/>
              </w:rPr>
            </w:pPr>
            <w:r>
              <w:rPr>
                <w:rFonts w:ascii="Arial" w:cs="Arial" w:eastAsia="Arial" w:hAnsi="Arial"/>
                <w:sz w:val="11"/>
                <w:szCs w:val="11"/>
                <w:b w:val="1"/>
                <w:bCs w:val="1"/>
                <w:color w:val="050505"/>
              </w:rPr>
              <w:t>Full</w:t>
            </w:r>
          </w:p>
        </w:tc>
        <w:tc>
          <w:tcPr>
            <w:tcW w:w="0" w:type="dxa"/>
            <w:vAlign w:val="bottom"/>
          </w:tcPr>
          <w:p>
            <w:pPr>
              <w:spacing w:after="0"/>
              <w:rPr>
                <w:sz w:val="1"/>
                <w:szCs w:val="1"/>
                <w:color w:val="auto"/>
              </w:rPr>
            </w:pPr>
          </w:p>
        </w:tc>
      </w:tr>
      <w:tr>
        <w:trPr>
          <w:trHeight w:val="133"/>
        </w:trPr>
        <w:tc>
          <w:tcPr>
            <w:tcW w:w="560" w:type="dxa"/>
            <w:vAlign w:val="bottom"/>
            <w:tcBorders>
              <w:bottom w:val="single" w:sz="8" w:color="auto"/>
            </w:tcBorders>
            <w:vMerge w:val="continue"/>
          </w:tcPr>
          <w:p>
            <w:pPr>
              <w:spacing w:after="0"/>
              <w:rPr>
                <w:sz w:val="11"/>
                <w:szCs w:val="11"/>
                <w:color w:val="auto"/>
              </w:rPr>
            </w:pPr>
          </w:p>
        </w:tc>
        <w:tc>
          <w:tcPr>
            <w:tcW w:w="5380" w:type="dxa"/>
            <w:vAlign w:val="bottom"/>
          </w:tcPr>
          <w:p>
            <w:pPr>
              <w:spacing w:after="0"/>
              <w:rPr>
                <w:sz w:val="11"/>
                <w:szCs w:val="11"/>
                <w:color w:val="auto"/>
              </w:rPr>
            </w:pPr>
          </w:p>
        </w:tc>
        <w:tc>
          <w:tcPr>
            <w:tcW w:w="560" w:type="dxa"/>
            <w:vAlign w:val="bottom"/>
          </w:tcPr>
          <w:p>
            <w:pPr>
              <w:jc w:val="right"/>
              <w:ind w:right="46"/>
              <w:spacing w:after="0"/>
              <w:rPr>
                <w:sz w:val="20"/>
                <w:szCs w:val="20"/>
                <w:color w:val="auto"/>
              </w:rPr>
            </w:pPr>
            <w:r>
              <w:rPr>
                <w:rFonts w:ascii="Arial" w:cs="Arial" w:eastAsia="Arial" w:hAnsi="Arial"/>
                <w:sz w:val="11"/>
                <w:szCs w:val="11"/>
                <w:b w:val="1"/>
                <w:bCs w:val="1"/>
                <w:color w:val="050505"/>
                <w:w w:val="97"/>
              </w:rPr>
              <w:t>Exercise</w:t>
            </w:r>
          </w:p>
        </w:tc>
        <w:tc>
          <w:tcPr>
            <w:tcW w:w="240" w:type="dxa"/>
            <w:vAlign w:val="bottom"/>
          </w:tcPr>
          <w:p>
            <w:pPr>
              <w:spacing w:after="0"/>
              <w:rPr>
                <w:sz w:val="11"/>
                <w:szCs w:val="11"/>
                <w:color w:val="auto"/>
              </w:rPr>
            </w:pPr>
          </w:p>
        </w:tc>
        <w:tc>
          <w:tcPr>
            <w:tcW w:w="620" w:type="dxa"/>
            <w:vAlign w:val="bottom"/>
          </w:tcPr>
          <w:p>
            <w:pPr>
              <w:jc w:val="right"/>
              <w:ind w:right="86"/>
              <w:spacing w:after="0"/>
              <w:rPr>
                <w:sz w:val="20"/>
                <w:szCs w:val="20"/>
                <w:color w:val="auto"/>
              </w:rPr>
            </w:pPr>
            <w:r>
              <w:rPr>
                <w:rFonts w:ascii="Arial" w:cs="Arial" w:eastAsia="Arial" w:hAnsi="Arial"/>
                <w:sz w:val="11"/>
                <w:szCs w:val="11"/>
                <w:b w:val="1"/>
                <w:bCs w:val="1"/>
                <w:color w:val="050505"/>
              </w:rPr>
              <w:t>Exercise</w:t>
            </w:r>
          </w:p>
        </w:tc>
        <w:tc>
          <w:tcPr>
            <w:tcW w:w="0" w:type="dxa"/>
            <w:vAlign w:val="bottom"/>
          </w:tcPr>
          <w:p>
            <w:pPr>
              <w:spacing w:after="0"/>
              <w:rPr>
                <w:sz w:val="1"/>
                <w:szCs w:val="1"/>
                <w:color w:val="auto"/>
              </w:rPr>
            </w:pPr>
          </w:p>
        </w:tc>
      </w:tr>
      <w:tr>
        <w:trPr>
          <w:trHeight w:val="20"/>
        </w:trPr>
        <w:tc>
          <w:tcPr>
            <w:tcW w:w="560" w:type="dxa"/>
            <w:vAlign w:val="bottom"/>
            <w:vMerge w:val="restart"/>
            <w:shd w:val="clear" w:color="auto" w:fill="CCEEFF"/>
          </w:tcPr>
          <w:p>
            <w:pPr>
              <w:ind w:left="40"/>
              <w:spacing w:after="0" w:line="124" w:lineRule="exact"/>
              <w:rPr>
                <w:sz w:val="20"/>
                <w:szCs w:val="20"/>
                <w:color w:val="auto"/>
              </w:rPr>
            </w:pPr>
            <w:r>
              <w:rPr>
                <w:rFonts w:ascii="Arial" w:cs="Arial" w:eastAsia="Arial" w:hAnsi="Arial"/>
                <w:sz w:val="11"/>
                <w:szCs w:val="11"/>
                <w:color w:val="050505"/>
              </w:rPr>
              <w:t>Per share</w:t>
            </w:r>
          </w:p>
        </w:tc>
        <w:tc>
          <w:tcPr>
            <w:tcW w:w="5380" w:type="dxa"/>
            <w:vAlign w:val="bottom"/>
            <w:tcBorders>
              <w:right w:val="single" w:sz="8" w:color="auto"/>
            </w:tcBorders>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shd w:val="clear" w:color="auto" w:fill="CCEEFF"/>
          </w:tcPr>
          <w:p>
            <w:pPr>
              <w:spacing w:after="0" w:line="20" w:lineRule="exact"/>
              <w:rPr>
                <w:sz w:val="1"/>
                <w:szCs w:val="1"/>
                <w:color w:val="auto"/>
              </w:rPr>
            </w:pPr>
          </w:p>
        </w:tc>
        <w:tc>
          <w:tcPr>
            <w:tcW w:w="620" w:type="dxa"/>
            <w:vAlign w:val="bottom"/>
            <w:tcBorders>
              <w:right w:val="single" w:sz="8" w:color="CCEEFF"/>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4"/>
        </w:trPr>
        <w:tc>
          <w:tcPr>
            <w:tcW w:w="560" w:type="dxa"/>
            <w:vAlign w:val="bottom"/>
            <w:vMerge w:val="continue"/>
            <w:shd w:val="clear" w:color="auto" w:fill="CCEEFF"/>
          </w:tcPr>
          <w:p>
            <w:pPr>
              <w:spacing w:after="0"/>
              <w:rPr>
                <w:sz w:val="9"/>
                <w:szCs w:val="9"/>
                <w:color w:val="auto"/>
              </w:rPr>
            </w:pPr>
          </w:p>
        </w:tc>
        <w:tc>
          <w:tcPr>
            <w:tcW w:w="5380" w:type="dxa"/>
            <w:vAlign w:val="bottom"/>
            <w:tcBorders>
              <w:right w:val="single" w:sz="8" w:color="CCEEFF"/>
            </w:tcBorders>
            <w:shd w:val="clear" w:color="auto" w:fill="CCEEFF"/>
          </w:tcPr>
          <w:p>
            <w:pPr>
              <w:jc w:val="right"/>
              <w:spacing w:after="0" w:line="104" w:lineRule="exact"/>
              <w:rPr>
                <w:sz w:val="20"/>
                <w:szCs w:val="20"/>
                <w:color w:val="auto"/>
              </w:rPr>
            </w:pPr>
            <w:r>
              <w:rPr>
                <w:rFonts w:ascii="Arial" w:cs="Arial" w:eastAsia="Arial" w:hAnsi="Arial"/>
                <w:sz w:val="11"/>
                <w:szCs w:val="11"/>
                <w:color w:val="050505"/>
              </w:rPr>
              <w:t>$</w:t>
            </w:r>
          </w:p>
        </w:tc>
        <w:tc>
          <w:tcPr>
            <w:tcW w:w="560" w:type="dxa"/>
            <w:vAlign w:val="bottom"/>
            <w:shd w:val="clear" w:color="auto" w:fill="CCEEFF"/>
          </w:tcPr>
          <w:p>
            <w:pPr>
              <w:jc w:val="right"/>
              <w:spacing w:after="0" w:line="104" w:lineRule="exact"/>
              <w:rPr>
                <w:sz w:val="20"/>
                <w:szCs w:val="20"/>
                <w:color w:val="auto"/>
              </w:rPr>
            </w:pPr>
            <w:r>
              <w:rPr>
                <w:rFonts w:ascii="Arial" w:cs="Arial" w:eastAsia="Arial" w:hAnsi="Arial"/>
                <w:sz w:val="11"/>
                <w:szCs w:val="11"/>
                <w:color w:val="050505"/>
              </w:rPr>
              <w:t>1.45</w:t>
            </w:r>
          </w:p>
        </w:tc>
        <w:tc>
          <w:tcPr>
            <w:tcW w:w="240" w:type="dxa"/>
            <w:vAlign w:val="bottom"/>
            <w:tcBorders>
              <w:right w:val="single" w:sz="8" w:color="CCEEFF"/>
            </w:tcBorders>
            <w:shd w:val="clear" w:color="auto" w:fill="CCEEFF"/>
          </w:tcPr>
          <w:p>
            <w:pPr>
              <w:jc w:val="right"/>
              <w:spacing w:after="0" w:line="104" w:lineRule="exact"/>
              <w:rPr>
                <w:sz w:val="20"/>
                <w:szCs w:val="20"/>
                <w:color w:val="auto"/>
              </w:rPr>
            </w:pPr>
            <w:r>
              <w:rPr>
                <w:rFonts w:ascii="Arial" w:cs="Arial" w:eastAsia="Arial" w:hAnsi="Arial"/>
                <w:sz w:val="11"/>
                <w:szCs w:val="11"/>
                <w:color w:val="050505"/>
              </w:rPr>
              <w:t>$</w:t>
            </w:r>
          </w:p>
        </w:tc>
        <w:tc>
          <w:tcPr>
            <w:tcW w:w="620" w:type="dxa"/>
            <w:vAlign w:val="bottom"/>
            <w:tcBorders>
              <w:right w:val="single" w:sz="8" w:color="CCEEFF"/>
            </w:tcBorders>
            <w:shd w:val="clear" w:color="auto" w:fill="CCEEFF"/>
          </w:tcPr>
          <w:p>
            <w:pPr>
              <w:jc w:val="right"/>
              <w:ind w:right="6"/>
              <w:spacing w:after="0" w:line="104" w:lineRule="exact"/>
              <w:rPr>
                <w:sz w:val="20"/>
                <w:szCs w:val="20"/>
                <w:color w:val="auto"/>
              </w:rPr>
            </w:pPr>
            <w:r>
              <w:rPr>
                <w:rFonts w:ascii="Arial" w:cs="Arial" w:eastAsia="Arial" w:hAnsi="Arial"/>
                <w:sz w:val="11"/>
                <w:szCs w:val="11"/>
                <w:color w:val="050505"/>
              </w:rPr>
              <w:t>1.45</w:t>
            </w:r>
          </w:p>
        </w:tc>
        <w:tc>
          <w:tcPr>
            <w:tcW w:w="0" w:type="dxa"/>
            <w:vAlign w:val="bottom"/>
          </w:tcPr>
          <w:p>
            <w:pPr>
              <w:spacing w:after="0"/>
              <w:rPr>
                <w:sz w:val="1"/>
                <w:szCs w:val="1"/>
                <w:color w:val="auto"/>
              </w:rPr>
            </w:pPr>
          </w:p>
        </w:tc>
      </w:tr>
      <w:tr>
        <w:trPr>
          <w:trHeight w:val="131"/>
        </w:trPr>
        <w:tc>
          <w:tcPr>
            <w:tcW w:w="560" w:type="dxa"/>
            <w:vAlign w:val="bottom"/>
          </w:tcPr>
          <w:p>
            <w:pPr>
              <w:ind w:left="40"/>
              <w:spacing w:after="0"/>
              <w:rPr>
                <w:sz w:val="20"/>
                <w:szCs w:val="20"/>
                <w:color w:val="auto"/>
              </w:rPr>
            </w:pPr>
            <w:r>
              <w:rPr>
                <w:rFonts w:ascii="Arial" w:cs="Arial" w:eastAsia="Arial" w:hAnsi="Arial"/>
                <w:sz w:val="11"/>
                <w:szCs w:val="11"/>
                <w:color w:val="050505"/>
              </w:rPr>
              <w:t>Total</w:t>
            </w:r>
          </w:p>
        </w:tc>
        <w:tc>
          <w:tcPr>
            <w:tcW w:w="5380" w:type="dxa"/>
            <w:vAlign w:val="bottom"/>
          </w:tcPr>
          <w:p>
            <w:pPr>
              <w:jc w:val="right"/>
              <w:spacing w:after="0"/>
              <w:rPr>
                <w:sz w:val="20"/>
                <w:szCs w:val="20"/>
                <w:color w:val="auto"/>
              </w:rPr>
            </w:pPr>
            <w:r>
              <w:rPr>
                <w:rFonts w:ascii="Arial" w:cs="Arial" w:eastAsia="Arial" w:hAnsi="Arial"/>
                <w:sz w:val="11"/>
                <w:szCs w:val="11"/>
                <w:color w:val="050505"/>
              </w:rPr>
              <w:t>$</w:t>
            </w:r>
          </w:p>
        </w:tc>
        <w:tc>
          <w:tcPr>
            <w:tcW w:w="560" w:type="dxa"/>
            <w:vAlign w:val="bottom"/>
          </w:tcPr>
          <w:p>
            <w:pPr>
              <w:jc w:val="right"/>
              <w:spacing w:after="0"/>
              <w:rPr>
                <w:sz w:val="20"/>
                <w:szCs w:val="20"/>
                <w:color w:val="auto"/>
              </w:rPr>
            </w:pPr>
            <w:r>
              <w:rPr>
                <w:rFonts w:ascii="Arial" w:cs="Arial" w:eastAsia="Arial" w:hAnsi="Arial"/>
                <w:sz w:val="11"/>
                <w:szCs w:val="11"/>
                <w:color w:val="050505"/>
                <w:w w:val="98"/>
              </w:rPr>
              <w:t>58,000,000</w:t>
            </w:r>
          </w:p>
        </w:tc>
        <w:tc>
          <w:tcPr>
            <w:tcW w:w="240" w:type="dxa"/>
            <w:vAlign w:val="bottom"/>
          </w:tcPr>
          <w:p>
            <w:pPr>
              <w:jc w:val="right"/>
              <w:spacing w:after="0"/>
              <w:rPr>
                <w:sz w:val="20"/>
                <w:szCs w:val="20"/>
                <w:color w:val="auto"/>
              </w:rPr>
            </w:pPr>
            <w:r>
              <w:rPr>
                <w:rFonts w:ascii="Arial" w:cs="Arial" w:eastAsia="Arial" w:hAnsi="Arial"/>
                <w:sz w:val="11"/>
                <w:szCs w:val="11"/>
                <w:color w:val="050505"/>
              </w:rPr>
              <w:t>$</w:t>
            </w:r>
          </w:p>
        </w:tc>
        <w:tc>
          <w:tcPr>
            <w:tcW w:w="620" w:type="dxa"/>
            <w:vAlign w:val="bottom"/>
          </w:tcPr>
          <w:p>
            <w:pPr>
              <w:jc w:val="right"/>
              <w:ind w:right="6"/>
              <w:spacing w:after="0"/>
              <w:rPr>
                <w:sz w:val="20"/>
                <w:szCs w:val="20"/>
                <w:color w:val="auto"/>
              </w:rPr>
            </w:pPr>
            <w:r>
              <w:rPr>
                <w:rFonts w:ascii="Arial" w:cs="Arial" w:eastAsia="Arial" w:hAnsi="Arial"/>
                <w:sz w:val="11"/>
                <w:szCs w:val="11"/>
                <w:color w:val="050505"/>
                <w:w w:val="98"/>
              </w:rPr>
              <w:t>66,700,000</w:t>
            </w:r>
          </w:p>
        </w:tc>
        <w:tc>
          <w:tcPr>
            <w:tcW w:w="0" w:type="dxa"/>
            <w:vAlign w:val="bottom"/>
          </w:tcPr>
          <w:p>
            <w:pPr>
              <w:spacing w:after="0"/>
              <w:rPr>
                <w:sz w:val="1"/>
                <w:szCs w:val="1"/>
                <w:color w:val="auto"/>
              </w:rPr>
            </w:pPr>
          </w:p>
        </w:tc>
      </w:tr>
    </w:tbl>
    <w:p>
      <w:pPr>
        <w:spacing w:after="0" w:line="140" w:lineRule="exact"/>
        <w:rPr>
          <w:sz w:val="20"/>
          <w:szCs w:val="20"/>
          <w:color w:val="auto"/>
        </w:rPr>
      </w:pPr>
    </w:p>
    <w:p>
      <w:pPr>
        <w:jc w:val="both"/>
        <w:ind w:left="2060" w:right="839"/>
        <w:spacing w:after="0" w:line="241" w:lineRule="auto"/>
        <w:rPr>
          <w:sz w:val="20"/>
          <w:szCs w:val="20"/>
          <w:color w:val="auto"/>
        </w:rPr>
      </w:pPr>
      <w:r>
        <w:rPr>
          <w:rFonts w:ascii="Arial" w:cs="Arial" w:eastAsia="Arial" w:hAnsi="Arial"/>
          <w:sz w:val="11"/>
          <w:szCs w:val="11"/>
          <w:color w:val="050505"/>
        </w:rPr>
        <w:t>A prospectus in electronic format may be made available on the web sites maintained by one or more underwriters, or selling group members, if any, participating in the initial public offering. The underwriters may agree to allocate a number of shares to underwriters and selling group members for sale to their online brokerage account holders. Internet distributions will be allocated by the representatives to underwriters and selling group members that may make internet distributions on the same basis as other allocations.</w:t>
      </w:r>
    </w:p>
    <w:p>
      <w:pPr>
        <w:spacing w:after="0" w:line="140" w:lineRule="exact"/>
        <w:rPr>
          <w:sz w:val="20"/>
          <w:szCs w:val="20"/>
          <w:color w:val="auto"/>
        </w:rPr>
      </w:pPr>
    </w:p>
    <w:p>
      <w:pPr>
        <w:jc w:val="both"/>
        <w:ind w:left="2060" w:right="839"/>
        <w:spacing w:after="0"/>
        <w:rPr>
          <w:sz w:val="20"/>
          <w:szCs w:val="20"/>
          <w:color w:val="auto"/>
        </w:rPr>
      </w:pPr>
      <w:r>
        <w:rPr>
          <w:rFonts w:ascii="Arial" w:cs="Arial" w:eastAsia="Arial" w:hAnsi="Arial"/>
          <w:sz w:val="11"/>
          <w:szCs w:val="11"/>
          <w:color w:val="050505"/>
        </w:rPr>
        <w:t>Shares sold by the underwriters to the public will initially be offered at the initial public offering price set forth on the cover of this prospectus. Any shares sold by the underwriters to securities dealers may be sold at a discount of up to $0.87 per share from the initial public offering price. After the initial offering of the shares, the representatives may change the offering price and the other selling terms. Sales of shares made outside of the United States may be made by affiliates of the underwriters. The offering of the shares by the underwriters is subject to receipt and acceptance and subject to the underwriters’ right to reject any order in whole or in part.</w:t>
      </w:r>
    </w:p>
    <w:p>
      <w:pPr>
        <w:spacing w:after="0" w:line="142" w:lineRule="exact"/>
        <w:rPr>
          <w:sz w:val="20"/>
          <w:szCs w:val="20"/>
          <w:color w:val="auto"/>
        </w:rPr>
      </w:pPr>
    </w:p>
    <w:p>
      <w:pPr>
        <w:jc w:val="both"/>
        <w:ind w:left="2060" w:right="839"/>
        <w:spacing w:after="0"/>
        <w:rPr>
          <w:sz w:val="20"/>
          <w:szCs w:val="20"/>
          <w:color w:val="auto"/>
        </w:rPr>
      </w:pPr>
      <w:r>
        <w:rPr>
          <w:rFonts w:ascii="Arial" w:cs="Arial" w:eastAsia="Arial" w:hAnsi="Arial"/>
          <w:sz w:val="11"/>
          <w:szCs w:val="11"/>
          <w:color w:val="050505"/>
        </w:rPr>
        <w:t>We and our executive officers, directors, and holders of substantially all of our common stock and securities convertible into or exchangeable for our common stock have agreed or will agree with the underwriters, subject to certain exceptions, not to dispose of or hedge any of our or their common stock or securities convertible into or exchangeable for shares of common stock during the period from the date of this prospectus continuing through the date 180 days after the date of this prospectus, except with the prior written consent of Goldman Sachs &amp; Co. LLC and J.P. Morgan Securities LLC; provided that if (1) at least 120 days have elapsed since the date of this prospectus, (2) we have publicly released our earnings results for the quarterly period during which this offering occurred, and (3) such lock-up period is scheduled to end during or within five trading days prior to a blackout period, such lock-up period will end ten trading days prior to the commencement of such blackout period. We will announce the date of any expected blackout-related release to the lock-up at least two trading days in advance of such release. This agreement does not apply to any existing employee benefit plans. See the section titled “Shares Eligible for Future Sale” for a discussion of certain transfer restrictions.</w:t>
      </w:r>
    </w:p>
    <w:p>
      <w:pPr>
        <w:spacing w:after="0" w:line="141" w:lineRule="exact"/>
        <w:rPr>
          <w:sz w:val="20"/>
          <w:szCs w:val="20"/>
          <w:color w:val="auto"/>
        </w:rPr>
      </w:pPr>
    </w:p>
    <w:p>
      <w:pPr>
        <w:jc w:val="both"/>
        <w:ind w:left="2060" w:right="839"/>
        <w:spacing w:after="0"/>
        <w:rPr>
          <w:sz w:val="20"/>
          <w:szCs w:val="20"/>
          <w:color w:val="auto"/>
        </w:rPr>
      </w:pPr>
      <w:r>
        <w:rPr>
          <w:rFonts w:ascii="Arial" w:cs="Arial" w:eastAsia="Arial" w:hAnsi="Arial"/>
          <w:sz w:val="11"/>
          <w:szCs w:val="11"/>
          <w:color w:val="050505"/>
        </w:rPr>
        <w:t>Prior to the offering, there has been no public market for the shares of our Class A common stock. The initial public offering price has been negotiated between the representatives and us. Among the factors considered in determining the initial public offering price of the shares, in addition to prevailing market conditions, were our historical performance, estimates of our business potential and earnings prospects of the company, an assessment of our management and the consideration of the above factors in relation to market valuation of companies in related businesses. Neither we nor the underwriters can assure investors that an active trading market will develop for our Class A common stock or that the shares will trade in the public market at or above the initial public offering price.</w:t>
      </w:r>
    </w:p>
    <w:p>
      <w:pPr>
        <w:spacing w:after="0" w:line="142" w:lineRule="exact"/>
        <w:rPr>
          <w:sz w:val="20"/>
          <w:szCs w:val="20"/>
          <w:color w:val="auto"/>
        </w:rPr>
      </w:pPr>
    </w:p>
    <w:p>
      <w:pPr>
        <w:ind w:left="2060"/>
        <w:spacing w:after="0"/>
        <w:rPr>
          <w:sz w:val="20"/>
          <w:szCs w:val="20"/>
          <w:color w:val="auto"/>
        </w:rPr>
      </w:pPr>
      <w:r>
        <w:rPr>
          <w:rFonts w:ascii="Arial" w:cs="Arial" w:eastAsia="Arial" w:hAnsi="Arial"/>
          <w:sz w:val="11"/>
          <w:szCs w:val="11"/>
          <w:color w:val="050505"/>
        </w:rPr>
        <w:t>We have been approved to list our Class A common stock on the Nasdaq Global Select Market under the symbol “PTON.”</w:t>
      </w:r>
    </w:p>
    <w:p>
      <w:pPr>
        <w:spacing w:after="0" w:line="144" w:lineRule="exact"/>
        <w:rPr>
          <w:sz w:val="20"/>
          <w:szCs w:val="20"/>
          <w:color w:val="auto"/>
        </w:rPr>
      </w:pPr>
    </w:p>
    <w:p>
      <w:pPr>
        <w:jc w:val="both"/>
        <w:ind w:left="2060" w:right="839"/>
        <w:spacing w:after="0" w:line="267" w:lineRule="auto"/>
        <w:rPr>
          <w:sz w:val="20"/>
          <w:szCs w:val="20"/>
          <w:color w:val="auto"/>
        </w:rPr>
      </w:pPr>
      <w:r>
        <w:rPr>
          <w:rFonts w:ascii="Arial" w:cs="Arial" w:eastAsia="Arial" w:hAnsi="Arial"/>
          <w:sz w:val="10"/>
          <w:szCs w:val="10"/>
          <w:color w:val="050505"/>
        </w:rPr>
        <w:t>In connection with the offering, the underwriters may purchase and sell shares of Class A common stock in the open market. These transactions may include short sales, stabilizing transactions, and purchases to cover positions created by short sales. Short sales involve the sale by the underwriters of a greater number of shares than they are required to purchase in the offering, and a short position represents the amount of such sales that have not been covered by subsequent purchases. A “covered short position” is a short position that is not greater than the amount of additional shares for which the underwriters’ option described above may be exercised. The underwriters may cover any covered short position by either exercising their option to purchase additional shares or purchasing shares in the open market. In determining the source of shares to cover the covered short position, the underwriters will consider, among other things, the price of shares available for purchase in the open market as compared to the price at which they may purchase additional shares pursuant to the option described above. “Naked” short sales are any short sales that create a short position greater</w:t>
      </w:r>
    </w:p>
    <w:p>
      <w:pPr>
        <w:spacing w:after="0" w:line="84" w:lineRule="exact"/>
        <w:rPr>
          <w:sz w:val="20"/>
          <w:szCs w:val="20"/>
          <w:color w:val="auto"/>
        </w:rPr>
      </w:pPr>
    </w:p>
    <w:p>
      <w:pPr>
        <w:ind w:left="5640"/>
        <w:spacing w:after="0"/>
        <w:rPr>
          <w:sz w:val="20"/>
          <w:szCs w:val="20"/>
          <w:color w:val="auto"/>
        </w:rPr>
      </w:pPr>
      <w:r>
        <w:rPr>
          <w:rFonts w:ascii="Arial" w:cs="Arial" w:eastAsia="Arial" w:hAnsi="Arial"/>
          <w:sz w:val="11"/>
          <w:szCs w:val="11"/>
          <w:color w:val="050505"/>
        </w:rPr>
        <w:t>150</w:t>
      </w:r>
    </w:p>
    <w:p>
      <w:pPr>
        <w:sectPr>
          <w:pgSz w:w="11900" w:h="16838" w:orient="portrait"/>
          <w:cols w:equalWidth="0" w:num="1">
            <w:col w:w="10239"/>
          </w:cols>
          <w:pgMar w:left="220" w:top="354" w:right="1440" w:bottom="1440" w:gutter="0" w:footer="0" w:header="0"/>
        </w:sectPr>
      </w:pPr>
    </w:p>
    <w:bookmarkStart w:id="160" w:name="page161"/>
    <w:bookmarkEnd w:id="160"/>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hyperlink w:anchor="page5">
        <w:r>
          <w:rPr>
            <w:rFonts w:ascii="Arial" w:cs="Arial" w:eastAsia="Arial" w:hAnsi="Arial"/>
            <w:sz w:val="12"/>
            <w:szCs w:val="12"/>
            <w:b w:val="1"/>
            <w:bCs w:val="1"/>
            <w:u w:val="single" w:color="auto"/>
            <w:color w:val="0000EE"/>
          </w:rPr>
          <w:t>Table of Contents</w:t>
        </w:r>
      </w:hyperlink>
    </w:p>
    <w:p>
      <w:pPr>
        <w:spacing w:after="0" w:line="216" w:lineRule="exact"/>
        <w:rPr>
          <w:sz w:val="20"/>
          <w:szCs w:val="20"/>
          <w:color w:val="auto"/>
        </w:rPr>
      </w:pPr>
    </w:p>
    <w:p>
      <w:pPr>
        <w:jc w:val="both"/>
        <w:ind w:left="2060" w:right="839"/>
        <w:spacing w:after="0"/>
        <w:rPr>
          <w:sz w:val="20"/>
          <w:szCs w:val="20"/>
          <w:color w:val="auto"/>
        </w:rPr>
      </w:pPr>
      <w:r>
        <w:rPr>
          <w:rFonts w:ascii="Arial" w:cs="Arial" w:eastAsia="Arial" w:hAnsi="Arial"/>
          <w:sz w:val="11"/>
          <w:szCs w:val="11"/>
          <w:color w:val="050505"/>
        </w:rPr>
        <w:t>than the amount of additional shares for which the option described above may be exercised. The underwriters must cover any such naked short position by purchasing shares in the open market. A naked short position is more likely to be created if the underwriters are concerned that there may be downward pressure on the price of the Class A common stock in the open market after pricing that could adversely affect investors who purchase in the offering. Stabilizing transactions consist of various bids for or purchases of Class A common stock made by the underwriters in the open market prior to the completion of the offering.</w:t>
      </w:r>
    </w:p>
    <w:p>
      <w:pPr>
        <w:spacing w:after="0" w:line="142" w:lineRule="exact"/>
        <w:rPr>
          <w:sz w:val="20"/>
          <w:szCs w:val="20"/>
          <w:color w:val="auto"/>
        </w:rPr>
      </w:pPr>
    </w:p>
    <w:p>
      <w:pPr>
        <w:jc w:val="both"/>
        <w:ind w:left="2060" w:right="839"/>
        <w:spacing w:after="0" w:line="242" w:lineRule="auto"/>
        <w:rPr>
          <w:sz w:val="20"/>
          <w:szCs w:val="20"/>
          <w:color w:val="auto"/>
        </w:rPr>
      </w:pPr>
      <w:r>
        <w:rPr>
          <w:rFonts w:ascii="Arial" w:cs="Arial" w:eastAsia="Arial" w:hAnsi="Arial"/>
          <w:sz w:val="11"/>
          <w:szCs w:val="11"/>
          <w:color w:val="050505"/>
        </w:rPr>
        <w:t>The underwriters may also impose a penalty bid. This occurs when a particular underwriter repays to the underwriters a portion of the underwriting discount received by it because the representatives have repurchased shares sold by or for the account of such underwriter in stabilizing or short covering transactions.</w:t>
      </w:r>
    </w:p>
    <w:p>
      <w:pPr>
        <w:spacing w:after="0" w:line="140" w:lineRule="exact"/>
        <w:rPr>
          <w:sz w:val="20"/>
          <w:szCs w:val="20"/>
          <w:color w:val="auto"/>
        </w:rPr>
      </w:pPr>
    </w:p>
    <w:p>
      <w:pPr>
        <w:jc w:val="both"/>
        <w:ind w:left="2060" w:right="839"/>
        <w:spacing w:after="0"/>
        <w:rPr>
          <w:sz w:val="20"/>
          <w:szCs w:val="20"/>
          <w:color w:val="auto"/>
        </w:rPr>
      </w:pPr>
      <w:r>
        <w:rPr>
          <w:rFonts w:ascii="Arial" w:cs="Arial" w:eastAsia="Arial" w:hAnsi="Arial"/>
          <w:sz w:val="11"/>
          <w:szCs w:val="11"/>
          <w:color w:val="050505"/>
        </w:rPr>
        <w:t>Purchases to cover a short position and stabilizing transactions, as well as other purchases by the underwriters for their own accounts, may have the effect of preventing or retarding a decline in the market price of our stock, and together with the imposition of the penalty bid, may stabilize, maintain or otherwise affect the market price of our Class A common stock. As a result, the price of our Class A common stock may be higher than the price that otherwise might exist in the open market. The underwriters are not required to engage in these activities and may end any of these activities at any time. These transactions may be effected on the Nasdaq Global Select Market, in the over-the-counter market or otherwise.</w:t>
      </w:r>
    </w:p>
    <w:p>
      <w:pPr>
        <w:spacing w:after="0" w:line="142" w:lineRule="exact"/>
        <w:rPr>
          <w:sz w:val="20"/>
          <w:szCs w:val="20"/>
          <w:color w:val="auto"/>
        </w:rPr>
      </w:pPr>
    </w:p>
    <w:p>
      <w:pPr>
        <w:jc w:val="both"/>
        <w:ind w:left="2060" w:right="839"/>
        <w:spacing w:after="0" w:line="241" w:lineRule="auto"/>
        <w:rPr>
          <w:sz w:val="20"/>
          <w:szCs w:val="20"/>
          <w:color w:val="auto"/>
        </w:rPr>
      </w:pPr>
      <w:r>
        <w:rPr>
          <w:rFonts w:ascii="Arial" w:cs="Arial" w:eastAsia="Arial" w:hAnsi="Arial"/>
          <w:sz w:val="11"/>
          <w:szCs w:val="11"/>
          <w:color w:val="050505"/>
        </w:rPr>
        <w:t>We estimate that our share of the total expenses of the offering, excluding underwriting discount, will be approximately $6.0 million. We have agreed to reimburse the underwriters for certain expenses incurred by them in connection with this offering including up to $30,000 for expenses relating to clearance of this offering with the Financial Industry Regulatory Authority. The underwriters have agreed to reimburse us, or will pay and not seek reimbursement from us, for certain expenses incurred by us in connection with this offering.</w:t>
      </w:r>
    </w:p>
    <w:p>
      <w:pPr>
        <w:spacing w:after="0" w:line="140" w:lineRule="exact"/>
        <w:rPr>
          <w:sz w:val="20"/>
          <w:szCs w:val="20"/>
          <w:color w:val="auto"/>
        </w:rPr>
      </w:pPr>
    </w:p>
    <w:p>
      <w:pPr>
        <w:ind w:left="2060"/>
        <w:spacing w:after="0"/>
        <w:rPr>
          <w:sz w:val="20"/>
          <w:szCs w:val="20"/>
          <w:color w:val="auto"/>
        </w:rPr>
      </w:pPr>
      <w:r>
        <w:rPr>
          <w:rFonts w:ascii="Arial" w:cs="Arial" w:eastAsia="Arial" w:hAnsi="Arial"/>
          <w:sz w:val="11"/>
          <w:szCs w:val="11"/>
          <w:color w:val="050505"/>
        </w:rPr>
        <w:t>We have agreed to indemnify the several underwriters against certain liabilities, including liabilities under the Securities Act.</w:t>
      </w:r>
    </w:p>
    <w:p>
      <w:pPr>
        <w:spacing w:after="0" w:line="144" w:lineRule="exact"/>
        <w:rPr>
          <w:sz w:val="20"/>
          <w:szCs w:val="20"/>
          <w:color w:val="auto"/>
        </w:rPr>
      </w:pPr>
    </w:p>
    <w:p>
      <w:pPr>
        <w:jc w:val="both"/>
        <w:ind w:left="2060" w:right="839"/>
        <w:spacing w:after="0"/>
        <w:rPr>
          <w:sz w:val="20"/>
          <w:szCs w:val="20"/>
          <w:color w:val="auto"/>
        </w:rPr>
      </w:pPr>
      <w:r>
        <w:rPr>
          <w:rFonts w:ascii="Arial" w:cs="Arial" w:eastAsia="Arial" w:hAnsi="Arial"/>
          <w:sz w:val="11"/>
          <w:szCs w:val="11"/>
          <w:color w:val="050505"/>
        </w:rPr>
        <w:t>Other than in the United States, no action has been taken by us or the underwriters that would permit a public offering of the securities offered by this prospectus in any jurisdiction where action for that purpose is required. The securities offered by this prospectus may not be offered or sold, directly or indirectly, nor may this prospectus or any other offering material or advertisements in connection with the offer and sale of any such securities be distributed or published in any jurisdiction, except under circumstances that will result in compliance with the applicable rules and regulations of that jurisdiction. Persons into whose possession this prospectus comes are advised to inform themselves about and to observe any restrictions relating to the offering and the distribution of this prospectus. This prospectus does not constitute an offer to sell or a solicitation of an offer to buy any securities offered by this prospectus in any jurisdiction in which such an offer or a solicitation is unlawful.</w:t>
      </w:r>
    </w:p>
    <w:p>
      <w:pPr>
        <w:spacing w:after="0" w:line="141" w:lineRule="exact"/>
        <w:rPr>
          <w:sz w:val="20"/>
          <w:szCs w:val="20"/>
          <w:color w:val="auto"/>
        </w:rPr>
      </w:pPr>
    </w:p>
    <w:p>
      <w:pPr>
        <w:jc w:val="both"/>
        <w:ind w:left="2060" w:right="839"/>
        <w:spacing w:after="0"/>
        <w:rPr>
          <w:sz w:val="20"/>
          <w:szCs w:val="20"/>
          <w:color w:val="auto"/>
        </w:rPr>
      </w:pPr>
      <w:r>
        <w:rPr>
          <w:rFonts w:ascii="Arial" w:cs="Arial" w:eastAsia="Arial" w:hAnsi="Arial"/>
          <w:sz w:val="11"/>
          <w:szCs w:val="11"/>
          <w:color w:val="050505"/>
        </w:rPr>
        <w:t>The underwriters and their respective affiliates are full service financial institutions engaged in various activities, which may include sales and trading, commercial and investment banking, advisory, investment management, investment research, principal investment, hedging, market making, brokerage and other financial and non-financial activities and services. Certain of the underwriters and their respective affiliates have provided, and may in the future provide, a variety of these services to us and to persons and entities with relationships with us, for which they received or will receive customary fees and expenses.</w:t>
      </w:r>
    </w:p>
    <w:p>
      <w:pPr>
        <w:spacing w:after="0" w:line="142" w:lineRule="exact"/>
        <w:rPr>
          <w:sz w:val="20"/>
          <w:szCs w:val="20"/>
          <w:color w:val="auto"/>
        </w:rPr>
      </w:pPr>
    </w:p>
    <w:p>
      <w:pPr>
        <w:jc w:val="both"/>
        <w:ind w:left="2060" w:right="839"/>
        <w:spacing w:after="0"/>
        <w:rPr>
          <w:sz w:val="20"/>
          <w:szCs w:val="20"/>
          <w:color w:val="auto"/>
        </w:rPr>
      </w:pPr>
      <w:r>
        <w:rPr>
          <w:rFonts w:ascii="Arial" w:cs="Arial" w:eastAsia="Arial" w:hAnsi="Arial"/>
          <w:sz w:val="11"/>
          <w:szCs w:val="11"/>
          <w:color w:val="050505"/>
        </w:rPr>
        <w:t>In June 2019, we entered into the Credit Agreement with JPMorgan Chase Bank, N.A., as administrative agent, and Bank of America, N.A., Barclays Bank PLC, Goldman Sachs Lending Partners LLC, and Silicon Valley Bank, as joint syndication agents, which amended and restated the loan and security agreement that we previously entered into in November 2017. The Credit Agreement provides for a $250.0 million secured revolving credit facility, including up to the lesser of $150.0 million and the aggregate unused amount of the facility for the issuance of letters of credit. The principal amount, if any, is payable in full in June 2024. As of June 30, 2019, we had not drawn on the credit facility and did not have outstanding borrowings under the Credit Agreement. See the section titled “Management’s Discussion and Analysis of Financial Condition and Results of Operations—Liquidity and Capital Resources” for additional information.</w:t>
      </w:r>
    </w:p>
    <w:p>
      <w:pPr>
        <w:spacing w:after="0" w:line="141" w:lineRule="exact"/>
        <w:rPr>
          <w:sz w:val="20"/>
          <w:szCs w:val="20"/>
          <w:color w:val="auto"/>
        </w:rPr>
      </w:pPr>
    </w:p>
    <w:p>
      <w:pPr>
        <w:jc w:val="both"/>
        <w:ind w:left="2060" w:right="839"/>
        <w:spacing w:after="0" w:line="245" w:lineRule="auto"/>
        <w:rPr>
          <w:sz w:val="20"/>
          <w:szCs w:val="20"/>
          <w:color w:val="auto"/>
        </w:rPr>
      </w:pPr>
      <w:r>
        <w:rPr>
          <w:rFonts w:ascii="Arial" w:cs="Arial" w:eastAsia="Arial" w:hAnsi="Arial"/>
          <w:sz w:val="11"/>
          <w:szCs w:val="11"/>
          <w:color w:val="050505"/>
        </w:rPr>
        <w:t>In the ordinary course of their various business activities, the underwriters and their respective affiliates, officers, directors, and employees may purchase, sell or hold a broad array of investments and actively trade securities, derivatives, loans,</w:t>
      </w:r>
    </w:p>
    <w:p>
      <w:pPr>
        <w:spacing w:after="0" w:line="93" w:lineRule="exact"/>
        <w:rPr>
          <w:sz w:val="20"/>
          <w:szCs w:val="20"/>
          <w:color w:val="auto"/>
        </w:rPr>
      </w:pPr>
    </w:p>
    <w:p>
      <w:pPr>
        <w:ind w:left="5640"/>
        <w:spacing w:after="0"/>
        <w:rPr>
          <w:sz w:val="20"/>
          <w:szCs w:val="20"/>
          <w:color w:val="auto"/>
        </w:rPr>
      </w:pPr>
      <w:r>
        <w:rPr>
          <w:rFonts w:ascii="Arial" w:cs="Arial" w:eastAsia="Arial" w:hAnsi="Arial"/>
          <w:sz w:val="11"/>
          <w:szCs w:val="11"/>
          <w:color w:val="050505"/>
        </w:rPr>
        <w:t>151</w:t>
      </w:r>
    </w:p>
    <w:p>
      <w:pPr>
        <w:sectPr>
          <w:pgSz w:w="11900" w:h="16838" w:orient="portrait"/>
          <w:cols w:equalWidth="0" w:num="1">
            <w:col w:w="10239"/>
          </w:cols>
          <w:pgMar w:left="220" w:top="354" w:right="1440" w:bottom="1440" w:gutter="0" w:footer="0" w:header="0"/>
        </w:sectPr>
      </w:pPr>
    </w:p>
    <w:bookmarkStart w:id="161" w:name="page162"/>
    <w:bookmarkEnd w:id="161"/>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hyperlink w:anchor="page5">
        <w:r>
          <w:rPr>
            <w:rFonts w:ascii="Arial" w:cs="Arial" w:eastAsia="Arial" w:hAnsi="Arial"/>
            <w:sz w:val="12"/>
            <w:szCs w:val="12"/>
            <w:b w:val="1"/>
            <w:bCs w:val="1"/>
            <w:u w:val="single" w:color="auto"/>
            <w:color w:val="0000EE"/>
          </w:rPr>
          <w:t>Table of Contents</w:t>
        </w:r>
      </w:hyperlink>
    </w:p>
    <w:p>
      <w:pPr>
        <w:spacing w:after="0" w:line="216" w:lineRule="exact"/>
        <w:rPr>
          <w:sz w:val="20"/>
          <w:szCs w:val="20"/>
          <w:color w:val="auto"/>
        </w:rPr>
      </w:pPr>
    </w:p>
    <w:p>
      <w:pPr>
        <w:jc w:val="both"/>
        <w:ind w:left="2060" w:right="839"/>
        <w:spacing w:after="0"/>
        <w:rPr>
          <w:sz w:val="20"/>
          <w:szCs w:val="20"/>
          <w:color w:val="auto"/>
        </w:rPr>
      </w:pPr>
      <w:r>
        <w:rPr>
          <w:rFonts w:ascii="Arial" w:cs="Arial" w:eastAsia="Arial" w:hAnsi="Arial"/>
          <w:sz w:val="11"/>
          <w:szCs w:val="11"/>
          <w:color w:val="050505"/>
        </w:rPr>
        <w:t>commodities, currencies, credit default swaps, and other financial instruments for their own account and for the accounts of their customers, and such investment and trading activities may involve or relate to assets, securities, or instruments of the issuer (directly, as collateral securing other obligations or otherwise) or persons and entities with relationships with the issuer. The underwriters and their respective affiliates may also communicate independent investment recommendations, market color or trading ideas or publish or express independent research views in respect of such assets, securities, or instruments and may at any time hold, or recommend to clients that they should acquire, long or short positions in such assets, securities, and instruments.</w:t>
      </w:r>
    </w:p>
    <w:p>
      <w:pPr>
        <w:spacing w:after="0" w:line="130" w:lineRule="exact"/>
        <w:rPr>
          <w:sz w:val="20"/>
          <w:szCs w:val="20"/>
          <w:color w:val="auto"/>
        </w:rPr>
      </w:pPr>
    </w:p>
    <w:p>
      <w:pPr>
        <w:ind w:left="2060"/>
        <w:spacing w:after="0"/>
        <w:rPr>
          <w:sz w:val="20"/>
          <w:szCs w:val="20"/>
          <w:color w:val="auto"/>
        </w:rPr>
      </w:pPr>
      <w:r>
        <w:rPr>
          <w:rFonts w:ascii="Arial" w:cs="Arial" w:eastAsia="Arial" w:hAnsi="Arial"/>
          <w:sz w:val="11"/>
          <w:szCs w:val="11"/>
          <w:b w:val="1"/>
          <w:bCs w:val="1"/>
          <w:u w:val="single" w:color="auto"/>
          <w:color w:val="auto"/>
        </w:rPr>
        <w:t>European Economic Area</w:t>
      </w:r>
    </w:p>
    <w:p>
      <w:pPr>
        <w:spacing w:after="0" w:line="12" w:lineRule="exact"/>
        <w:rPr>
          <w:sz w:val="20"/>
          <w:szCs w:val="20"/>
          <w:color w:val="auto"/>
        </w:rPr>
      </w:pPr>
    </w:p>
    <w:p>
      <w:pPr>
        <w:jc w:val="both"/>
        <w:ind w:left="2060" w:right="839"/>
        <w:spacing w:after="0" w:line="242" w:lineRule="auto"/>
        <w:rPr>
          <w:sz w:val="20"/>
          <w:szCs w:val="20"/>
          <w:color w:val="auto"/>
        </w:rPr>
      </w:pPr>
      <w:r>
        <w:rPr>
          <w:rFonts w:ascii="Arial" w:cs="Arial" w:eastAsia="Arial" w:hAnsi="Arial"/>
          <w:sz w:val="11"/>
          <w:szCs w:val="11"/>
          <w:color w:val="050505"/>
        </w:rPr>
        <w:t>In relation to each Member State of the European Economic Area, or EEA, that has implemented the Prospectus Directive, each, a ‘Relevant Member State, an offer to the public of shares of our common stock may not be made in that Relevant Member State, except that an offer to the public in that Relevant Member State of shares of our common stock may be made at any time under the following exemptions under the Prospectus Directive:</w:t>
      </w:r>
    </w:p>
    <w:p>
      <w:pPr>
        <w:spacing w:after="0" w:line="140" w:lineRule="exact"/>
        <w:rPr>
          <w:sz w:val="20"/>
          <w:szCs w:val="20"/>
          <w:color w:val="auto"/>
        </w:rPr>
      </w:pPr>
    </w:p>
    <w:p>
      <w:pPr>
        <w:ind w:left="2600" w:hanging="247"/>
        <w:spacing w:after="0"/>
        <w:tabs>
          <w:tab w:leader="none" w:pos="2600" w:val="left"/>
        </w:tabs>
        <w:numPr>
          <w:ilvl w:val="0"/>
          <w:numId w:val="107"/>
        </w:numPr>
        <w:rPr>
          <w:rFonts w:ascii="Arial" w:cs="Arial" w:eastAsia="Arial" w:hAnsi="Arial"/>
          <w:sz w:val="11"/>
          <w:szCs w:val="11"/>
          <w:color w:val="050505"/>
        </w:rPr>
      </w:pPr>
      <w:r>
        <w:rPr>
          <w:rFonts w:ascii="Arial" w:cs="Arial" w:eastAsia="Arial" w:hAnsi="Arial"/>
          <w:sz w:val="11"/>
          <w:szCs w:val="11"/>
          <w:color w:val="050505"/>
        </w:rPr>
        <w:t>To any legal entity which is a qualified investor as defined in the Prospectus Directive;</w:t>
      </w:r>
    </w:p>
    <w:p>
      <w:pPr>
        <w:spacing w:after="0" w:line="143" w:lineRule="exact"/>
        <w:rPr>
          <w:rFonts w:ascii="Arial" w:cs="Arial" w:eastAsia="Arial" w:hAnsi="Arial"/>
          <w:sz w:val="11"/>
          <w:szCs w:val="11"/>
          <w:color w:val="050505"/>
        </w:rPr>
      </w:pPr>
    </w:p>
    <w:p>
      <w:pPr>
        <w:ind w:left="2360" w:right="839" w:hanging="7"/>
        <w:spacing w:after="0" w:line="245" w:lineRule="auto"/>
        <w:tabs>
          <w:tab w:leader="none" w:pos="2616" w:val="left"/>
        </w:tabs>
        <w:numPr>
          <w:ilvl w:val="0"/>
          <w:numId w:val="107"/>
        </w:numPr>
        <w:rPr>
          <w:rFonts w:ascii="Arial" w:cs="Arial" w:eastAsia="Arial" w:hAnsi="Arial"/>
          <w:sz w:val="11"/>
          <w:szCs w:val="11"/>
          <w:color w:val="050505"/>
        </w:rPr>
      </w:pPr>
      <w:r>
        <w:rPr>
          <w:rFonts w:ascii="Arial" w:cs="Arial" w:eastAsia="Arial" w:hAnsi="Arial"/>
          <w:sz w:val="11"/>
          <w:szCs w:val="11"/>
          <w:color w:val="050505"/>
        </w:rPr>
        <w:t>To fewer than 150 natural or legal persons (other than qualified investors as defined in the Prospectus Directive), subject to obtaining the prior consent of the Representatives for any such offer; or</w:t>
      </w:r>
    </w:p>
    <w:p>
      <w:pPr>
        <w:spacing w:after="0" w:line="138" w:lineRule="exact"/>
        <w:rPr>
          <w:rFonts w:ascii="Arial" w:cs="Arial" w:eastAsia="Arial" w:hAnsi="Arial"/>
          <w:sz w:val="11"/>
          <w:szCs w:val="11"/>
          <w:color w:val="050505"/>
        </w:rPr>
      </w:pPr>
    </w:p>
    <w:p>
      <w:pPr>
        <w:ind w:left="2600" w:hanging="247"/>
        <w:spacing w:after="0"/>
        <w:tabs>
          <w:tab w:leader="none" w:pos="2600" w:val="left"/>
        </w:tabs>
        <w:numPr>
          <w:ilvl w:val="0"/>
          <w:numId w:val="107"/>
        </w:numPr>
        <w:rPr>
          <w:rFonts w:ascii="Arial" w:cs="Arial" w:eastAsia="Arial" w:hAnsi="Arial"/>
          <w:sz w:val="11"/>
          <w:szCs w:val="11"/>
          <w:color w:val="050505"/>
        </w:rPr>
      </w:pPr>
      <w:r>
        <w:rPr>
          <w:rFonts w:ascii="Arial" w:cs="Arial" w:eastAsia="Arial" w:hAnsi="Arial"/>
          <w:sz w:val="11"/>
          <w:szCs w:val="11"/>
          <w:color w:val="050505"/>
        </w:rPr>
        <w:t>In any other circumstances falling within Article 3(2) of the Prospectus Directive;</w:t>
      </w:r>
    </w:p>
    <w:p>
      <w:pPr>
        <w:spacing w:after="0" w:line="144" w:lineRule="exact"/>
        <w:rPr>
          <w:sz w:val="20"/>
          <w:szCs w:val="20"/>
          <w:color w:val="auto"/>
        </w:rPr>
      </w:pPr>
    </w:p>
    <w:p>
      <w:pPr>
        <w:jc w:val="both"/>
        <w:ind w:left="2060" w:right="839"/>
        <w:spacing w:after="0" w:line="245" w:lineRule="auto"/>
        <w:rPr>
          <w:sz w:val="20"/>
          <w:szCs w:val="20"/>
          <w:color w:val="auto"/>
        </w:rPr>
      </w:pPr>
      <w:r>
        <w:rPr>
          <w:rFonts w:ascii="Arial" w:cs="Arial" w:eastAsia="Arial" w:hAnsi="Arial"/>
          <w:sz w:val="11"/>
          <w:szCs w:val="11"/>
          <w:color w:val="050505"/>
        </w:rPr>
        <w:t>provided that no such offer of shares of our common stock shall result in a requirement for the publication by us or any Brazilian placement agent of a prospectus pursuant to Article 3 of the Prospectus Directive.</w:t>
      </w:r>
    </w:p>
    <w:p>
      <w:pPr>
        <w:spacing w:after="0" w:line="138" w:lineRule="exact"/>
        <w:rPr>
          <w:sz w:val="20"/>
          <w:szCs w:val="20"/>
          <w:color w:val="auto"/>
        </w:rPr>
      </w:pPr>
    </w:p>
    <w:p>
      <w:pPr>
        <w:jc w:val="both"/>
        <w:ind w:left="2060" w:right="839"/>
        <w:spacing w:after="0"/>
        <w:rPr>
          <w:sz w:val="20"/>
          <w:szCs w:val="20"/>
          <w:color w:val="auto"/>
        </w:rPr>
      </w:pPr>
      <w:r>
        <w:rPr>
          <w:rFonts w:ascii="Arial" w:cs="Arial" w:eastAsia="Arial" w:hAnsi="Arial"/>
          <w:sz w:val="11"/>
          <w:szCs w:val="11"/>
          <w:color w:val="050505"/>
        </w:rPr>
        <w:t>For the purposes of this provision, the expression an “offer to public” in relation to shares of our common stock in any Relevant Member State means the communication in any form and by any means of sufficient information on the terms of the offer and shares of our common stock to be offered so as to enable an investor to decide to purchase shares of our common stock, as the same may be varied in that Member State by any measure implementing the Prospectus Directive in that Member State, the expression ‘‘Prospectus Directive’’ means Directive 2003/71/EC (as amended), including by Directive 2010/73/EU and includes any relevant implementing measure in the Relevant Member State.</w:t>
      </w:r>
    </w:p>
    <w:p>
      <w:pPr>
        <w:spacing w:after="0" w:line="142" w:lineRule="exact"/>
        <w:rPr>
          <w:sz w:val="20"/>
          <w:szCs w:val="20"/>
          <w:color w:val="auto"/>
        </w:rPr>
      </w:pPr>
    </w:p>
    <w:p>
      <w:pPr>
        <w:ind w:left="2060"/>
        <w:spacing w:after="0"/>
        <w:rPr>
          <w:sz w:val="20"/>
          <w:szCs w:val="20"/>
          <w:color w:val="auto"/>
        </w:rPr>
      </w:pPr>
      <w:r>
        <w:rPr>
          <w:rFonts w:ascii="Arial" w:cs="Arial" w:eastAsia="Arial" w:hAnsi="Arial"/>
          <w:sz w:val="11"/>
          <w:szCs w:val="11"/>
          <w:color w:val="050505"/>
        </w:rPr>
        <w:t>This EEA selling restriction is in addition to any other selling restrictions set out below.</w:t>
      </w:r>
    </w:p>
    <w:p>
      <w:pPr>
        <w:spacing w:after="0" w:line="132" w:lineRule="exact"/>
        <w:rPr>
          <w:sz w:val="20"/>
          <w:szCs w:val="20"/>
          <w:color w:val="auto"/>
        </w:rPr>
      </w:pPr>
    </w:p>
    <w:p>
      <w:pPr>
        <w:ind w:left="2060"/>
        <w:spacing w:after="0"/>
        <w:rPr>
          <w:sz w:val="20"/>
          <w:szCs w:val="20"/>
          <w:color w:val="auto"/>
        </w:rPr>
      </w:pPr>
      <w:r>
        <w:rPr>
          <w:rFonts w:ascii="Arial" w:cs="Arial" w:eastAsia="Arial" w:hAnsi="Arial"/>
          <w:sz w:val="11"/>
          <w:szCs w:val="11"/>
          <w:b w:val="1"/>
          <w:bCs w:val="1"/>
          <w:u w:val="single" w:color="auto"/>
          <w:color w:val="auto"/>
        </w:rPr>
        <w:t>United Kingdom</w:t>
      </w:r>
    </w:p>
    <w:p>
      <w:pPr>
        <w:spacing w:after="0" w:line="12" w:lineRule="exact"/>
        <w:rPr>
          <w:sz w:val="20"/>
          <w:szCs w:val="20"/>
          <w:color w:val="auto"/>
        </w:rPr>
      </w:pPr>
    </w:p>
    <w:p>
      <w:pPr>
        <w:jc w:val="both"/>
        <w:ind w:left="2060" w:right="839"/>
        <w:spacing w:after="0"/>
        <w:rPr>
          <w:sz w:val="20"/>
          <w:szCs w:val="20"/>
          <w:color w:val="auto"/>
        </w:rPr>
      </w:pPr>
      <w:r>
        <w:rPr>
          <w:rFonts w:ascii="Arial" w:cs="Arial" w:eastAsia="Arial" w:hAnsi="Arial"/>
          <w:sz w:val="11"/>
          <w:szCs w:val="11"/>
          <w:color w:val="050505"/>
        </w:rPr>
        <w:t>In the United Kingdom, this prospectus is only addressed to and directed as qualified investors who are (1) investment professionals falling within Article 19(5) of the Financial Services and Markets Act 2000 (Financial Promotion) Order 2005, or the Order; or (2) high net worth entities and other persons to whom it may lawfully be communicated, falling within Article 49(2)(a) to (d) of the Order (all such persons together being referred to as “relevant persons”). Any investment or investment activity to which this prospectus relates is available only to relevant persons and will only be engaged with relevant persons. Any person who is not a relevant person should not act or rely on this prospectus or any of its contents.</w:t>
      </w:r>
    </w:p>
    <w:p>
      <w:pPr>
        <w:spacing w:after="0" w:line="130" w:lineRule="exact"/>
        <w:rPr>
          <w:sz w:val="20"/>
          <w:szCs w:val="20"/>
          <w:color w:val="auto"/>
        </w:rPr>
      </w:pPr>
    </w:p>
    <w:p>
      <w:pPr>
        <w:ind w:left="2060"/>
        <w:spacing w:after="0"/>
        <w:rPr>
          <w:sz w:val="20"/>
          <w:szCs w:val="20"/>
          <w:color w:val="auto"/>
        </w:rPr>
      </w:pPr>
      <w:r>
        <w:rPr>
          <w:rFonts w:ascii="Arial" w:cs="Arial" w:eastAsia="Arial" w:hAnsi="Arial"/>
          <w:sz w:val="11"/>
          <w:szCs w:val="11"/>
          <w:b w:val="1"/>
          <w:bCs w:val="1"/>
          <w:u w:val="single" w:color="auto"/>
          <w:color w:val="auto"/>
        </w:rPr>
        <w:t>Canada</w:t>
      </w:r>
    </w:p>
    <w:p>
      <w:pPr>
        <w:spacing w:after="0" w:line="12" w:lineRule="exact"/>
        <w:rPr>
          <w:sz w:val="20"/>
          <w:szCs w:val="20"/>
          <w:color w:val="auto"/>
        </w:rPr>
      </w:pPr>
    </w:p>
    <w:p>
      <w:pPr>
        <w:jc w:val="both"/>
        <w:ind w:left="2060" w:right="839"/>
        <w:spacing w:after="0" w:line="241" w:lineRule="auto"/>
        <w:rPr>
          <w:sz w:val="20"/>
          <w:szCs w:val="20"/>
          <w:color w:val="auto"/>
        </w:rPr>
      </w:pPr>
      <w:r>
        <w:rPr>
          <w:rFonts w:ascii="Arial" w:cs="Arial" w:eastAsia="Arial" w:hAnsi="Arial"/>
          <w:sz w:val="11"/>
          <w:szCs w:val="11"/>
          <w:color w:val="050505"/>
        </w:rPr>
        <w:t>The shares may be sold in Canada only to purchasers purchasing, or deemed to be purchasing, as principals that are accredited investors, as defined in National Instrument 45-106 Prospectus Exemptions or subsection 73.3(1) of the Securities Act (Ontario), and are permitted clients, as defined in National Instrument 31-103 Registration Requirements, Exemptions, and Ongoing Registrant Obligations. Any resale of the shares must be made in accordance with an exemption form, or in a transaction not subject to, the prospectus requirements of applicable securities laws.</w:t>
      </w:r>
    </w:p>
    <w:p>
      <w:pPr>
        <w:spacing w:after="0" w:line="140" w:lineRule="exact"/>
        <w:rPr>
          <w:sz w:val="20"/>
          <w:szCs w:val="20"/>
          <w:color w:val="auto"/>
        </w:rPr>
      </w:pPr>
    </w:p>
    <w:p>
      <w:pPr>
        <w:jc w:val="both"/>
        <w:ind w:left="2060" w:right="839"/>
        <w:spacing w:after="0" w:line="241" w:lineRule="auto"/>
        <w:rPr>
          <w:sz w:val="20"/>
          <w:szCs w:val="20"/>
          <w:color w:val="auto"/>
        </w:rPr>
      </w:pPr>
      <w:r>
        <w:rPr>
          <w:rFonts w:ascii="Arial" w:cs="Arial" w:eastAsia="Arial" w:hAnsi="Arial"/>
          <w:sz w:val="11"/>
          <w:szCs w:val="11"/>
          <w:color w:val="050505"/>
        </w:rPr>
        <w:t>Securities legislation in certain provinces or territories of Canada may provide a purchaser with remedies for rescission or damages if this prospectus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of these rights or consult with a legal advisor.</w:t>
      </w:r>
    </w:p>
    <w:p>
      <w:pPr>
        <w:spacing w:after="0" w:line="140" w:lineRule="exact"/>
        <w:rPr>
          <w:sz w:val="20"/>
          <w:szCs w:val="20"/>
          <w:color w:val="auto"/>
        </w:rPr>
      </w:pPr>
    </w:p>
    <w:p>
      <w:pPr>
        <w:jc w:val="both"/>
        <w:ind w:left="2060" w:right="839"/>
        <w:spacing w:after="0" w:line="245" w:lineRule="auto"/>
        <w:rPr>
          <w:sz w:val="20"/>
          <w:szCs w:val="20"/>
          <w:color w:val="auto"/>
        </w:rPr>
      </w:pPr>
      <w:r>
        <w:rPr>
          <w:rFonts w:ascii="Arial" w:cs="Arial" w:eastAsia="Arial" w:hAnsi="Arial"/>
          <w:sz w:val="11"/>
          <w:szCs w:val="11"/>
          <w:color w:val="050505"/>
        </w:rPr>
        <w:t>Pursuant to section 3A.3 of National Instrument 33-105 Underwriting Conflicts, or NI 33-105, the underwriters are not required to comply with the disclosure requirements of NI 33-105 regarding underwriter conflicts of interest in connection with this offering.</w:t>
      </w:r>
    </w:p>
    <w:p>
      <w:pPr>
        <w:spacing w:after="0" w:line="93" w:lineRule="exact"/>
        <w:rPr>
          <w:sz w:val="20"/>
          <w:szCs w:val="20"/>
          <w:color w:val="auto"/>
        </w:rPr>
      </w:pPr>
    </w:p>
    <w:p>
      <w:pPr>
        <w:ind w:left="5640"/>
        <w:spacing w:after="0"/>
        <w:rPr>
          <w:sz w:val="20"/>
          <w:szCs w:val="20"/>
          <w:color w:val="auto"/>
        </w:rPr>
      </w:pPr>
      <w:r>
        <w:rPr>
          <w:rFonts w:ascii="Arial" w:cs="Arial" w:eastAsia="Arial" w:hAnsi="Arial"/>
          <w:sz w:val="11"/>
          <w:szCs w:val="11"/>
          <w:color w:val="050505"/>
        </w:rPr>
        <w:t>152</w:t>
      </w:r>
    </w:p>
    <w:p>
      <w:pPr>
        <w:sectPr>
          <w:pgSz w:w="11900" w:h="16838" w:orient="portrait"/>
          <w:cols w:equalWidth="0" w:num="1">
            <w:col w:w="10239"/>
          </w:cols>
          <w:pgMar w:left="220" w:top="354" w:right="1440" w:bottom="1440" w:gutter="0" w:footer="0" w:header="0"/>
        </w:sectPr>
      </w:pPr>
    </w:p>
    <w:bookmarkStart w:id="162" w:name="page163"/>
    <w:bookmarkEnd w:id="162"/>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hyperlink w:anchor="page5">
        <w:r>
          <w:rPr>
            <w:rFonts w:ascii="Arial" w:cs="Arial" w:eastAsia="Arial" w:hAnsi="Arial"/>
            <w:sz w:val="12"/>
            <w:szCs w:val="12"/>
            <w:b w:val="1"/>
            <w:bCs w:val="1"/>
            <w:u w:val="single" w:color="auto"/>
            <w:color w:val="0000EE"/>
          </w:rPr>
          <w:t>Table of Contents</w:t>
        </w:r>
      </w:hyperlink>
    </w:p>
    <w:p>
      <w:pPr>
        <w:spacing w:after="0" w:line="204" w:lineRule="exact"/>
        <w:rPr>
          <w:sz w:val="20"/>
          <w:szCs w:val="20"/>
          <w:color w:val="auto"/>
        </w:rPr>
      </w:pPr>
    </w:p>
    <w:p>
      <w:pPr>
        <w:ind w:left="2060"/>
        <w:spacing w:after="0"/>
        <w:rPr>
          <w:sz w:val="20"/>
          <w:szCs w:val="20"/>
          <w:color w:val="auto"/>
        </w:rPr>
      </w:pPr>
      <w:r>
        <w:rPr>
          <w:rFonts w:ascii="Arial" w:cs="Arial" w:eastAsia="Arial" w:hAnsi="Arial"/>
          <w:sz w:val="11"/>
          <w:szCs w:val="11"/>
          <w:b w:val="1"/>
          <w:bCs w:val="1"/>
          <w:u w:val="single" w:color="auto"/>
          <w:color w:val="auto"/>
        </w:rPr>
        <w:t>Hong Kong</w:t>
      </w:r>
    </w:p>
    <w:p>
      <w:pPr>
        <w:spacing w:after="0" w:line="12" w:lineRule="exact"/>
        <w:rPr>
          <w:sz w:val="20"/>
          <w:szCs w:val="20"/>
          <w:color w:val="auto"/>
        </w:rPr>
      </w:pPr>
    </w:p>
    <w:p>
      <w:pPr>
        <w:jc w:val="both"/>
        <w:ind w:left="2060" w:right="839"/>
        <w:spacing w:after="0" w:line="239" w:lineRule="auto"/>
        <w:rPr>
          <w:sz w:val="20"/>
          <w:szCs w:val="20"/>
          <w:color w:val="auto"/>
        </w:rPr>
      </w:pPr>
      <w:r>
        <w:rPr>
          <w:rFonts w:ascii="Arial" w:cs="Arial" w:eastAsia="Arial" w:hAnsi="Arial"/>
          <w:sz w:val="11"/>
          <w:szCs w:val="11"/>
          <w:color w:val="050505"/>
        </w:rPr>
        <w:t>The shares may not be offered or sold in Hong Kong by means of any document other than (1) in circumstances which do not constitute an offer to the public within the meaning of the Companies (Winding Up and Miscellaneous Provisions) Ordinance (Cap. 32 of the Laws of Hong Kong) or, Companies (Winding Up and Miscellaneous Provisions) Ordinance, or which do not constitute an invitation to the public within the meaning of the Securities and Futures Ordinance (Cap. 571 of the Laws of Hong Kong), or Securities and Futures Ordinance, or (2) to “professional investors” as defined in the Securities and Futures Ordinance and any rules made thereunder, or (3) in other circumstances which do not result in the document being a “prospectus” as defined in the Companies (Winding Up and Miscellaneous Provisions) Ordinance, and no advertisement, invitation or document relating to the shares may be issued or may be in the possession of any person for the purpose of issue (in each case whether in Hong Kong or elsewhere), which is directed at, or the contents of which are likely to be accessed or read by, the public in Hong Kong (except if permitted to do so under the securities laws of Hong Kong) other than with respect to shares which are or are intended to be disposed of only to persons outside Hong Kong or only to “professional investors” in Hong Kong as defined in the Securities and Futures Ordinance and any rules made thereunder.</w:t>
      </w:r>
    </w:p>
    <w:p>
      <w:pPr>
        <w:spacing w:after="0" w:line="134" w:lineRule="exact"/>
        <w:rPr>
          <w:sz w:val="20"/>
          <w:szCs w:val="20"/>
          <w:color w:val="auto"/>
        </w:rPr>
      </w:pPr>
    </w:p>
    <w:p>
      <w:pPr>
        <w:ind w:left="2060"/>
        <w:spacing w:after="0"/>
        <w:rPr>
          <w:sz w:val="20"/>
          <w:szCs w:val="20"/>
          <w:color w:val="auto"/>
        </w:rPr>
      </w:pPr>
      <w:r>
        <w:rPr>
          <w:rFonts w:ascii="Arial" w:cs="Arial" w:eastAsia="Arial" w:hAnsi="Arial"/>
          <w:sz w:val="11"/>
          <w:szCs w:val="11"/>
          <w:b w:val="1"/>
          <w:bCs w:val="1"/>
          <w:u w:val="single" w:color="auto"/>
          <w:color w:val="auto"/>
        </w:rPr>
        <w:t>Singapore</w:t>
      </w:r>
    </w:p>
    <w:p>
      <w:pPr>
        <w:spacing w:after="0" w:line="12" w:lineRule="exact"/>
        <w:rPr>
          <w:sz w:val="20"/>
          <w:szCs w:val="20"/>
          <w:color w:val="auto"/>
        </w:rPr>
      </w:pPr>
    </w:p>
    <w:p>
      <w:pPr>
        <w:jc w:val="both"/>
        <w:ind w:left="2060" w:right="839"/>
        <w:spacing w:after="0"/>
        <w:rPr>
          <w:sz w:val="20"/>
          <w:szCs w:val="20"/>
          <w:color w:val="auto"/>
        </w:rPr>
      </w:pPr>
      <w:r>
        <w:rPr>
          <w:rFonts w:ascii="Arial" w:cs="Arial" w:eastAsia="Arial" w:hAnsi="Arial"/>
          <w:sz w:val="11"/>
          <w:szCs w:val="11"/>
          <w:color w:val="050505"/>
        </w:rPr>
        <w:t>This prospectus has not been registered as a prospectus with the Monetary Authority of Singapore. Accordingly, the shares were not offered or sold or caused to be made the subject of an invitation for subscription or purchase and will not be offered or sold or caused to be made the subject of an invitation for subscription or purchase, and this prospectus or any other document or material in connection with the offer or sale, or invitation for subscription or purchase, of the shares, has not been circulated or distributed, nor will it be circulated or distributed, whether directly or indirectly, to any person in Singapore other than (1) to an institutional investor (as defined under Section 4A of the Securities and Futures Act (Chapter 289) of Singapore, as modified or amended from time to time, or the SFA) pursuant to Section 274 of the SFA, (2) to a relevant person (as defined in Section 275(2) of the SFA) pursuant to Section 275(1) of the SFA, or any person pursuant to Section 275(1A) of the SFA, and in accordance with the conditions specified in Section 275 of the SFA or (3) otherwise pursuant to, and in accordance with the conditions of, any other applicable provision of the SFA, in each case subject to conditions set forth in the SFA.</w:t>
      </w:r>
    </w:p>
    <w:p>
      <w:pPr>
        <w:spacing w:after="0" w:line="141" w:lineRule="exact"/>
        <w:rPr>
          <w:sz w:val="20"/>
          <w:szCs w:val="20"/>
          <w:color w:val="auto"/>
        </w:rPr>
      </w:pPr>
    </w:p>
    <w:p>
      <w:pPr>
        <w:jc w:val="both"/>
        <w:ind w:left="2060" w:right="839"/>
        <w:spacing w:after="0" w:line="263" w:lineRule="auto"/>
        <w:rPr>
          <w:sz w:val="20"/>
          <w:szCs w:val="20"/>
          <w:color w:val="auto"/>
        </w:rPr>
      </w:pPr>
      <w:r>
        <w:rPr>
          <w:rFonts w:ascii="Arial" w:cs="Arial" w:eastAsia="Arial" w:hAnsi="Arial"/>
          <w:sz w:val="10"/>
          <w:szCs w:val="10"/>
          <w:color w:val="050505"/>
        </w:rPr>
        <w:t>Where the shares are subscribed or purchased under Section 275 of the SFA by a relevant person which is a corporation (which is not an accredited investor (as defined in Section 4A of the SFA)) the sole business of which is to hold investments and the entire share capital of which is owned by one or more individuals, each of whom is an accredited investor, the securities or securities-based derivatives contracts (each term as defined in Section 2(1) of the SFA) of that corporation shall not be transferable for 6 months after that corporation has acquired the shares under Section 275 of the SFA except:</w:t>
      </w:r>
    </w:p>
    <w:p>
      <w:pPr>
        <w:jc w:val="both"/>
        <w:ind w:left="2060" w:right="839" w:hanging="1"/>
        <w:spacing w:after="0" w:line="242" w:lineRule="auto"/>
        <w:tabs>
          <w:tab w:leader="none" w:pos="2234" w:val="left"/>
        </w:tabs>
        <w:numPr>
          <w:ilvl w:val="0"/>
          <w:numId w:val="108"/>
        </w:numPr>
        <w:rPr>
          <w:rFonts w:ascii="Arial" w:cs="Arial" w:eastAsia="Arial" w:hAnsi="Arial"/>
          <w:sz w:val="11"/>
          <w:szCs w:val="11"/>
          <w:color w:val="050505"/>
        </w:rPr>
      </w:pPr>
      <w:r>
        <w:rPr>
          <w:rFonts w:ascii="Arial" w:cs="Arial" w:eastAsia="Arial" w:hAnsi="Arial"/>
          <w:sz w:val="11"/>
          <w:szCs w:val="11"/>
          <w:color w:val="050505"/>
        </w:rPr>
        <w:t>to an institutional investor under Section 274 of the SFA or to a relevant person, (2) where such transfer arises from an offer in that corporation’s securities pursuant to Section 275(1A) of the SFA, (3) where no consideration is or will be given for the transfer, (4) where the transfer is by operation of law, or (5) as specified in Section 276(7) of the SFA.</w:t>
      </w:r>
    </w:p>
    <w:p>
      <w:pPr>
        <w:spacing w:after="0" w:line="140" w:lineRule="exact"/>
        <w:rPr>
          <w:sz w:val="20"/>
          <w:szCs w:val="20"/>
          <w:color w:val="auto"/>
        </w:rPr>
      </w:pPr>
    </w:p>
    <w:p>
      <w:pPr>
        <w:jc w:val="both"/>
        <w:ind w:left="2060" w:right="839"/>
        <w:spacing w:after="0"/>
        <w:rPr>
          <w:sz w:val="20"/>
          <w:szCs w:val="20"/>
          <w:color w:val="auto"/>
        </w:rPr>
      </w:pPr>
      <w:r>
        <w:rPr>
          <w:rFonts w:ascii="Arial" w:cs="Arial" w:eastAsia="Arial" w:hAnsi="Arial"/>
          <w:sz w:val="11"/>
          <w:szCs w:val="11"/>
          <w:color w:val="050505"/>
        </w:rPr>
        <w:t>Where the shares are subscribed or purchased under Section 275 of the SFA by a relevant person which is a trust (where the trustee is not an accredited investor (as defined in Section 4A of the SFA)) whose sole purpose is to hold investments and each beneficiary of the trust is an accredited investor, the beneficiaries’ rights and interest (howsoever described) in that trust shall not be transferable for 6 months after that trust has acquired the shares under Section 275 of the SFA except: (1) to an institutional investor under Section 274 of the SFA or to a relevant person, (2) where such transfer arises from an offer that is made on terms that such rights or interest are acquired at a consideration of not less than S$200,000 (or its equivalent in a foreign currency) for each transaction (whether such amount is to be paid for in cash or by exchange of securities or other assets), (3) where no consideration is or will be given for the transfer, (4) where the transfer is by operation of law, or (5) as specified in Section 276(7) of the SFA.</w:t>
      </w:r>
    </w:p>
    <w:p>
      <w:pPr>
        <w:spacing w:after="0" w:line="129" w:lineRule="exact"/>
        <w:rPr>
          <w:sz w:val="20"/>
          <w:szCs w:val="20"/>
          <w:color w:val="auto"/>
        </w:rPr>
      </w:pPr>
    </w:p>
    <w:p>
      <w:pPr>
        <w:ind w:left="2060"/>
        <w:spacing w:after="0"/>
        <w:rPr>
          <w:sz w:val="20"/>
          <w:szCs w:val="20"/>
          <w:color w:val="auto"/>
        </w:rPr>
      </w:pPr>
      <w:r>
        <w:rPr>
          <w:rFonts w:ascii="Arial" w:cs="Arial" w:eastAsia="Arial" w:hAnsi="Arial"/>
          <w:sz w:val="11"/>
          <w:szCs w:val="11"/>
          <w:b w:val="1"/>
          <w:bCs w:val="1"/>
          <w:u w:val="single" w:color="auto"/>
          <w:color w:val="auto"/>
        </w:rPr>
        <w:t>Japan</w:t>
      </w:r>
    </w:p>
    <w:p>
      <w:pPr>
        <w:spacing w:after="0" w:line="12" w:lineRule="exact"/>
        <w:rPr>
          <w:sz w:val="20"/>
          <w:szCs w:val="20"/>
          <w:color w:val="auto"/>
        </w:rPr>
      </w:pPr>
    </w:p>
    <w:p>
      <w:pPr>
        <w:jc w:val="both"/>
        <w:ind w:left="2060" w:right="839"/>
        <w:spacing w:after="0"/>
        <w:rPr>
          <w:sz w:val="20"/>
          <w:szCs w:val="20"/>
          <w:color w:val="auto"/>
        </w:rPr>
      </w:pPr>
      <w:r>
        <w:rPr>
          <w:rFonts w:ascii="Arial" w:cs="Arial" w:eastAsia="Arial" w:hAnsi="Arial"/>
          <w:sz w:val="11"/>
          <w:szCs w:val="11"/>
          <w:color w:val="050505"/>
        </w:rPr>
        <w:t>The shares have not been and will not be registered under the Financial Instruments and Exchange Act of Japan (Act No. 25 of 1948, as amended), or the FIEA. The shares may not be offered or sold, directly or indirectly, in Japan or to or for the benefit of any resident of Japan (including any person resident in Japan or any corporation or other entity organized under the laws of Japan) or to others for reoffering or resale, directly or indirectly, in Japan or to or for the benefit of any resident of Japan, except pursuant to an exemption from the registration requirements of the FIEA and otherwise in compliance with any relevant laws and regulations of Japan.</w:t>
      </w:r>
    </w:p>
    <w:p>
      <w:pPr>
        <w:spacing w:after="0" w:line="97" w:lineRule="exact"/>
        <w:rPr>
          <w:sz w:val="20"/>
          <w:szCs w:val="20"/>
          <w:color w:val="auto"/>
        </w:rPr>
      </w:pPr>
    </w:p>
    <w:p>
      <w:pPr>
        <w:ind w:left="5640"/>
        <w:spacing w:after="0"/>
        <w:rPr>
          <w:sz w:val="20"/>
          <w:szCs w:val="20"/>
          <w:color w:val="auto"/>
        </w:rPr>
      </w:pPr>
      <w:r>
        <w:rPr>
          <w:rFonts w:ascii="Arial" w:cs="Arial" w:eastAsia="Arial" w:hAnsi="Arial"/>
          <w:sz w:val="11"/>
          <w:szCs w:val="11"/>
          <w:color w:val="050505"/>
        </w:rPr>
        <w:t>153</w:t>
      </w:r>
    </w:p>
    <w:p>
      <w:pPr>
        <w:sectPr>
          <w:pgSz w:w="11900" w:h="16838" w:orient="portrait"/>
          <w:cols w:equalWidth="0" w:num="1">
            <w:col w:w="10239"/>
          </w:cols>
          <w:pgMar w:left="220" w:top="354" w:right="1440" w:bottom="1440" w:gutter="0" w:footer="0" w:header="0"/>
        </w:sectPr>
      </w:pPr>
    </w:p>
    <w:bookmarkStart w:id="163" w:name="page164"/>
    <w:bookmarkEnd w:id="163"/>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hyperlink w:anchor="page5">
        <w:r>
          <w:rPr>
            <w:rFonts w:ascii="Arial" w:cs="Arial" w:eastAsia="Arial" w:hAnsi="Arial"/>
            <w:sz w:val="12"/>
            <w:szCs w:val="12"/>
            <w:b w:val="1"/>
            <w:bCs w:val="1"/>
            <w:u w:val="single" w:color="auto"/>
            <w:color w:val="0000EE"/>
          </w:rPr>
          <w:t>Table of Contents</w:t>
        </w:r>
      </w:hyperlink>
    </w:p>
    <w:p>
      <w:pPr>
        <w:spacing w:after="0" w:line="200" w:lineRule="exact"/>
        <w:rPr>
          <w:sz w:val="20"/>
          <w:szCs w:val="20"/>
          <w:color w:val="auto"/>
        </w:rPr>
      </w:pPr>
    </w:p>
    <w:p>
      <w:pPr>
        <w:jc w:val="center"/>
        <w:ind w:right="-1220"/>
        <w:spacing w:after="0"/>
        <w:rPr>
          <w:sz w:val="20"/>
          <w:szCs w:val="20"/>
          <w:color w:val="auto"/>
        </w:rPr>
      </w:pPr>
      <w:r>
        <w:rPr>
          <w:rFonts w:ascii="Arial" w:cs="Arial" w:eastAsia="Arial" w:hAnsi="Arial"/>
          <w:sz w:val="12"/>
          <w:szCs w:val="12"/>
          <w:b w:val="1"/>
          <w:bCs w:val="1"/>
          <w:color w:val="auto"/>
        </w:rPr>
        <w:t>PRIVATE PLACEMENT</w:t>
      </w:r>
    </w:p>
    <w:p>
      <w:pPr>
        <w:spacing w:after="0" w:line="157" w:lineRule="exact"/>
        <w:rPr>
          <w:sz w:val="20"/>
          <w:szCs w:val="20"/>
          <w:color w:val="auto"/>
        </w:rPr>
      </w:pPr>
    </w:p>
    <w:p>
      <w:pPr>
        <w:jc w:val="both"/>
        <w:ind w:left="2060" w:right="839"/>
        <w:spacing w:after="0" w:line="278" w:lineRule="auto"/>
        <w:rPr>
          <w:sz w:val="20"/>
          <w:szCs w:val="20"/>
          <w:color w:val="auto"/>
        </w:rPr>
      </w:pPr>
      <w:r>
        <w:rPr>
          <w:rFonts w:ascii="Arial" w:cs="Arial" w:eastAsia="Arial" w:hAnsi="Arial"/>
          <w:sz w:val="10"/>
          <w:szCs w:val="10"/>
          <w:color w:val="050505"/>
        </w:rPr>
        <w:t>Entities affiliated with TCV will purchase from us in a private placement a number of shares of Class A common stock with an aggregate purchase price of approximately $100.0 million at a price per share equal to the initial public offering price. Based upon the initial public offering price of $29.00 per share this will be 3,448,275 shares of Class A common stock. The sale of these shares to entities affiliated with TCV will not be registered in this offering.</w:t>
      </w:r>
    </w:p>
    <w:p>
      <w:pPr>
        <w:spacing w:after="0" w:line="179" w:lineRule="exact"/>
        <w:rPr>
          <w:sz w:val="20"/>
          <w:szCs w:val="20"/>
          <w:color w:val="auto"/>
        </w:rPr>
      </w:pPr>
    </w:p>
    <w:p>
      <w:pPr>
        <w:jc w:val="center"/>
        <w:ind w:right="-1220"/>
        <w:spacing w:after="0"/>
        <w:rPr>
          <w:sz w:val="20"/>
          <w:szCs w:val="20"/>
          <w:color w:val="auto"/>
        </w:rPr>
      </w:pPr>
      <w:r>
        <w:rPr>
          <w:rFonts w:ascii="Arial" w:cs="Arial" w:eastAsia="Arial" w:hAnsi="Arial"/>
          <w:sz w:val="12"/>
          <w:szCs w:val="12"/>
          <w:b w:val="1"/>
          <w:bCs w:val="1"/>
          <w:color w:val="auto"/>
        </w:rPr>
        <w:t>LEGAL MATTERS</w:t>
      </w:r>
    </w:p>
    <w:p>
      <w:pPr>
        <w:spacing w:after="0" w:line="157" w:lineRule="exact"/>
        <w:rPr>
          <w:sz w:val="20"/>
          <w:szCs w:val="20"/>
          <w:color w:val="auto"/>
        </w:rPr>
      </w:pPr>
    </w:p>
    <w:p>
      <w:pPr>
        <w:jc w:val="both"/>
        <w:ind w:left="2060" w:right="839"/>
        <w:spacing w:after="0" w:line="273" w:lineRule="auto"/>
        <w:rPr>
          <w:sz w:val="20"/>
          <w:szCs w:val="20"/>
          <w:color w:val="auto"/>
        </w:rPr>
      </w:pPr>
      <w:r>
        <w:rPr>
          <w:rFonts w:ascii="Arial" w:cs="Arial" w:eastAsia="Arial" w:hAnsi="Arial"/>
          <w:sz w:val="10"/>
          <w:szCs w:val="10"/>
          <w:color w:val="050505"/>
        </w:rPr>
        <w:t>Fenwick &amp; West LLP, New York, New York, which has acted as our counsel in connection with this offering, will pass upon the validity of the issuance of the shares of our Class A common stock offered by this prospectus. As of the date of this prospectus, individuals and entities associated with Fenwick &amp; West LLP beneficially own an aggregate of 6,580 shares of our Series F redeemable convertible preferred stock, which will convert to Class B common stock in connection with the completion of this offering. Latham &amp; Watkins LLP, New York, New York is acting as counsel to the underwriters.</w:t>
      </w:r>
    </w:p>
    <w:p>
      <w:pPr>
        <w:spacing w:after="0" w:line="185" w:lineRule="exact"/>
        <w:rPr>
          <w:sz w:val="20"/>
          <w:szCs w:val="20"/>
          <w:color w:val="auto"/>
        </w:rPr>
      </w:pPr>
    </w:p>
    <w:p>
      <w:pPr>
        <w:jc w:val="center"/>
        <w:ind w:right="-1220"/>
        <w:spacing w:after="0"/>
        <w:rPr>
          <w:sz w:val="20"/>
          <w:szCs w:val="20"/>
          <w:color w:val="auto"/>
        </w:rPr>
      </w:pPr>
      <w:r>
        <w:rPr>
          <w:rFonts w:ascii="Arial" w:cs="Arial" w:eastAsia="Arial" w:hAnsi="Arial"/>
          <w:sz w:val="11"/>
          <w:szCs w:val="11"/>
          <w:b w:val="1"/>
          <w:bCs w:val="1"/>
          <w:color w:val="auto"/>
        </w:rPr>
        <w:t>EXPERTS</w:t>
      </w:r>
    </w:p>
    <w:p>
      <w:pPr>
        <w:spacing w:after="0" w:line="156" w:lineRule="exact"/>
        <w:rPr>
          <w:sz w:val="20"/>
          <w:szCs w:val="20"/>
          <w:color w:val="auto"/>
        </w:rPr>
      </w:pPr>
    </w:p>
    <w:p>
      <w:pPr>
        <w:jc w:val="both"/>
        <w:ind w:left="2060" w:right="839"/>
        <w:spacing w:after="0" w:line="245" w:lineRule="auto"/>
        <w:rPr>
          <w:sz w:val="20"/>
          <w:szCs w:val="20"/>
          <w:color w:val="auto"/>
        </w:rPr>
      </w:pPr>
      <w:r>
        <w:rPr>
          <w:rFonts w:ascii="Arial" w:cs="Arial" w:eastAsia="Arial" w:hAnsi="Arial"/>
          <w:sz w:val="11"/>
          <w:szCs w:val="11"/>
          <w:color w:val="050505"/>
        </w:rPr>
        <w:t>The financial statements audited by Ernst &amp; Young LLP as of June 30, 2018 and 2019 and for each of the three years in the period ended June 30, 2019 have been included in this prospectus in reliance on the authority of their report as experts in accounting and auditing.</w:t>
      </w:r>
    </w:p>
    <w:p>
      <w:pPr>
        <w:spacing w:after="0" w:line="198" w:lineRule="exact"/>
        <w:rPr>
          <w:sz w:val="20"/>
          <w:szCs w:val="20"/>
          <w:color w:val="auto"/>
        </w:rPr>
      </w:pPr>
    </w:p>
    <w:p>
      <w:pPr>
        <w:jc w:val="center"/>
        <w:ind w:right="-1220"/>
        <w:spacing w:after="0"/>
        <w:rPr>
          <w:sz w:val="20"/>
          <w:szCs w:val="20"/>
          <w:color w:val="auto"/>
        </w:rPr>
      </w:pPr>
      <w:r>
        <w:rPr>
          <w:rFonts w:ascii="Arial" w:cs="Arial" w:eastAsia="Arial" w:hAnsi="Arial"/>
          <w:sz w:val="11"/>
          <w:szCs w:val="11"/>
          <w:b w:val="1"/>
          <w:bCs w:val="1"/>
          <w:color w:val="auto"/>
        </w:rPr>
        <w:t>WHERE YOU CAN FIND ADDITIONAL INFORMATION</w:t>
      </w:r>
    </w:p>
    <w:p>
      <w:pPr>
        <w:spacing w:after="0" w:line="156" w:lineRule="exact"/>
        <w:rPr>
          <w:sz w:val="20"/>
          <w:szCs w:val="20"/>
          <w:color w:val="auto"/>
        </w:rPr>
      </w:pPr>
    </w:p>
    <w:p>
      <w:pPr>
        <w:jc w:val="both"/>
        <w:ind w:left="2060" w:right="839"/>
        <w:spacing w:after="0"/>
        <w:rPr>
          <w:sz w:val="20"/>
          <w:szCs w:val="20"/>
          <w:color w:val="auto"/>
        </w:rPr>
      </w:pPr>
      <w:r>
        <w:rPr>
          <w:rFonts w:ascii="Arial" w:cs="Arial" w:eastAsia="Arial" w:hAnsi="Arial"/>
          <w:sz w:val="11"/>
          <w:szCs w:val="11"/>
          <w:color w:val="050505"/>
        </w:rPr>
        <w:t xml:space="preserve">We have filed with the SEC a registration statement on Form S-1 under the Securities Act with respect to the shares of our Class A common stock offered hereby. This prospectus, which constitutes a part of the registration statement, does not contain all of the information set forth in the registration statement or the exhibits filed therewith. For further information about us and the Class A common stock offered hereby, reference is made to the registration statement and the exhibits filed therewith. Statements contained in this prospectus regarding the contents of any contract or any other document that is filed as an exhibit to the registration statement are not necessarily complete, and in each instance, we refer you to the copy of such contract or other document filed as an exhibit to the registration statement. The SEC maintains a website that contains reports, proxy, and information statements, and other information regarding registrants that file electronically with the SEC. The address of the website is </w:t>
      </w:r>
      <w:r>
        <w:rPr>
          <w:rFonts w:ascii="Arial" w:cs="Arial" w:eastAsia="Arial" w:hAnsi="Arial"/>
          <w:sz w:val="11"/>
          <w:szCs w:val="11"/>
          <w:i w:val="1"/>
          <w:iCs w:val="1"/>
          <w:color w:val="050505"/>
        </w:rPr>
        <w:t>www.sec.gov</w:t>
      </w:r>
      <w:r>
        <w:rPr>
          <w:rFonts w:ascii="Arial" w:cs="Arial" w:eastAsia="Arial" w:hAnsi="Arial"/>
          <w:sz w:val="11"/>
          <w:szCs w:val="11"/>
          <w:color w:val="050505"/>
        </w:rPr>
        <w:t>.</w:t>
      </w:r>
    </w:p>
    <w:p>
      <w:pPr>
        <w:spacing w:after="0" w:line="141" w:lineRule="exact"/>
        <w:rPr>
          <w:sz w:val="20"/>
          <w:szCs w:val="20"/>
          <w:color w:val="auto"/>
        </w:rPr>
      </w:pPr>
    </w:p>
    <w:p>
      <w:pPr>
        <w:jc w:val="both"/>
        <w:ind w:left="2060" w:right="839"/>
        <w:spacing w:after="0"/>
        <w:rPr>
          <w:sz w:val="20"/>
          <w:szCs w:val="20"/>
          <w:color w:val="auto"/>
        </w:rPr>
      </w:pPr>
      <w:r>
        <w:rPr>
          <w:rFonts w:ascii="Arial" w:cs="Arial" w:eastAsia="Arial" w:hAnsi="Arial"/>
          <w:sz w:val="11"/>
          <w:szCs w:val="11"/>
          <w:color w:val="050505"/>
        </w:rPr>
        <w:t xml:space="preserve">As a result of this offering, we will become subject to the information and reporting requirements of the Exchange Act and, in accordance with this law, will file periodic reports, proxy statements, and other information with the SEC. These periodic reports, proxy statements, and other information will be available for inspection and copying at the SEC’s public reference facilities and the website of the SEC referred to above. We also maintain a website at </w:t>
      </w:r>
      <w:r>
        <w:rPr>
          <w:rFonts w:ascii="Arial" w:cs="Arial" w:eastAsia="Arial" w:hAnsi="Arial"/>
          <w:sz w:val="11"/>
          <w:szCs w:val="11"/>
          <w:i w:val="1"/>
          <w:iCs w:val="1"/>
          <w:color w:val="050505"/>
        </w:rPr>
        <w:t>www.onepeloton.com</w:t>
      </w:r>
      <w:r>
        <w:rPr>
          <w:rFonts w:ascii="Arial" w:cs="Arial" w:eastAsia="Arial" w:hAnsi="Arial"/>
          <w:sz w:val="11"/>
          <w:szCs w:val="11"/>
          <w:color w:val="050505"/>
        </w:rPr>
        <w:t>. Upon the completion of this offering, you may access these materials free of charge as soon as reasonably practicable after they</w:t>
      </w:r>
      <w:r>
        <w:rPr>
          <w:rFonts w:ascii="Arial" w:cs="Arial" w:eastAsia="Arial" w:hAnsi="Arial"/>
          <w:sz w:val="11"/>
          <w:szCs w:val="11"/>
          <w:i w:val="1"/>
          <w:iCs w:val="1"/>
          <w:color w:val="050505"/>
        </w:rPr>
        <w:t xml:space="preserve"> </w:t>
      </w:r>
      <w:r>
        <w:rPr>
          <w:rFonts w:ascii="Arial" w:cs="Arial" w:eastAsia="Arial" w:hAnsi="Arial"/>
          <w:sz w:val="11"/>
          <w:szCs w:val="11"/>
          <w:color w:val="050505"/>
        </w:rPr>
        <w:t>are electronically filed with, or furnished to, the SEC. The inclusion of our website address in this prospectus is an inactive textual reference only. The information contained in or accessible through our website is not part of this prospectus or the registration statement of which this prospectus forms a part, and investors should not rely on such information in making a decision to purchase our Class A common stock in this offering.</w:t>
      </w:r>
    </w:p>
    <w:p>
      <w:pPr>
        <w:spacing w:after="0" w:line="96" w:lineRule="exact"/>
        <w:rPr>
          <w:sz w:val="20"/>
          <w:szCs w:val="20"/>
          <w:color w:val="auto"/>
        </w:rPr>
      </w:pPr>
    </w:p>
    <w:p>
      <w:pPr>
        <w:ind w:left="5640"/>
        <w:spacing w:after="0"/>
        <w:rPr>
          <w:sz w:val="20"/>
          <w:szCs w:val="20"/>
          <w:color w:val="auto"/>
        </w:rPr>
      </w:pPr>
      <w:r>
        <w:rPr>
          <w:rFonts w:ascii="Arial" w:cs="Arial" w:eastAsia="Arial" w:hAnsi="Arial"/>
          <w:sz w:val="11"/>
          <w:szCs w:val="11"/>
          <w:color w:val="050505"/>
        </w:rPr>
        <w:t>154</w:t>
      </w:r>
    </w:p>
    <w:p>
      <w:pPr>
        <w:sectPr>
          <w:pgSz w:w="11900" w:h="16838" w:orient="portrait"/>
          <w:cols w:equalWidth="0" w:num="1">
            <w:col w:w="10239"/>
          </w:cols>
          <w:pgMar w:left="220" w:top="354" w:right="1440" w:bottom="1440" w:gutter="0" w:footer="0" w:header="0"/>
        </w:sectPr>
      </w:pPr>
    </w:p>
    <w:bookmarkStart w:id="164" w:name="page165"/>
    <w:bookmarkEnd w:id="164"/>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hyperlink w:anchor="page5">
        <w:r>
          <w:rPr>
            <w:rFonts w:ascii="Arial" w:cs="Arial" w:eastAsia="Arial" w:hAnsi="Arial"/>
            <w:sz w:val="12"/>
            <w:szCs w:val="12"/>
            <w:b w:val="1"/>
            <w:bCs w:val="1"/>
            <w:u w:val="single" w:color="auto"/>
            <w:color w:val="0000EE"/>
          </w:rPr>
          <w:t>Table of Contents</w:t>
        </w:r>
      </w:hyperlink>
    </w:p>
    <w:p>
      <w:pPr>
        <w:spacing w:after="0" w:line="200" w:lineRule="exact"/>
        <w:rPr>
          <w:sz w:val="20"/>
          <w:szCs w:val="20"/>
          <w:color w:val="auto"/>
        </w:rPr>
      </w:pPr>
    </w:p>
    <w:p>
      <w:pPr>
        <w:jc w:val="center"/>
        <w:ind w:right="-1220"/>
        <w:spacing w:after="0"/>
        <w:rPr>
          <w:sz w:val="20"/>
          <w:szCs w:val="20"/>
          <w:color w:val="auto"/>
        </w:rPr>
      </w:pPr>
      <w:r>
        <w:rPr>
          <w:rFonts w:ascii="Arial" w:cs="Arial" w:eastAsia="Arial" w:hAnsi="Arial"/>
          <w:sz w:val="12"/>
          <w:szCs w:val="12"/>
          <w:b w:val="1"/>
          <w:bCs w:val="1"/>
          <w:color w:val="auto"/>
        </w:rPr>
        <w:t>PELOTON INTERACTIVE, INC.</w:t>
      </w:r>
    </w:p>
    <w:p>
      <w:pPr>
        <w:spacing w:after="0" w:line="13" w:lineRule="exact"/>
        <w:rPr>
          <w:sz w:val="20"/>
          <w:szCs w:val="20"/>
          <w:color w:val="auto"/>
        </w:rPr>
      </w:pPr>
    </w:p>
    <w:p>
      <w:pPr>
        <w:ind w:left="4620"/>
        <w:spacing w:after="0"/>
        <w:rPr>
          <w:sz w:val="20"/>
          <w:szCs w:val="20"/>
          <w:color w:val="auto"/>
        </w:rPr>
      </w:pPr>
      <w:r>
        <w:rPr>
          <w:rFonts w:ascii="Arial" w:cs="Arial" w:eastAsia="Arial" w:hAnsi="Arial"/>
          <w:sz w:val="11"/>
          <w:szCs w:val="11"/>
          <w:b w:val="1"/>
          <w:bCs w:val="1"/>
          <w:color w:val="auto"/>
        </w:rPr>
        <w:t>Index to Consolidated Financial Statements</w:t>
      </w:r>
    </w:p>
    <w:p>
      <w:pPr>
        <w:spacing w:after="0" w:line="150" w:lineRule="exact"/>
        <w:rPr>
          <w:sz w:val="20"/>
          <w:szCs w:val="20"/>
          <w:color w:val="auto"/>
        </w:rPr>
      </w:pPr>
    </w:p>
    <w:tbl>
      <w:tblPr>
        <w:tblLayout w:type="fixed"/>
        <w:tblInd w:w="2060" w:type="dxa"/>
        <w:tblCellMar>
          <w:top w:w="0" w:type="dxa"/>
          <w:left w:w="0" w:type="dxa"/>
          <w:bottom w:w="0" w:type="dxa"/>
          <w:right w:w="0" w:type="dxa"/>
        </w:tblCellMar>
      </w:tblPr>
      <w:tr>
        <w:trPr>
          <w:trHeight w:val="137"/>
        </w:trPr>
        <w:tc>
          <w:tcPr>
            <w:tcW w:w="6080" w:type="dxa"/>
            <w:vAlign w:val="bottom"/>
            <w:gridSpan w:val="7"/>
            <w:vMerge w:val="restart"/>
          </w:tcPr>
          <w:p>
            <w:pPr>
              <w:spacing w:after="0"/>
              <w:rPr>
                <w:sz w:val="20"/>
                <w:szCs w:val="20"/>
                <w:color w:val="auto"/>
              </w:rPr>
            </w:pPr>
            <w:r>
              <w:rPr>
                <w:rFonts w:ascii="Arial" w:cs="Arial" w:eastAsia="Arial" w:hAnsi="Arial"/>
                <w:sz w:val="11"/>
                <w:szCs w:val="11"/>
                <w:b w:val="1"/>
                <w:bCs w:val="1"/>
                <w:color w:val="auto"/>
              </w:rPr>
              <w:t>Audited Financial Statements</w:t>
            </w:r>
          </w:p>
        </w:tc>
        <w:tc>
          <w:tcPr>
            <w:tcW w:w="1240" w:type="dxa"/>
            <w:vAlign w:val="bottom"/>
            <w:gridSpan w:val="2"/>
          </w:tcPr>
          <w:p>
            <w:pPr>
              <w:jc w:val="right"/>
              <w:spacing w:after="0"/>
              <w:rPr>
                <w:sz w:val="20"/>
                <w:szCs w:val="20"/>
                <w:color w:val="auto"/>
              </w:rPr>
            </w:pPr>
            <w:r>
              <w:rPr>
                <w:rFonts w:ascii="Arial" w:cs="Arial" w:eastAsia="Arial" w:hAnsi="Arial"/>
                <w:sz w:val="11"/>
                <w:szCs w:val="11"/>
                <w:b w:val="1"/>
                <w:bCs w:val="1"/>
                <w:color w:val="auto"/>
              </w:rPr>
              <w:t>Page</w:t>
            </w:r>
          </w:p>
        </w:tc>
        <w:tc>
          <w:tcPr>
            <w:tcW w:w="0" w:type="dxa"/>
            <w:vAlign w:val="bottom"/>
          </w:tcPr>
          <w:p>
            <w:pPr>
              <w:spacing w:after="0"/>
              <w:rPr>
                <w:sz w:val="1"/>
                <w:szCs w:val="1"/>
                <w:color w:val="auto"/>
              </w:rPr>
            </w:pPr>
          </w:p>
        </w:tc>
      </w:tr>
      <w:tr>
        <w:trPr>
          <w:trHeight w:val="111"/>
        </w:trPr>
        <w:tc>
          <w:tcPr>
            <w:tcW w:w="6080" w:type="dxa"/>
            <w:vAlign w:val="bottom"/>
            <w:gridSpan w:val="7"/>
            <w:vMerge w:val="continue"/>
          </w:tcPr>
          <w:p>
            <w:pPr>
              <w:spacing w:after="0"/>
              <w:rPr>
                <w:sz w:val="9"/>
                <w:szCs w:val="9"/>
                <w:color w:val="auto"/>
              </w:rPr>
            </w:pPr>
          </w:p>
        </w:tc>
        <w:tc>
          <w:tcPr>
            <w:tcW w:w="980" w:type="dxa"/>
            <w:vAlign w:val="bottom"/>
          </w:tcPr>
          <w:p>
            <w:pPr>
              <w:spacing w:after="0"/>
              <w:rPr>
                <w:sz w:val="9"/>
                <w:szCs w:val="9"/>
                <w:color w:val="auto"/>
              </w:rPr>
            </w:pPr>
          </w:p>
        </w:tc>
        <w:tc>
          <w:tcPr>
            <w:tcW w:w="260" w:type="dxa"/>
            <w:vAlign w:val="bottom"/>
            <w:tcBorders>
              <w:top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47"/>
        </w:trPr>
        <w:tc>
          <w:tcPr>
            <w:tcW w:w="6080" w:type="dxa"/>
            <w:vAlign w:val="bottom"/>
            <w:gridSpan w:val="7"/>
          </w:tcPr>
          <w:p>
            <w:pPr>
              <w:spacing w:after="0"/>
              <w:rPr>
                <w:rFonts w:ascii="Arial" w:cs="Arial" w:eastAsia="Arial" w:hAnsi="Arial"/>
                <w:sz w:val="11"/>
                <w:szCs w:val="11"/>
                <w:color w:val="0000EE"/>
              </w:rPr>
            </w:pPr>
            <w:hyperlink w:anchor="page166">
              <w:r>
                <w:rPr>
                  <w:rFonts w:ascii="Arial" w:cs="Arial" w:eastAsia="Arial" w:hAnsi="Arial"/>
                  <w:sz w:val="11"/>
                  <w:szCs w:val="11"/>
                  <w:color w:val="0000EE"/>
                </w:rPr>
                <w:t>Report of Independent Registered Public Accounting Firm</w:t>
              </w:r>
            </w:hyperlink>
          </w:p>
        </w:tc>
        <w:tc>
          <w:tcPr>
            <w:tcW w:w="980" w:type="dxa"/>
            <w:vAlign w:val="bottom"/>
          </w:tcPr>
          <w:p>
            <w:pPr>
              <w:spacing w:after="0"/>
              <w:rPr>
                <w:sz w:val="21"/>
                <w:szCs w:val="21"/>
                <w:color w:val="auto"/>
              </w:rPr>
            </w:pPr>
          </w:p>
        </w:tc>
        <w:tc>
          <w:tcPr>
            <w:tcW w:w="260" w:type="dxa"/>
            <w:vAlign w:val="bottom"/>
          </w:tcPr>
          <w:p>
            <w:pPr>
              <w:jc w:val="right"/>
              <w:spacing w:after="0"/>
              <w:rPr>
                <w:sz w:val="20"/>
                <w:szCs w:val="20"/>
                <w:color w:val="auto"/>
              </w:rPr>
            </w:pPr>
            <w:r>
              <w:rPr>
                <w:rFonts w:ascii="Arial" w:cs="Arial" w:eastAsia="Arial" w:hAnsi="Arial"/>
                <w:sz w:val="11"/>
                <w:szCs w:val="11"/>
                <w:color w:val="auto"/>
              </w:rPr>
              <w:t>F-2</w:t>
            </w:r>
          </w:p>
        </w:tc>
        <w:tc>
          <w:tcPr>
            <w:tcW w:w="0" w:type="dxa"/>
            <w:vAlign w:val="bottom"/>
          </w:tcPr>
          <w:p>
            <w:pPr>
              <w:spacing w:after="0"/>
              <w:rPr>
                <w:sz w:val="1"/>
                <w:szCs w:val="1"/>
                <w:color w:val="auto"/>
              </w:rPr>
            </w:pPr>
          </w:p>
        </w:tc>
      </w:tr>
      <w:tr>
        <w:trPr>
          <w:trHeight w:val="125"/>
        </w:trPr>
        <w:tc>
          <w:tcPr>
            <w:tcW w:w="2760" w:type="dxa"/>
            <w:vAlign w:val="bottom"/>
            <w:tcBorders>
              <w:top w:val="single" w:sz="8" w:color="0000EE"/>
            </w:tcBorders>
            <w:gridSpan w:val="4"/>
          </w:tcPr>
          <w:p>
            <w:pPr>
              <w:spacing w:after="0" w:line="125" w:lineRule="exact"/>
              <w:rPr>
                <w:sz w:val="20"/>
                <w:szCs w:val="20"/>
                <w:color w:val="auto"/>
              </w:rPr>
            </w:pPr>
            <w:r>
              <w:rPr>
                <w:rFonts w:ascii="Arial" w:cs="Arial" w:eastAsia="Arial" w:hAnsi="Arial"/>
                <w:sz w:val="11"/>
                <w:szCs w:val="11"/>
                <w:color w:val="auto"/>
              </w:rPr>
              <w:t>Financial Statements:</w:t>
            </w:r>
          </w:p>
        </w:tc>
        <w:tc>
          <w:tcPr>
            <w:tcW w:w="3320" w:type="dxa"/>
            <w:vAlign w:val="bottom"/>
            <w:gridSpan w:val="3"/>
          </w:tcPr>
          <w:p>
            <w:pPr>
              <w:spacing w:after="0"/>
              <w:rPr>
                <w:sz w:val="10"/>
                <w:szCs w:val="10"/>
                <w:color w:val="auto"/>
              </w:rPr>
            </w:pPr>
          </w:p>
        </w:tc>
        <w:tc>
          <w:tcPr>
            <w:tcW w:w="9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1420" w:type="dxa"/>
            <w:vAlign w:val="bottom"/>
            <w:tcBorders>
              <w:bottom w:val="single" w:sz="8" w:color="0000EE"/>
            </w:tcBorders>
          </w:tcPr>
          <w:p>
            <w:pPr>
              <w:spacing w:after="0" w:line="107" w:lineRule="exact"/>
              <w:rPr>
                <w:rFonts w:ascii="Arial" w:cs="Arial" w:eastAsia="Arial" w:hAnsi="Arial"/>
                <w:sz w:val="11"/>
                <w:szCs w:val="11"/>
                <w:color w:val="0000EE"/>
                <w:w w:val="96"/>
              </w:rPr>
            </w:pPr>
            <w:hyperlink w:anchor="page167">
              <w:r>
                <w:rPr>
                  <w:rFonts w:ascii="Arial" w:cs="Arial" w:eastAsia="Arial" w:hAnsi="Arial"/>
                  <w:sz w:val="11"/>
                  <w:szCs w:val="11"/>
                  <w:color w:val="0000EE"/>
                  <w:w w:val="96"/>
                </w:rPr>
                <w:t>Consolidated Balance Sheets</w:t>
              </w:r>
            </w:hyperlink>
          </w:p>
        </w:tc>
        <w:tc>
          <w:tcPr>
            <w:tcW w:w="4660" w:type="dxa"/>
            <w:vAlign w:val="bottom"/>
            <w:gridSpan w:val="6"/>
          </w:tcPr>
          <w:p>
            <w:pPr>
              <w:spacing w:after="0"/>
              <w:rPr>
                <w:sz w:val="9"/>
                <w:szCs w:val="9"/>
                <w:color w:val="auto"/>
              </w:rPr>
            </w:pPr>
          </w:p>
        </w:tc>
        <w:tc>
          <w:tcPr>
            <w:tcW w:w="980" w:type="dxa"/>
            <w:vAlign w:val="bottom"/>
          </w:tcPr>
          <w:p>
            <w:pPr>
              <w:spacing w:after="0"/>
              <w:rPr>
                <w:sz w:val="9"/>
                <w:szCs w:val="9"/>
                <w:color w:val="auto"/>
              </w:rPr>
            </w:pPr>
          </w:p>
        </w:tc>
        <w:tc>
          <w:tcPr>
            <w:tcW w:w="260" w:type="dxa"/>
            <w:vAlign w:val="bottom"/>
          </w:tcPr>
          <w:p>
            <w:pPr>
              <w:jc w:val="right"/>
              <w:spacing w:after="0" w:line="107" w:lineRule="exact"/>
              <w:rPr>
                <w:sz w:val="20"/>
                <w:szCs w:val="20"/>
                <w:color w:val="auto"/>
              </w:rPr>
            </w:pPr>
            <w:r>
              <w:rPr>
                <w:rFonts w:ascii="Arial" w:cs="Arial" w:eastAsia="Arial" w:hAnsi="Arial"/>
                <w:sz w:val="11"/>
                <w:szCs w:val="11"/>
                <w:color w:val="auto"/>
              </w:rPr>
              <w:t>F-3</w:t>
            </w:r>
          </w:p>
        </w:tc>
        <w:tc>
          <w:tcPr>
            <w:tcW w:w="0" w:type="dxa"/>
            <w:vAlign w:val="bottom"/>
          </w:tcPr>
          <w:p>
            <w:pPr>
              <w:spacing w:after="0"/>
              <w:rPr>
                <w:sz w:val="1"/>
                <w:szCs w:val="1"/>
                <w:color w:val="auto"/>
              </w:rPr>
            </w:pPr>
          </w:p>
        </w:tc>
      </w:tr>
      <w:tr>
        <w:trPr>
          <w:trHeight w:val="106"/>
        </w:trPr>
        <w:tc>
          <w:tcPr>
            <w:tcW w:w="6080" w:type="dxa"/>
            <w:vAlign w:val="bottom"/>
            <w:gridSpan w:val="7"/>
          </w:tcPr>
          <w:p>
            <w:pPr>
              <w:spacing w:after="0" w:line="106" w:lineRule="exact"/>
              <w:rPr>
                <w:rFonts w:ascii="Arial" w:cs="Arial" w:eastAsia="Arial" w:hAnsi="Arial"/>
                <w:sz w:val="11"/>
                <w:szCs w:val="11"/>
                <w:color w:val="0000EE"/>
              </w:rPr>
            </w:pPr>
            <w:hyperlink w:anchor="page168">
              <w:r>
                <w:rPr>
                  <w:rFonts w:ascii="Arial" w:cs="Arial" w:eastAsia="Arial" w:hAnsi="Arial"/>
                  <w:sz w:val="11"/>
                  <w:szCs w:val="11"/>
                  <w:color w:val="0000EE"/>
                </w:rPr>
                <w:t>Consolidated Statements of Operations and Comprehensive Loss</w:t>
              </w:r>
            </w:hyperlink>
          </w:p>
        </w:tc>
        <w:tc>
          <w:tcPr>
            <w:tcW w:w="980" w:type="dxa"/>
            <w:vAlign w:val="bottom"/>
          </w:tcPr>
          <w:p>
            <w:pPr>
              <w:spacing w:after="0"/>
              <w:rPr>
                <w:sz w:val="9"/>
                <w:szCs w:val="9"/>
                <w:color w:val="auto"/>
              </w:rPr>
            </w:pPr>
          </w:p>
        </w:tc>
        <w:tc>
          <w:tcPr>
            <w:tcW w:w="260" w:type="dxa"/>
            <w:vAlign w:val="bottom"/>
          </w:tcPr>
          <w:p>
            <w:pPr>
              <w:jc w:val="right"/>
              <w:spacing w:after="0" w:line="106" w:lineRule="exact"/>
              <w:rPr>
                <w:sz w:val="20"/>
                <w:szCs w:val="20"/>
                <w:color w:val="auto"/>
              </w:rPr>
            </w:pPr>
            <w:r>
              <w:rPr>
                <w:rFonts w:ascii="Arial" w:cs="Arial" w:eastAsia="Arial" w:hAnsi="Arial"/>
                <w:sz w:val="11"/>
                <w:szCs w:val="11"/>
                <w:color w:val="auto"/>
              </w:rPr>
              <w:t>F-4</w:t>
            </w:r>
          </w:p>
        </w:tc>
        <w:tc>
          <w:tcPr>
            <w:tcW w:w="0" w:type="dxa"/>
            <w:vAlign w:val="bottom"/>
          </w:tcPr>
          <w:p>
            <w:pPr>
              <w:spacing w:after="0"/>
              <w:rPr>
                <w:sz w:val="1"/>
                <w:szCs w:val="1"/>
                <w:color w:val="auto"/>
              </w:rPr>
            </w:pPr>
          </w:p>
        </w:tc>
      </w:tr>
      <w:tr>
        <w:trPr>
          <w:trHeight w:val="106"/>
        </w:trPr>
        <w:tc>
          <w:tcPr>
            <w:tcW w:w="3140" w:type="dxa"/>
            <w:vAlign w:val="bottom"/>
            <w:tcBorders>
              <w:top w:val="single" w:sz="8" w:color="0000EE"/>
            </w:tcBorders>
            <w:gridSpan w:val="5"/>
          </w:tcPr>
          <w:p>
            <w:pPr>
              <w:spacing w:after="0" w:line="106" w:lineRule="exact"/>
              <w:rPr>
                <w:rFonts w:ascii="Arial" w:cs="Arial" w:eastAsia="Arial" w:hAnsi="Arial"/>
                <w:sz w:val="11"/>
                <w:szCs w:val="11"/>
                <w:color w:val="0000EE"/>
              </w:rPr>
            </w:pPr>
            <w:hyperlink w:anchor="page169">
              <w:r>
                <w:rPr>
                  <w:rFonts w:ascii="Arial" w:cs="Arial" w:eastAsia="Arial" w:hAnsi="Arial"/>
                  <w:sz w:val="11"/>
                  <w:szCs w:val="11"/>
                  <w:color w:val="0000EE"/>
                </w:rPr>
                <w:t>Consolidated Statements of Cash Flows</w:t>
              </w:r>
            </w:hyperlink>
          </w:p>
        </w:tc>
        <w:tc>
          <w:tcPr>
            <w:tcW w:w="2940" w:type="dxa"/>
            <w:vAlign w:val="bottom"/>
            <w:gridSpan w:val="2"/>
          </w:tcPr>
          <w:p>
            <w:pPr>
              <w:spacing w:after="0"/>
              <w:rPr>
                <w:sz w:val="9"/>
                <w:szCs w:val="9"/>
                <w:color w:val="auto"/>
              </w:rPr>
            </w:pPr>
          </w:p>
        </w:tc>
        <w:tc>
          <w:tcPr>
            <w:tcW w:w="980" w:type="dxa"/>
            <w:vAlign w:val="bottom"/>
          </w:tcPr>
          <w:p>
            <w:pPr>
              <w:spacing w:after="0"/>
              <w:rPr>
                <w:sz w:val="9"/>
                <w:szCs w:val="9"/>
                <w:color w:val="auto"/>
              </w:rPr>
            </w:pPr>
          </w:p>
        </w:tc>
        <w:tc>
          <w:tcPr>
            <w:tcW w:w="260" w:type="dxa"/>
            <w:vAlign w:val="bottom"/>
          </w:tcPr>
          <w:p>
            <w:pPr>
              <w:jc w:val="right"/>
              <w:spacing w:after="0" w:line="106" w:lineRule="exact"/>
              <w:rPr>
                <w:sz w:val="20"/>
                <w:szCs w:val="20"/>
                <w:color w:val="auto"/>
              </w:rPr>
            </w:pPr>
            <w:r>
              <w:rPr>
                <w:rFonts w:ascii="Arial" w:cs="Arial" w:eastAsia="Arial" w:hAnsi="Arial"/>
                <w:sz w:val="11"/>
                <w:szCs w:val="11"/>
                <w:color w:val="auto"/>
              </w:rPr>
              <w:t>F-5</w:t>
            </w:r>
          </w:p>
        </w:tc>
        <w:tc>
          <w:tcPr>
            <w:tcW w:w="0" w:type="dxa"/>
            <w:vAlign w:val="bottom"/>
          </w:tcPr>
          <w:p>
            <w:pPr>
              <w:spacing w:after="0"/>
              <w:rPr>
                <w:sz w:val="1"/>
                <w:szCs w:val="1"/>
                <w:color w:val="auto"/>
              </w:rPr>
            </w:pPr>
          </w:p>
        </w:tc>
      </w:tr>
      <w:tr>
        <w:trPr>
          <w:trHeight w:val="20"/>
        </w:trPr>
        <w:tc>
          <w:tcPr>
            <w:tcW w:w="1920" w:type="dxa"/>
            <w:vAlign w:val="bottom"/>
            <w:gridSpan w:val="2"/>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20" w:type="dxa"/>
            <w:vAlign w:val="bottom"/>
            <w:gridSpan w:val="3"/>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6"/>
        </w:trPr>
        <w:tc>
          <w:tcPr>
            <w:tcW w:w="5120" w:type="dxa"/>
            <w:vAlign w:val="bottom"/>
            <w:tcBorders>
              <w:bottom w:val="single" w:sz="8" w:color="0000EE"/>
            </w:tcBorders>
            <w:gridSpan w:val="6"/>
          </w:tcPr>
          <w:p>
            <w:pPr>
              <w:spacing w:after="0" w:line="106" w:lineRule="exact"/>
              <w:rPr>
                <w:rFonts w:ascii="Arial" w:cs="Arial" w:eastAsia="Arial" w:hAnsi="Arial"/>
                <w:sz w:val="11"/>
                <w:szCs w:val="11"/>
                <w:color w:val="0000EE"/>
                <w:w w:val="97"/>
              </w:rPr>
            </w:pPr>
            <w:hyperlink w:anchor="page170">
              <w:r>
                <w:rPr>
                  <w:rFonts w:ascii="Arial" w:cs="Arial" w:eastAsia="Arial" w:hAnsi="Arial"/>
                  <w:sz w:val="11"/>
                  <w:szCs w:val="11"/>
                  <w:color w:val="0000EE"/>
                  <w:w w:val="97"/>
                </w:rPr>
                <w:t>Consolidated Statements of Changes in Redeemable Convertible Preferred Stock and Stockholders’ Deficit</w:t>
              </w:r>
            </w:hyperlink>
          </w:p>
        </w:tc>
        <w:tc>
          <w:tcPr>
            <w:tcW w:w="960" w:type="dxa"/>
            <w:vAlign w:val="bottom"/>
          </w:tcPr>
          <w:p>
            <w:pPr>
              <w:spacing w:after="0"/>
              <w:rPr>
                <w:sz w:val="9"/>
                <w:szCs w:val="9"/>
                <w:color w:val="auto"/>
              </w:rPr>
            </w:pPr>
          </w:p>
        </w:tc>
        <w:tc>
          <w:tcPr>
            <w:tcW w:w="980" w:type="dxa"/>
            <w:vAlign w:val="bottom"/>
          </w:tcPr>
          <w:p>
            <w:pPr>
              <w:spacing w:after="0"/>
              <w:rPr>
                <w:sz w:val="9"/>
                <w:szCs w:val="9"/>
                <w:color w:val="auto"/>
              </w:rPr>
            </w:pPr>
          </w:p>
        </w:tc>
        <w:tc>
          <w:tcPr>
            <w:tcW w:w="260" w:type="dxa"/>
            <w:vAlign w:val="bottom"/>
          </w:tcPr>
          <w:p>
            <w:pPr>
              <w:jc w:val="right"/>
              <w:spacing w:after="0" w:line="106" w:lineRule="exact"/>
              <w:rPr>
                <w:sz w:val="20"/>
                <w:szCs w:val="20"/>
                <w:color w:val="auto"/>
              </w:rPr>
            </w:pPr>
            <w:r>
              <w:rPr>
                <w:rFonts w:ascii="Arial" w:cs="Arial" w:eastAsia="Arial" w:hAnsi="Arial"/>
                <w:sz w:val="11"/>
                <w:szCs w:val="11"/>
                <w:color w:val="auto"/>
              </w:rPr>
              <w:t>F-6</w:t>
            </w:r>
          </w:p>
        </w:tc>
        <w:tc>
          <w:tcPr>
            <w:tcW w:w="0" w:type="dxa"/>
            <w:vAlign w:val="bottom"/>
          </w:tcPr>
          <w:p>
            <w:pPr>
              <w:spacing w:after="0"/>
              <w:rPr>
                <w:sz w:val="1"/>
                <w:szCs w:val="1"/>
                <w:color w:val="auto"/>
              </w:rPr>
            </w:pPr>
          </w:p>
        </w:tc>
      </w:tr>
      <w:tr>
        <w:trPr>
          <w:trHeight w:val="106"/>
        </w:trPr>
        <w:tc>
          <w:tcPr>
            <w:tcW w:w="6080" w:type="dxa"/>
            <w:vAlign w:val="bottom"/>
            <w:gridSpan w:val="7"/>
          </w:tcPr>
          <w:p>
            <w:pPr>
              <w:spacing w:after="0" w:line="106" w:lineRule="exact"/>
              <w:rPr>
                <w:rFonts w:ascii="Arial" w:cs="Arial" w:eastAsia="Arial" w:hAnsi="Arial"/>
                <w:sz w:val="11"/>
                <w:szCs w:val="11"/>
                <w:color w:val="0000EE"/>
              </w:rPr>
            </w:pPr>
            <w:hyperlink w:anchor="page172">
              <w:r>
                <w:rPr>
                  <w:rFonts w:ascii="Arial" w:cs="Arial" w:eastAsia="Arial" w:hAnsi="Arial"/>
                  <w:sz w:val="11"/>
                  <w:szCs w:val="11"/>
                  <w:color w:val="0000EE"/>
                </w:rPr>
                <w:t>Notes to Consolidated Financial Statements</w:t>
              </w:r>
            </w:hyperlink>
          </w:p>
        </w:tc>
        <w:tc>
          <w:tcPr>
            <w:tcW w:w="980" w:type="dxa"/>
            <w:vAlign w:val="bottom"/>
          </w:tcPr>
          <w:p>
            <w:pPr>
              <w:spacing w:after="0"/>
              <w:rPr>
                <w:sz w:val="9"/>
                <w:szCs w:val="9"/>
                <w:color w:val="auto"/>
              </w:rPr>
            </w:pPr>
          </w:p>
        </w:tc>
        <w:tc>
          <w:tcPr>
            <w:tcW w:w="260" w:type="dxa"/>
            <w:vAlign w:val="bottom"/>
          </w:tcPr>
          <w:p>
            <w:pPr>
              <w:jc w:val="right"/>
              <w:spacing w:after="0" w:line="106" w:lineRule="exact"/>
              <w:rPr>
                <w:sz w:val="20"/>
                <w:szCs w:val="20"/>
                <w:color w:val="auto"/>
              </w:rPr>
            </w:pPr>
            <w:r>
              <w:rPr>
                <w:rFonts w:ascii="Arial" w:cs="Arial" w:eastAsia="Arial" w:hAnsi="Arial"/>
                <w:sz w:val="11"/>
                <w:szCs w:val="11"/>
                <w:color w:val="auto"/>
              </w:rPr>
              <w:t>F-8</w:t>
            </w:r>
          </w:p>
        </w:tc>
        <w:tc>
          <w:tcPr>
            <w:tcW w:w="0" w:type="dxa"/>
            <w:vAlign w:val="bottom"/>
          </w:tcPr>
          <w:p>
            <w:pPr>
              <w:spacing w:after="0"/>
              <w:rPr>
                <w:sz w:val="1"/>
                <w:szCs w:val="1"/>
                <w:color w:val="auto"/>
              </w:rPr>
            </w:pPr>
          </w:p>
        </w:tc>
      </w:tr>
      <w:tr>
        <w:trPr>
          <w:trHeight w:val="228"/>
        </w:trPr>
        <w:tc>
          <w:tcPr>
            <w:tcW w:w="1420" w:type="dxa"/>
            <w:vAlign w:val="bottom"/>
            <w:tcBorders>
              <w:top w:val="single" w:sz="8" w:color="0000EE"/>
            </w:tcBorders>
          </w:tcPr>
          <w:p>
            <w:pPr>
              <w:spacing w:after="0"/>
              <w:rPr>
                <w:sz w:val="19"/>
                <w:szCs w:val="19"/>
                <w:color w:val="auto"/>
              </w:rPr>
            </w:pPr>
          </w:p>
        </w:tc>
        <w:tc>
          <w:tcPr>
            <w:tcW w:w="500" w:type="dxa"/>
            <w:vAlign w:val="bottom"/>
            <w:tcBorders>
              <w:top w:val="single" w:sz="8" w:color="0000EE"/>
            </w:tcBorders>
          </w:tcPr>
          <w:p>
            <w:pPr>
              <w:spacing w:after="0"/>
              <w:rPr>
                <w:sz w:val="19"/>
                <w:szCs w:val="19"/>
                <w:color w:val="auto"/>
              </w:rPr>
            </w:pPr>
          </w:p>
        </w:tc>
        <w:tc>
          <w:tcPr>
            <w:tcW w:w="180" w:type="dxa"/>
            <w:vAlign w:val="bottom"/>
            <w:tcBorders>
              <w:top w:val="single" w:sz="8" w:color="0000EE"/>
            </w:tcBorders>
          </w:tcPr>
          <w:p>
            <w:pPr>
              <w:spacing w:after="0"/>
              <w:rPr>
                <w:sz w:val="19"/>
                <w:szCs w:val="19"/>
                <w:color w:val="auto"/>
              </w:rPr>
            </w:pPr>
          </w:p>
        </w:tc>
        <w:tc>
          <w:tcPr>
            <w:tcW w:w="6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940" w:type="dxa"/>
            <w:vAlign w:val="bottom"/>
            <w:gridSpan w:val="2"/>
          </w:tcPr>
          <w:p>
            <w:pPr>
              <w:ind w:left="460"/>
              <w:spacing w:after="0"/>
              <w:rPr>
                <w:sz w:val="20"/>
                <w:szCs w:val="20"/>
                <w:color w:val="auto"/>
              </w:rPr>
            </w:pPr>
            <w:r>
              <w:rPr>
                <w:rFonts w:ascii="Arial" w:cs="Arial" w:eastAsia="Arial" w:hAnsi="Arial"/>
                <w:sz w:val="11"/>
                <w:szCs w:val="11"/>
                <w:color w:val="auto"/>
              </w:rPr>
              <w:t>F-1</w:t>
            </w:r>
          </w:p>
        </w:tc>
        <w:tc>
          <w:tcPr>
            <w:tcW w:w="9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ectPr>
          <w:pgSz w:w="11900" w:h="16838" w:orient="portrait"/>
          <w:cols w:equalWidth="0" w:num="1">
            <w:col w:w="10239"/>
          </w:cols>
          <w:pgMar w:left="220" w:top="354" w:right="1440" w:bottom="1440" w:gutter="0" w:footer="0" w:header="0"/>
        </w:sectPr>
      </w:pPr>
    </w:p>
    <w:bookmarkStart w:id="165" w:name="page166"/>
    <w:bookmarkEnd w:id="165"/>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hyperlink w:anchor="page5">
        <w:r>
          <w:rPr>
            <w:rFonts w:ascii="Arial" w:cs="Arial" w:eastAsia="Arial" w:hAnsi="Arial"/>
            <w:sz w:val="12"/>
            <w:szCs w:val="12"/>
            <w:b w:val="1"/>
            <w:bCs w:val="1"/>
            <w:u w:val="single" w:color="auto"/>
            <w:color w:val="0000EE"/>
          </w:rPr>
          <w:t>Table of Contents</w:t>
        </w:r>
      </w:hyperlink>
    </w:p>
    <w:p>
      <w:pPr>
        <w:spacing w:after="0" w:line="204" w:lineRule="exact"/>
        <w:rPr>
          <w:sz w:val="20"/>
          <w:szCs w:val="20"/>
          <w:color w:val="auto"/>
        </w:rPr>
      </w:pPr>
    </w:p>
    <w:p>
      <w:pPr>
        <w:ind w:left="4240"/>
        <w:spacing w:after="0"/>
        <w:rPr>
          <w:sz w:val="20"/>
          <w:szCs w:val="20"/>
          <w:color w:val="auto"/>
        </w:rPr>
      </w:pPr>
      <w:r>
        <w:rPr>
          <w:rFonts w:ascii="Arial" w:cs="Arial" w:eastAsia="Arial" w:hAnsi="Arial"/>
          <w:sz w:val="11"/>
          <w:szCs w:val="11"/>
          <w:b w:val="1"/>
          <w:bCs w:val="1"/>
          <w:color w:val="auto"/>
        </w:rPr>
        <w:t>Report of Independent Registered Public Accounting Firm</w:t>
      </w:r>
    </w:p>
    <w:p>
      <w:pPr>
        <w:spacing w:after="0" w:line="156" w:lineRule="exact"/>
        <w:rPr>
          <w:sz w:val="20"/>
          <w:szCs w:val="20"/>
          <w:color w:val="auto"/>
        </w:rPr>
      </w:pPr>
    </w:p>
    <w:p>
      <w:pPr>
        <w:ind w:left="2060"/>
        <w:spacing w:after="0"/>
        <w:rPr>
          <w:sz w:val="20"/>
          <w:szCs w:val="20"/>
          <w:color w:val="auto"/>
        </w:rPr>
      </w:pPr>
      <w:r>
        <w:rPr>
          <w:rFonts w:ascii="Arial" w:cs="Arial" w:eastAsia="Arial" w:hAnsi="Arial"/>
          <w:sz w:val="11"/>
          <w:szCs w:val="11"/>
          <w:color w:val="auto"/>
        </w:rPr>
        <w:t>To the Stockholders and the Board of Directors of Peloton Interactive, Inc.</w:t>
      </w:r>
    </w:p>
    <w:p>
      <w:pPr>
        <w:spacing w:after="0" w:line="60" w:lineRule="exact"/>
        <w:rPr>
          <w:sz w:val="20"/>
          <w:szCs w:val="20"/>
          <w:color w:val="auto"/>
        </w:rPr>
      </w:pPr>
    </w:p>
    <w:p>
      <w:pPr>
        <w:ind w:left="2060"/>
        <w:spacing w:after="0"/>
        <w:rPr>
          <w:sz w:val="20"/>
          <w:szCs w:val="20"/>
          <w:color w:val="auto"/>
        </w:rPr>
      </w:pPr>
      <w:r>
        <w:rPr>
          <w:rFonts w:ascii="Arial" w:cs="Arial" w:eastAsia="Arial" w:hAnsi="Arial"/>
          <w:sz w:val="11"/>
          <w:szCs w:val="11"/>
          <w:b w:val="1"/>
          <w:bCs w:val="1"/>
          <w:color w:val="auto"/>
        </w:rPr>
        <w:t>Opinion on the Financial Statements</w:t>
      </w:r>
    </w:p>
    <w:p>
      <w:pPr>
        <w:spacing w:after="0" w:line="84" w:lineRule="exact"/>
        <w:rPr>
          <w:sz w:val="20"/>
          <w:szCs w:val="20"/>
          <w:color w:val="auto"/>
        </w:rPr>
      </w:pPr>
    </w:p>
    <w:p>
      <w:pPr>
        <w:jc w:val="both"/>
        <w:ind w:left="2060" w:right="839"/>
        <w:spacing w:after="0"/>
        <w:rPr>
          <w:sz w:val="20"/>
          <w:szCs w:val="20"/>
          <w:color w:val="auto"/>
        </w:rPr>
      </w:pPr>
      <w:r>
        <w:rPr>
          <w:rFonts w:ascii="Arial" w:cs="Arial" w:eastAsia="Arial" w:hAnsi="Arial"/>
          <w:sz w:val="11"/>
          <w:szCs w:val="11"/>
          <w:color w:val="auto"/>
        </w:rPr>
        <w:t>We have audited the accompanying consolidated balance sheets of Peloton Interactive, Inc. (the Company) as of June 30, 2018 and 2019, the related consolidated statements of operations and comprehensive loss, cash flows and changes in redeemable convertible preferred stock and stockholders’ deficit for each of the three years in the period ended June 30, 2019, and the related notes (collectively referred to as the “consolidated financial statements”). In our opinion, the consolidated financial statements present fairly, in all material respects, the financial position of the Company at June 30, 2018 and 2019, and the results of its operations and its cash flows for each of the three years in the period ended June 30, 2019, in conformity with U.S. generally accepted accounting principles.</w:t>
      </w:r>
    </w:p>
    <w:p>
      <w:pPr>
        <w:spacing w:after="0" w:line="202" w:lineRule="exact"/>
        <w:rPr>
          <w:sz w:val="20"/>
          <w:szCs w:val="20"/>
          <w:color w:val="auto"/>
        </w:rPr>
      </w:pPr>
    </w:p>
    <w:p>
      <w:pPr>
        <w:ind w:left="2060"/>
        <w:spacing w:after="0"/>
        <w:rPr>
          <w:sz w:val="20"/>
          <w:szCs w:val="20"/>
          <w:color w:val="auto"/>
        </w:rPr>
      </w:pPr>
      <w:r>
        <w:rPr>
          <w:rFonts w:ascii="Arial" w:cs="Arial" w:eastAsia="Arial" w:hAnsi="Arial"/>
          <w:sz w:val="11"/>
          <w:szCs w:val="11"/>
          <w:b w:val="1"/>
          <w:bCs w:val="1"/>
          <w:color w:val="auto"/>
        </w:rPr>
        <w:t>Basis for Opinion</w:t>
      </w:r>
    </w:p>
    <w:p>
      <w:pPr>
        <w:spacing w:after="0" w:line="84" w:lineRule="exact"/>
        <w:rPr>
          <w:sz w:val="20"/>
          <w:szCs w:val="20"/>
          <w:color w:val="auto"/>
        </w:rPr>
      </w:pPr>
    </w:p>
    <w:p>
      <w:pPr>
        <w:jc w:val="both"/>
        <w:ind w:left="2060" w:right="839"/>
        <w:spacing w:after="0" w:line="239" w:lineRule="auto"/>
        <w:rPr>
          <w:sz w:val="20"/>
          <w:szCs w:val="20"/>
          <w:color w:val="auto"/>
        </w:rPr>
      </w:pPr>
      <w:r>
        <w:rPr>
          <w:rFonts w:ascii="Arial" w:cs="Arial" w:eastAsia="Arial" w:hAnsi="Arial"/>
          <w:sz w:val="11"/>
          <w:szCs w:val="11"/>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 w:lineRule="exact"/>
        <w:rPr>
          <w:sz w:val="20"/>
          <w:szCs w:val="20"/>
          <w:color w:val="auto"/>
        </w:rPr>
      </w:pPr>
    </w:p>
    <w:p>
      <w:pPr>
        <w:jc w:val="both"/>
        <w:ind w:left="2060" w:right="839"/>
        <w:spacing w:after="0" w:line="239" w:lineRule="auto"/>
        <w:rPr>
          <w:sz w:val="20"/>
          <w:szCs w:val="20"/>
          <w:color w:val="auto"/>
        </w:rPr>
      </w:pPr>
      <w:r>
        <w:rPr>
          <w:rFonts w:ascii="Arial" w:cs="Arial" w:eastAsia="Arial" w:hAnsi="Arial"/>
          <w:sz w:val="11"/>
          <w:szCs w:val="11"/>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 w:lineRule="exact"/>
        <w:rPr>
          <w:sz w:val="20"/>
          <w:szCs w:val="20"/>
          <w:color w:val="auto"/>
        </w:rPr>
      </w:pPr>
    </w:p>
    <w:p>
      <w:pPr>
        <w:jc w:val="both"/>
        <w:ind w:left="2060" w:right="839"/>
        <w:spacing w:after="0"/>
        <w:rPr>
          <w:sz w:val="20"/>
          <w:szCs w:val="20"/>
          <w:color w:val="auto"/>
        </w:rPr>
      </w:pPr>
      <w:r>
        <w:rPr>
          <w:rFonts w:ascii="Arial" w:cs="Arial" w:eastAsia="Arial" w:hAnsi="Arial"/>
          <w:sz w:val="11"/>
          <w:szCs w:val="11"/>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42" w:lineRule="exact"/>
        <w:rPr>
          <w:sz w:val="20"/>
          <w:szCs w:val="20"/>
          <w:color w:val="auto"/>
        </w:rPr>
      </w:pPr>
    </w:p>
    <w:p>
      <w:pPr>
        <w:ind w:left="2060"/>
        <w:spacing w:after="0"/>
        <w:rPr>
          <w:sz w:val="20"/>
          <w:szCs w:val="20"/>
          <w:color w:val="auto"/>
        </w:rPr>
      </w:pPr>
      <w:r>
        <w:rPr>
          <w:rFonts w:ascii="Arial" w:cs="Arial" w:eastAsia="Arial" w:hAnsi="Arial"/>
          <w:sz w:val="11"/>
          <w:szCs w:val="11"/>
          <w:color w:val="auto"/>
        </w:rPr>
        <w:t>/s/ Ernst &amp; Young LLP</w:t>
      </w:r>
    </w:p>
    <w:p>
      <w:pPr>
        <w:spacing w:after="0" w:line="144" w:lineRule="exact"/>
        <w:rPr>
          <w:sz w:val="20"/>
          <w:szCs w:val="20"/>
          <w:color w:val="auto"/>
        </w:rPr>
      </w:pPr>
    </w:p>
    <w:p>
      <w:pPr>
        <w:ind w:left="2060"/>
        <w:spacing w:after="0"/>
        <w:rPr>
          <w:sz w:val="20"/>
          <w:szCs w:val="20"/>
          <w:color w:val="auto"/>
        </w:rPr>
      </w:pPr>
      <w:r>
        <w:rPr>
          <w:rFonts w:ascii="Arial" w:cs="Arial" w:eastAsia="Arial" w:hAnsi="Arial"/>
          <w:sz w:val="11"/>
          <w:szCs w:val="11"/>
          <w:color w:val="auto"/>
        </w:rPr>
        <w:t>We have served as the Company’s auditor since 2017.</w:t>
      </w:r>
    </w:p>
    <w:p>
      <w:pPr>
        <w:spacing w:after="0" w:line="143" w:lineRule="exact"/>
        <w:rPr>
          <w:sz w:val="20"/>
          <w:szCs w:val="20"/>
          <w:color w:val="auto"/>
        </w:rPr>
      </w:pPr>
    </w:p>
    <w:p>
      <w:pPr>
        <w:ind w:left="2060"/>
        <w:spacing w:after="0"/>
        <w:rPr>
          <w:sz w:val="20"/>
          <w:szCs w:val="20"/>
          <w:color w:val="auto"/>
        </w:rPr>
      </w:pPr>
      <w:r>
        <w:rPr>
          <w:rFonts w:ascii="Arial" w:cs="Arial" w:eastAsia="Arial" w:hAnsi="Arial"/>
          <w:sz w:val="11"/>
          <w:szCs w:val="11"/>
          <w:color w:val="auto"/>
        </w:rPr>
        <w:t>New York, New York</w:t>
      </w:r>
    </w:p>
    <w:p>
      <w:pPr>
        <w:ind w:left="2060"/>
        <w:spacing w:after="0"/>
        <w:rPr>
          <w:sz w:val="20"/>
          <w:szCs w:val="20"/>
          <w:color w:val="auto"/>
        </w:rPr>
      </w:pPr>
      <w:r>
        <w:rPr>
          <w:rFonts w:ascii="Arial" w:cs="Arial" w:eastAsia="Arial" w:hAnsi="Arial"/>
          <w:sz w:val="11"/>
          <w:szCs w:val="11"/>
          <w:color w:val="auto"/>
        </w:rPr>
        <w:t>August 20, 2019, except for Note 19,</w:t>
      </w:r>
    </w:p>
    <w:p>
      <w:pPr>
        <w:ind w:left="2060"/>
        <w:spacing w:after="0"/>
        <w:rPr>
          <w:sz w:val="20"/>
          <w:szCs w:val="20"/>
          <w:color w:val="auto"/>
        </w:rPr>
      </w:pPr>
      <w:r>
        <w:rPr>
          <w:rFonts w:ascii="Arial" w:cs="Arial" w:eastAsia="Arial" w:hAnsi="Arial"/>
          <w:sz w:val="11"/>
          <w:szCs w:val="11"/>
          <w:color w:val="auto"/>
        </w:rPr>
        <w:t>as to which the date is September 25, 2019</w:t>
      </w:r>
    </w:p>
    <w:p>
      <w:pPr>
        <w:spacing w:after="0" w:line="99" w:lineRule="exact"/>
        <w:rPr>
          <w:sz w:val="20"/>
          <w:szCs w:val="20"/>
          <w:color w:val="auto"/>
        </w:rPr>
      </w:pPr>
    </w:p>
    <w:p>
      <w:pPr>
        <w:ind w:left="5660"/>
        <w:spacing w:after="0"/>
        <w:rPr>
          <w:sz w:val="20"/>
          <w:szCs w:val="20"/>
          <w:color w:val="auto"/>
        </w:rPr>
      </w:pPr>
      <w:r>
        <w:rPr>
          <w:rFonts w:ascii="Arial" w:cs="Arial" w:eastAsia="Arial" w:hAnsi="Arial"/>
          <w:sz w:val="11"/>
          <w:szCs w:val="11"/>
          <w:color w:val="auto"/>
        </w:rPr>
        <w:t>F-2</w:t>
      </w:r>
    </w:p>
    <w:p>
      <w:pPr>
        <w:sectPr>
          <w:pgSz w:w="11900" w:h="16838" w:orient="portrait"/>
          <w:cols w:equalWidth="0" w:num="1">
            <w:col w:w="10239"/>
          </w:cols>
          <w:pgMar w:left="220" w:top="354" w:right="1440" w:bottom="1440" w:gutter="0" w:footer="0" w:header="0"/>
        </w:sectPr>
      </w:pPr>
    </w:p>
    <w:bookmarkStart w:id="166" w:name="page167"/>
    <w:bookmarkEnd w:id="166"/>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hyperlink w:anchor="page5">
        <w:r>
          <w:rPr>
            <w:rFonts w:ascii="Arial" w:cs="Arial" w:eastAsia="Arial" w:hAnsi="Arial"/>
            <w:sz w:val="12"/>
            <w:szCs w:val="12"/>
            <w:b w:val="1"/>
            <w:bCs w:val="1"/>
            <w:u w:val="single" w:color="auto"/>
            <w:color w:val="0000EE"/>
          </w:rPr>
          <w:t>Table of Contents</w:t>
        </w:r>
      </w:hyperlink>
    </w:p>
    <w:p>
      <w:pPr>
        <w:spacing w:after="0" w:line="200" w:lineRule="exact"/>
        <w:rPr>
          <w:sz w:val="20"/>
          <w:szCs w:val="20"/>
          <w:color w:val="auto"/>
        </w:rPr>
      </w:pPr>
    </w:p>
    <w:p>
      <w:pPr>
        <w:jc w:val="center"/>
        <w:ind w:right="-1220"/>
        <w:spacing w:after="0"/>
        <w:rPr>
          <w:sz w:val="20"/>
          <w:szCs w:val="20"/>
          <w:color w:val="auto"/>
        </w:rPr>
      </w:pPr>
      <w:r>
        <w:rPr>
          <w:rFonts w:ascii="Arial" w:cs="Arial" w:eastAsia="Arial" w:hAnsi="Arial"/>
          <w:sz w:val="12"/>
          <w:szCs w:val="12"/>
          <w:b w:val="1"/>
          <w:bCs w:val="1"/>
          <w:color w:val="auto"/>
        </w:rPr>
        <w:t>PELOTON INTERACTIVE, INC.</w:t>
      </w:r>
    </w:p>
    <w:p>
      <w:pPr>
        <w:spacing w:after="0" w:line="10" w:lineRule="exact"/>
        <w:rPr>
          <w:sz w:val="20"/>
          <w:szCs w:val="20"/>
          <w:color w:val="auto"/>
        </w:rPr>
      </w:pPr>
    </w:p>
    <w:p>
      <w:pPr>
        <w:jc w:val="center"/>
        <w:ind w:right="-1220"/>
        <w:spacing w:after="0"/>
        <w:rPr>
          <w:sz w:val="20"/>
          <w:szCs w:val="20"/>
          <w:color w:val="auto"/>
        </w:rPr>
      </w:pPr>
      <w:r>
        <w:rPr>
          <w:rFonts w:ascii="Arial" w:cs="Arial" w:eastAsia="Arial" w:hAnsi="Arial"/>
          <w:sz w:val="12"/>
          <w:szCs w:val="12"/>
          <w:b w:val="1"/>
          <w:bCs w:val="1"/>
          <w:color w:val="auto"/>
        </w:rPr>
        <w:t>CONSOLIDATED BALANCE SHEETS</w:t>
      </w:r>
    </w:p>
    <w:p>
      <w:pPr>
        <w:ind w:left="4460"/>
        <w:spacing w:after="0"/>
        <w:rPr>
          <w:sz w:val="20"/>
          <w:szCs w:val="20"/>
          <w:color w:val="auto"/>
        </w:rPr>
      </w:pPr>
      <w:r>
        <w:rPr>
          <w:rFonts w:ascii="Arial" w:cs="Arial" w:eastAsia="Arial" w:hAnsi="Arial"/>
          <w:sz w:val="11"/>
          <w:szCs w:val="11"/>
          <w:b w:val="1"/>
          <w:bCs w:val="1"/>
          <w:color w:val="auto"/>
        </w:rPr>
        <w:t>(in millions, except share and per share amounts)</w:t>
      </w:r>
    </w:p>
    <w:p>
      <w:pPr>
        <w:spacing w:after="0" w:line="149" w:lineRule="exact"/>
        <w:rPr>
          <w:sz w:val="20"/>
          <w:szCs w:val="20"/>
          <w:color w:val="auto"/>
        </w:rPr>
      </w:pPr>
    </w:p>
    <w:tbl>
      <w:tblPr>
        <w:tblLayout w:type="fixed"/>
        <w:tblInd w:w="2060" w:type="dxa"/>
        <w:tblCellMar>
          <w:top w:w="0" w:type="dxa"/>
          <w:left w:w="0" w:type="dxa"/>
          <w:bottom w:w="0" w:type="dxa"/>
          <w:right w:w="0" w:type="dxa"/>
        </w:tblCellMar>
      </w:tblPr>
      <w:tr>
        <w:trPr>
          <w:trHeight w:val="126"/>
        </w:trPr>
        <w:tc>
          <w:tcPr>
            <w:tcW w:w="20" w:type="dxa"/>
            <w:vAlign w:val="bottom"/>
          </w:tcPr>
          <w:p>
            <w:pPr>
              <w:spacing w:after="0"/>
              <w:rPr>
                <w:sz w:val="10"/>
                <w:szCs w:val="10"/>
                <w:color w:val="auto"/>
              </w:rPr>
            </w:pPr>
          </w:p>
        </w:tc>
        <w:tc>
          <w:tcPr>
            <w:tcW w:w="5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20" w:type="dxa"/>
            <w:vAlign w:val="bottom"/>
            <w:gridSpan w:val="6"/>
            <w:vMerge w:val="restart"/>
          </w:tcPr>
          <w:p>
            <w:pPr>
              <w:jc w:val="right"/>
              <w:ind w:right="340"/>
              <w:spacing w:after="0"/>
              <w:rPr>
                <w:sz w:val="20"/>
                <w:szCs w:val="20"/>
                <w:color w:val="auto"/>
              </w:rPr>
            </w:pPr>
            <w:r>
              <w:rPr>
                <w:rFonts w:ascii="Arial" w:cs="Arial" w:eastAsia="Arial" w:hAnsi="Arial"/>
                <w:sz w:val="11"/>
                <w:szCs w:val="11"/>
                <w:b w:val="1"/>
                <w:bCs w:val="1"/>
                <w:color w:val="auto"/>
              </w:rPr>
              <w:t>As of June 30,</w:t>
            </w:r>
          </w:p>
        </w:tc>
        <w:tc>
          <w:tcPr>
            <w:tcW w:w="80" w:type="dxa"/>
            <w:vAlign w:val="bottom"/>
          </w:tcPr>
          <w:p>
            <w:pPr>
              <w:spacing w:after="0"/>
              <w:rPr>
                <w:sz w:val="10"/>
                <w:szCs w:val="10"/>
                <w:color w:val="auto"/>
              </w:rPr>
            </w:pPr>
          </w:p>
        </w:tc>
        <w:tc>
          <w:tcPr>
            <w:tcW w:w="680" w:type="dxa"/>
            <w:vAlign w:val="bottom"/>
            <w:gridSpan w:val="3"/>
          </w:tcPr>
          <w:p>
            <w:pPr>
              <w:jc w:val="center"/>
              <w:ind w:right="100"/>
              <w:spacing w:after="0"/>
              <w:rPr>
                <w:sz w:val="20"/>
                <w:szCs w:val="20"/>
                <w:color w:val="auto"/>
              </w:rPr>
            </w:pPr>
            <w:r>
              <w:rPr>
                <w:rFonts w:ascii="Arial" w:cs="Arial" w:eastAsia="Arial" w:hAnsi="Arial"/>
                <w:sz w:val="11"/>
                <w:szCs w:val="11"/>
                <w:b w:val="1"/>
                <w:bCs w:val="1"/>
                <w:color w:val="auto"/>
                <w:w w:val="98"/>
              </w:rPr>
              <w:t>Pro Forma</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5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20" w:type="dxa"/>
            <w:vAlign w:val="bottom"/>
            <w:gridSpan w:val="6"/>
            <w:vMerge w:val="continue"/>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gridSpan w:val="2"/>
          </w:tcPr>
          <w:p>
            <w:pPr>
              <w:jc w:val="center"/>
              <w:ind w:right="160"/>
              <w:spacing w:after="0"/>
              <w:rPr>
                <w:sz w:val="20"/>
                <w:szCs w:val="20"/>
                <w:color w:val="auto"/>
              </w:rPr>
            </w:pPr>
            <w:r>
              <w:rPr>
                <w:rFonts w:ascii="Arial" w:cs="Arial" w:eastAsia="Arial" w:hAnsi="Arial"/>
                <w:sz w:val="11"/>
                <w:szCs w:val="11"/>
                <w:b w:val="1"/>
                <w:bCs w:val="1"/>
                <w:color w:val="auto"/>
                <w:w w:val="93"/>
              </w:rPr>
              <w:t>as of</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528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400" w:type="dxa"/>
            <w:vAlign w:val="bottom"/>
            <w:tcBorders>
              <w:top w:val="single" w:sz="8" w:color="auto"/>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40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gridSpan w:val="2"/>
          </w:tcPr>
          <w:p>
            <w:pPr>
              <w:jc w:val="center"/>
              <w:ind w:right="160"/>
              <w:spacing w:after="0" w:line="105" w:lineRule="exact"/>
              <w:rPr>
                <w:sz w:val="20"/>
                <w:szCs w:val="20"/>
                <w:color w:val="auto"/>
              </w:rPr>
            </w:pPr>
            <w:r>
              <w:rPr>
                <w:rFonts w:ascii="Arial" w:cs="Arial" w:eastAsia="Arial" w:hAnsi="Arial"/>
                <w:sz w:val="11"/>
                <w:szCs w:val="11"/>
                <w:b w:val="1"/>
                <w:bCs w:val="1"/>
                <w:color w:val="auto"/>
                <w:w w:val="99"/>
              </w:rPr>
              <w:t>June 30,</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528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jc w:val="right"/>
              <w:ind w:right="66"/>
              <w:spacing w:after="0"/>
              <w:rPr>
                <w:sz w:val="20"/>
                <w:szCs w:val="20"/>
                <w:color w:val="auto"/>
              </w:rPr>
            </w:pPr>
            <w:r>
              <w:rPr>
                <w:rFonts w:ascii="Arial" w:cs="Arial" w:eastAsia="Arial" w:hAnsi="Arial"/>
                <w:sz w:val="11"/>
                <w:szCs w:val="11"/>
                <w:b w:val="1"/>
                <w:bCs w:val="1"/>
                <w:color w:val="auto"/>
              </w:rPr>
              <w:t>2018</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jc w:val="right"/>
              <w:ind w:right="66"/>
              <w:spacing w:after="0"/>
              <w:rPr>
                <w:sz w:val="20"/>
                <w:szCs w:val="20"/>
                <w:color w:val="auto"/>
              </w:rPr>
            </w:pPr>
            <w:r>
              <w:rPr>
                <w:rFonts w:ascii="Arial" w:cs="Arial" w:eastAsia="Arial" w:hAnsi="Arial"/>
                <w:sz w:val="11"/>
                <w:szCs w:val="11"/>
                <w:b w:val="1"/>
                <w:bCs w:val="1"/>
                <w:color w:val="auto"/>
              </w:rPr>
              <w:t>2019</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jc w:val="center"/>
              <w:ind w:right="26"/>
              <w:spacing w:after="0"/>
              <w:rPr>
                <w:sz w:val="20"/>
                <w:szCs w:val="20"/>
                <w:color w:val="auto"/>
              </w:rPr>
            </w:pPr>
            <w:r>
              <w:rPr>
                <w:rFonts w:ascii="Arial" w:cs="Arial" w:eastAsia="Arial" w:hAnsi="Arial"/>
                <w:sz w:val="11"/>
                <w:szCs w:val="11"/>
                <w:b w:val="1"/>
                <w:bCs w:val="1"/>
                <w:color w:val="auto"/>
                <w:w w:val="97"/>
              </w:rPr>
              <w:t>2019</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5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gridSpan w:val="2"/>
          </w:tcPr>
          <w:p>
            <w:pPr>
              <w:jc w:val="center"/>
              <w:spacing w:after="0" w:line="115" w:lineRule="exact"/>
              <w:rPr>
                <w:sz w:val="20"/>
                <w:szCs w:val="20"/>
                <w:color w:val="auto"/>
              </w:rPr>
            </w:pPr>
            <w:r>
              <w:rPr>
                <w:rFonts w:ascii="Arial" w:cs="Arial" w:eastAsia="Arial" w:hAnsi="Arial"/>
                <w:sz w:val="11"/>
                <w:szCs w:val="11"/>
                <w:b w:val="1"/>
                <w:bCs w:val="1"/>
                <w:color w:val="auto"/>
              </w:rPr>
              <w:t>(unaudited)</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1"/>
                <w:szCs w:val="11"/>
                <w:b w:val="1"/>
                <w:bCs w:val="1"/>
                <w:color w:val="auto"/>
              </w:rPr>
              <w:t>ASSETS</w:t>
            </w: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5300" w:type="dxa"/>
            <w:vAlign w:val="bottom"/>
            <w:gridSpan w:val="2"/>
          </w:tcPr>
          <w:p>
            <w:pPr>
              <w:spacing w:after="0"/>
              <w:rPr>
                <w:sz w:val="20"/>
                <w:szCs w:val="20"/>
                <w:color w:val="auto"/>
              </w:rPr>
            </w:pPr>
            <w:r>
              <w:rPr>
                <w:rFonts w:ascii="Arial" w:cs="Arial" w:eastAsia="Arial" w:hAnsi="Arial"/>
                <w:sz w:val="11"/>
                <w:szCs w:val="11"/>
                <w:color w:val="auto"/>
              </w:rPr>
              <w:t>Current Assets:</w:t>
            </w: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5280" w:type="dxa"/>
            <w:vAlign w:val="bottom"/>
            <w:shd w:val="clear" w:color="auto" w:fill="CCEEFF"/>
          </w:tcPr>
          <w:p>
            <w:pPr>
              <w:ind w:left="200"/>
              <w:spacing w:after="0"/>
              <w:rPr>
                <w:sz w:val="20"/>
                <w:szCs w:val="20"/>
                <w:color w:val="auto"/>
              </w:rPr>
            </w:pPr>
            <w:r>
              <w:rPr>
                <w:rFonts w:ascii="Arial" w:cs="Arial" w:eastAsia="Arial" w:hAnsi="Arial"/>
                <w:sz w:val="11"/>
                <w:szCs w:val="11"/>
                <w:color w:val="auto"/>
              </w:rPr>
              <w:t>Cash and cash equivalents</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150.6</w:t>
            </w:r>
          </w:p>
        </w:tc>
        <w:tc>
          <w:tcPr>
            <w:tcW w:w="120" w:type="dxa"/>
            <w:vAlign w:val="bottom"/>
            <w:shd w:val="clear" w:color="auto" w:fill="CCEEFF"/>
          </w:tcPr>
          <w:p>
            <w:pPr>
              <w:spacing w:after="0"/>
              <w:rPr>
                <w:sz w:val="10"/>
                <w:szCs w:val="10"/>
                <w:color w:val="auto"/>
              </w:rPr>
            </w:pPr>
          </w:p>
        </w:tc>
        <w:tc>
          <w:tcPr>
            <w:tcW w:w="18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162.1</w:t>
            </w: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5280" w:type="dxa"/>
            <w:vAlign w:val="bottom"/>
          </w:tcPr>
          <w:p>
            <w:pPr>
              <w:ind w:left="200"/>
              <w:spacing w:after="0"/>
              <w:rPr>
                <w:sz w:val="20"/>
                <w:szCs w:val="20"/>
                <w:color w:val="auto"/>
              </w:rPr>
            </w:pPr>
            <w:r>
              <w:rPr>
                <w:rFonts w:ascii="Arial" w:cs="Arial" w:eastAsia="Arial" w:hAnsi="Arial"/>
                <w:sz w:val="11"/>
                <w:szCs w:val="11"/>
                <w:color w:val="auto"/>
              </w:rPr>
              <w:t>Marketable securities</w:t>
            </w:r>
          </w:p>
        </w:tc>
        <w:tc>
          <w:tcPr>
            <w:tcW w:w="80" w:type="dxa"/>
            <w:vAlign w:val="bottom"/>
          </w:tcPr>
          <w:p>
            <w:pPr>
              <w:spacing w:after="0"/>
              <w:rPr>
                <w:sz w:val="10"/>
                <w:szCs w:val="10"/>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jc w:val="right"/>
              <w:spacing w:after="0"/>
              <w:rPr>
                <w:sz w:val="20"/>
                <w:szCs w:val="20"/>
                <w:color w:val="auto"/>
              </w:rPr>
            </w:pPr>
            <w:r>
              <w:rPr>
                <w:rFonts w:ascii="Arial" w:cs="Arial" w:eastAsia="Arial" w:hAnsi="Arial"/>
                <w:sz w:val="11"/>
                <w:szCs w:val="11"/>
                <w:color w:val="auto"/>
              </w:rPr>
              <w:t>216.0</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5280" w:type="dxa"/>
            <w:vAlign w:val="bottom"/>
            <w:shd w:val="clear" w:color="auto" w:fill="CCEEFF"/>
          </w:tcPr>
          <w:p>
            <w:pPr>
              <w:ind w:left="200"/>
              <w:spacing w:after="0"/>
              <w:rPr>
                <w:sz w:val="20"/>
                <w:szCs w:val="20"/>
                <w:color w:val="auto"/>
              </w:rPr>
            </w:pPr>
            <w:r>
              <w:rPr>
                <w:rFonts w:ascii="Arial" w:cs="Arial" w:eastAsia="Arial" w:hAnsi="Arial"/>
                <w:sz w:val="11"/>
                <w:szCs w:val="11"/>
                <w:color w:val="auto"/>
              </w:rPr>
              <w:t>Accounts receivable, net of allowances</w:t>
            </w: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9.4</w:t>
            </w: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18.5</w:t>
            </w: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5280" w:type="dxa"/>
            <w:vAlign w:val="bottom"/>
          </w:tcPr>
          <w:p>
            <w:pPr>
              <w:ind w:left="200"/>
              <w:spacing w:after="0"/>
              <w:rPr>
                <w:sz w:val="20"/>
                <w:szCs w:val="20"/>
                <w:color w:val="auto"/>
              </w:rPr>
            </w:pPr>
            <w:r>
              <w:rPr>
                <w:rFonts w:ascii="Arial" w:cs="Arial" w:eastAsia="Arial" w:hAnsi="Arial"/>
                <w:sz w:val="11"/>
                <w:szCs w:val="11"/>
                <w:color w:val="auto"/>
              </w:rPr>
              <w:t>Inventories</w:t>
            </w:r>
          </w:p>
        </w:tc>
        <w:tc>
          <w:tcPr>
            <w:tcW w:w="80" w:type="dxa"/>
            <w:vAlign w:val="bottom"/>
          </w:tcPr>
          <w:p>
            <w:pPr>
              <w:spacing w:after="0"/>
              <w:rPr>
                <w:sz w:val="10"/>
                <w:szCs w:val="10"/>
                <w:color w:val="auto"/>
              </w:rPr>
            </w:pPr>
          </w:p>
        </w:tc>
        <w:tc>
          <w:tcPr>
            <w:tcW w:w="400" w:type="dxa"/>
            <w:vAlign w:val="bottom"/>
          </w:tcPr>
          <w:p>
            <w:pPr>
              <w:jc w:val="right"/>
              <w:spacing w:after="0"/>
              <w:rPr>
                <w:sz w:val="20"/>
                <w:szCs w:val="20"/>
                <w:color w:val="auto"/>
              </w:rPr>
            </w:pPr>
            <w:r>
              <w:rPr>
                <w:rFonts w:ascii="Arial" w:cs="Arial" w:eastAsia="Arial" w:hAnsi="Arial"/>
                <w:sz w:val="11"/>
                <w:szCs w:val="11"/>
                <w:color w:val="auto"/>
              </w:rPr>
              <w:t>25.3</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jc w:val="right"/>
              <w:spacing w:after="0"/>
              <w:rPr>
                <w:sz w:val="20"/>
                <w:szCs w:val="20"/>
                <w:color w:val="auto"/>
              </w:rPr>
            </w:pPr>
            <w:r>
              <w:rPr>
                <w:rFonts w:ascii="Arial" w:cs="Arial" w:eastAsia="Arial" w:hAnsi="Arial"/>
                <w:sz w:val="11"/>
                <w:szCs w:val="11"/>
                <w:color w:val="auto"/>
              </w:rPr>
              <w:t>136.6</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5280" w:type="dxa"/>
            <w:vAlign w:val="bottom"/>
            <w:shd w:val="clear" w:color="auto" w:fill="CCEEFF"/>
          </w:tcPr>
          <w:p>
            <w:pPr>
              <w:ind w:left="200"/>
              <w:spacing w:after="0"/>
              <w:rPr>
                <w:sz w:val="20"/>
                <w:szCs w:val="20"/>
                <w:color w:val="auto"/>
              </w:rPr>
            </w:pPr>
            <w:r>
              <w:rPr>
                <w:rFonts w:ascii="Arial" w:cs="Arial" w:eastAsia="Arial" w:hAnsi="Arial"/>
                <w:sz w:val="11"/>
                <w:szCs w:val="11"/>
                <w:color w:val="auto"/>
              </w:rPr>
              <w:t>Prepaid expenses and other current assets</w:t>
            </w:r>
          </w:p>
        </w:tc>
        <w:tc>
          <w:tcPr>
            <w:tcW w:w="80" w:type="dxa"/>
            <w:vAlign w:val="bottom"/>
            <w:tcBorders>
              <w:bottom w:val="single" w:sz="8" w:color="auto"/>
            </w:tcBorders>
            <w:shd w:val="clear" w:color="auto" w:fill="CCEEFF"/>
          </w:tcPr>
          <w:p>
            <w:pPr>
              <w:spacing w:after="0"/>
              <w:rPr>
                <w:sz w:val="10"/>
                <w:szCs w:val="10"/>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18.4</w:t>
            </w: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tcBorders>
              <w:bottom w:val="single" w:sz="8" w:color="auto"/>
            </w:tcBorders>
            <w:shd w:val="clear" w:color="auto" w:fill="CCEEFF"/>
          </w:tcPr>
          <w:p>
            <w:pPr>
              <w:spacing w:after="0"/>
              <w:rPr>
                <w:sz w:val="10"/>
                <w:szCs w:val="10"/>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48.4</w:t>
            </w: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5280" w:type="dxa"/>
            <w:vAlign w:val="bottom"/>
          </w:tcPr>
          <w:p>
            <w:pPr>
              <w:ind w:left="420"/>
              <w:spacing w:after="0" w:line="124" w:lineRule="exact"/>
              <w:rPr>
                <w:sz w:val="20"/>
                <w:szCs w:val="20"/>
                <w:color w:val="auto"/>
              </w:rPr>
            </w:pPr>
            <w:r>
              <w:rPr>
                <w:rFonts w:ascii="Arial" w:cs="Arial" w:eastAsia="Arial" w:hAnsi="Arial"/>
                <w:sz w:val="11"/>
                <w:szCs w:val="11"/>
                <w:color w:val="auto"/>
              </w:rPr>
              <w:t>Total current assets</w:t>
            </w:r>
          </w:p>
        </w:tc>
        <w:tc>
          <w:tcPr>
            <w:tcW w:w="8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jc w:val="right"/>
              <w:spacing w:after="0" w:line="124" w:lineRule="exact"/>
              <w:rPr>
                <w:sz w:val="20"/>
                <w:szCs w:val="20"/>
                <w:color w:val="auto"/>
              </w:rPr>
            </w:pPr>
            <w:r>
              <w:rPr>
                <w:rFonts w:ascii="Arial" w:cs="Arial" w:eastAsia="Arial" w:hAnsi="Arial"/>
                <w:sz w:val="11"/>
                <w:szCs w:val="11"/>
                <w:color w:val="auto"/>
              </w:rPr>
              <w:t>203.8</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jc w:val="right"/>
              <w:spacing w:after="0" w:line="124" w:lineRule="exact"/>
              <w:rPr>
                <w:sz w:val="20"/>
                <w:szCs w:val="20"/>
                <w:color w:val="auto"/>
              </w:rPr>
            </w:pPr>
            <w:r>
              <w:rPr>
                <w:rFonts w:ascii="Arial" w:cs="Arial" w:eastAsia="Arial" w:hAnsi="Arial"/>
                <w:sz w:val="11"/>
                <w:szCs w:val="11"/>
                <w:color w:val="auto"/>
              </w:rPr>
              <w:t>581.7</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5280" w:type="dxa"/>
            <w:vAlign w:val="bottom"/>
            <w:shd w:val="clear" w:color="auto" w:fill="CCEEFF"/>
          </w:tcPr>
          <w:p>
            <w:pPr>
              <w:spacing w:after="0" w:line="124" w:lineRule="exact"/>
              <w:rPr>
                <w:sz w:val="20"/>
                <w:szCs w:val="20"/>
                <w:color w:val="auto"/>
              </w:rPr>
            </w:pPr>
            <w:r>
              <w:rPr>
                <w:rFonts w:ascii="Arial" w:cs="Arial" w:eastAsia="Arial" w:hAnsi="Arial"/>
                <w:sz w:val="11"/>
                <w:szCs w:val="11"/>
                <w:color w:val="auto"/>
              </w:rPr>
              <w:t>Property and equipment, net</w:t>
            </w: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jc w:val="right"/>
              <w:spacing w:after="0" w:line="124" w:lineRule="exact"/>
              <w:rPr>
                <w:sz w:val="20"/>
                <w:szCs w:val="20"/>
                <w:color w:val="auto"/>
              </w:rPr>
            </w:pPr>
            <w:r>
              <w:rPr>
                <w:rFonts w:ascii="Arial" w:cs="Arial" w:eastAsia="Arial" w:hAnsi="Arial"/>
                <w:sz w:val="11"/>
                <w:szCs w:val="11"/>
                <w:color w:val="auto"/>
              </w:rPr>
              <w:t>36.2</w:t>
            </w: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jc w:val="right"/>
              <w:spacing w:after="0" w:line="124" w:lineRule="exact"/>
              <w:rPr>
                <w:sz w:val="20"/>
                <w:szCs w:val="20"/>
                <w:color w:val="auto"/>
              </w:rPr>
            </w:pPr>
            <w:r>
              <w:rPr>
                <w:rFonts w:ascii="Arial" w:cs="Arial" w:eastAsia="Arial" w:hAnsi="Arial"/>
                <w:sz w:val="11"/>
                <w:szCs w:val="11"/>
                <w:color w:val="auto"/>
              </w:rPr>
              <w:t>249.7</w:t>
            </w: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5300" w:type="dxa"/>
            <w:vAlign w:val="bottom"/>
            <w:gridSpan w:val="2"/>
          </w:tcPr>
          <w:p>
            <w:pPr>
              <w:spacing w:after="0"/>
              <w:rPr>
                <w:sz w:val="20"/>
                <w:szCs w:val="20"/>
                <w:color w:val="auto"/>
              </w:rPr>
            </w:pPr>
            <w:r>
              <w:rPr>
                <w:rFonts w:ascii="Arial" w:cs="Arial" w:eastAsia="Arial" w:hAnsi="Arial"/>
                <w:sz w:val="11"/>
                <w:szCs w:val="11"/>
                <w:color w:val="auto"/>
              </w:rPr>
              <w:t>Intangible assets, net</w:t>
            </w:r>
          </w:p>
        </w:tc>
        <w:tc>
          <w:tcPr>
            <w:tcW w:w="80" w:type="dxa"/>
            <w:vAlign w:val="bottom"/>
          </w:tcPr>
          <w:p>
            <w:pPr>
              <w:spacing w:after="0"/>
              <w:rPr>
                <w:sz w:val="10"/>
                <w:szCs w:val="10"/>
                <w:color w:val="auto"/>
              </w:rPr>
            </w:pPr>
          </w:p>
        </w:tc>
        <w:tc>
          <w:tcPr>
            <w:tcW w:w="400" w:type="dxa"/>
            <w:vAlign w:val="bottom"/>
          </w:tcPr>
          <w:p>
            <w:pPr>
              <w:jc w:val="right"/>
              <w:spacing w:after="0"/>
              <w:rPr>
                <w:sz w:val="20"/>
                <w:szCs w:val="20"/>
                <w:color w:val="auto"/>
              </w:rPr>
            </w:pPr>
            <w:r>
              <w:rPr>
                <w:rFonts w:ascii="Arial" w:cs="Arial" w:eastAsia="Arial" w:hAnsi="Arial"/>
                <w:sz w:val="11"/>
                <w:szCs w:val="11"/>
                <w:color w:val="auto"/>
              </w:rPr>
              <w:t>24.5</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jc w:val="right"/>
              <w:spacing w:after="0"/>
              <w:rPr>
                <w:sz w:val="20"/>
                <w:szCs w:val="20"/>
                <w:color w:val="auto"/>
              </w:rPr>
            </w:pPr>
            <w:r>
              <w:rPr>
                <w:rFonts w:ascii="Arial" w:cs="Arial" w:eastAsia="Arial" w:hAnsi="Arial"/>
                <w:sz w:val="11"/>
                <w:szCs w:val="11"/>
                <w:color w:val="auto"/>
              </w:rPr>
              <w:t>19.5</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1"/>
                <w:szCs w:val="11"/>
                <w:color w:val="auto"/>
              </w:rPr>
              <w:t>Goodwill</w:t>
            </w: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4.2</w:t>
            </w: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4.3</w:t>
            </w: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5300" w:type="dxa"/>
            <w:vAlign w:val="bottom"/>
            <w:gridSpan w:val="2"/>
          </w:tcPr>
          <w:p>
            <w:pPr>
              <w:spacing w:after="0"/>
              <w:rPr>
                <w:sz w:val="20"/>
                <w:szCs w:val="20"/>
                <w:color w:val="auto"/>
              </w:rPr>
            </w:pPr>
            <w:r>
              <w:rPr>
                <w:rFonts w:ascii="Arial" w:cs="Arial" w:eastAsia="Arial" w:hAnsi="Arial"/>
                <w:sz w:val="11"/>
                <w:szCs w:val="11"/>
                <w:color w:val="auto"/>
              </w:rPr>
              <w:t>Restricted cash</w:t>
            </w:r>
          </w:p>
        </w:tc>
        <w:tc>
          <w:tcPr>
            <w:tcW w:w="80" w:type="dxa"/>
            <w:vAlign w:val="bottom"/>
          </w:tcPr>
          <w:p>
            <w:pPr>
              <w:spacing w:after="0"/>
              <w:rPr>
                <w:sz w:val="10"/>
                <w:szCs w:val="10"/>
                <w:color w:val="auto"/>
              </w:rPr>
            </w:pPr>
          </w:p>
        </w:tc>
        <w:tc>
          <w:tcPr>
            <w:tcW w:w="400" w:type="dxa"/>
            <w:vAlign w:val="bottom"/>
          </w:tcPr>
          <w:p>
            <w:pPr>
              <w:jc w:val="right"/>
              <w:spacing w:after="0"/>
              <w:rPr>
                <w:sz w:val="20"/>
                <w:szCs w:val="20"/>
                <w:color w:val="auto"/>
              </w:rPr>
            </w:pPr>
            <w:r>
              <w:rPr>
                <w:rFonts w:ascii="Arial" w:cs="Arial" w:eastAsia="Arial" w:hAnsi="Arial"/>
                <w:sz w:val="11"/>
                <w:szCs w:val="11"/>
                <w:color w:val="auto"/>
              </w:rPr>
              <w:t>1.0</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jc w:val="right"/>
              <w:spacing w:after="0"/>
              <w:rPr>
                <w:sz w:val="20"/>
                <w:szCs w:val="20"/>
                <w:color w:val="auto"/>
              </w:rPr>
            </w:pPr>
            <w:r>
              <w:rPr>
                <w:rFonts w:ascii="Arial" w:cs="Arial" w:eastAsia="Arial" w:hAnsi="Arial"/>
                <w:sz w:val="11"/>
                <w:szCs w:val="11"/>
                <w:color w:val="auto"/>
              </w:rPr>
              <w:t>0.8</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1"/>
                <w:szCs w:val="11"/>
                <w:color w:val="auto"/>
              </w:rPr>
              <w:t>Other assets</w:t>
            </w:r>
          </w:p>
        </w:tc>
        <w:tc>
          <w:tcPr>
            <w:tcW w:w="80" w:type="dxa"/>
            <w:vAlign w:val="bottom"/>
            <w:tcBorders>
              <w:bottom w:val="single" w:sz="8" w:color="auto"/>
            </w:tcBorders>
            <w:shd w:val="clear" w:color="auto" w:fill="CCEEFF"/>
          </w:tcPr>
          <w:p>
            <w:pPr>
              <w:spacing w:after="0"/>
              <w:rPr>
                <w:sz w:val="10"/>
                <w:szCs w:val="10"/>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1.6</w:t>
            </w: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tcBorders>
              <w:bottom w:val="single" w:sz="8" w:color="auto"/>
            </w:tcBorders>
            <w:shd w:val="clear" w:color="auto" w:fill="CCEEFF"/>
          </w:tcPr>
          <w:p>
            <w:pPr>
              <w:spacing w:after="0"/>
              <w:rPr>
                <w:sz w:val="10"/>
                <w:szCs w:val="10"/>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8.5</w:t>
            </w: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5280" w:type="dxa"/>
            <w:vAlign w:val="bottom"/>
          </w:tcPr>
          <w:p>
            <w:pPr>
              <w:ind w:left="420"/>
              <w:spacing w:after="0" w:line="124" w:lineRule="exact"/>
              <w:rPr>
                <w:sz w:val="20"/>
                <w:szCs w:val="20"/>
                <w:color w:val="auto"/>
              </w:rPr>
            </w:pPr>
            <w:r>
              <w:rPr>
                <w:rFonts w:ascii="Arial" w:cs="Arial" w:eastAsia="Arial" w:hAnsi="Arial"/>
                <w:sz w:val="11"/>
                <w:szCs w:val="11"/>
                <w:color w:val="auto"/>
              </w:rPr>
              <w:t>Total assets</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tcPr>
          <w:p>
            <w:pPr>
              <w:jc w:val="right"/>
              <w:spacing w:after="0" w:line="124" w:lineRule="exact"/>
              <w:rPr>
                <w:sz w:val="20"/>
                <w:szCs w:val="20"/>
                <w:color w:val="auto"/>
              </w:rPr>
            </w:pPr>
            <w:r>
              <w:rPr>
                <w:rFonts w:ascii="Arial" w:cs="Arial" w:eastAsia="Arial" w:hAnsi="Arial"/>
                <w:sz w:val="11"/>
                <w:szCs w:val="11"/>
                <w:color w:val="auto"/>
              </w:rPr>
              <w:t>271.2</w:t>
            </w:r>
          </w:p>
        </w:tc>
        <w:tc>
          <w:tcPr>
            <w:tcW w:w="120" w:type="dxa"/>
            <w:vAlign w:val="bottom"/>
          </w:tcPr>
          <w:p>
            <w:pPr>
              <w:spacing w:after="0"/>
              <w:rPr>
                <w:sz w:val="11"/>
                <w:szCs w:val="11"/>
                <w:color w:val="auto"/>
              </w:rPr>
            </w:pPr>
          </w:p>
        </w:tc>
        <w:tc>
          <w:tcPr>
            <w:tcW w:w="180" w:type="dxa"/>
            <w:vAlign w:val="bottom"/>
            <w:gridSpan w:val="2"/>
          </w:tcPr>
          <w:p>
            <w:pPr>
              <w:jc w:val="right"/>
              <w:ind w:right="40"/>
              <w:spacing w:after="0" w:line="124" w:lineRule="exact"/>
              <w:rPr>
                <w:sz w:val="20"/>
                <w:szCs w:val="20"/>
                <w:color w:val="auto"/>
              </w:rPr>
            </w:pPr>
            <w:r>
              <w:rPr>
                <w:rFonts w:ascii="Arial" w:cs="Arial" w:eastAsia="Arial" w:hAnsi="Arial"/>
                <w:sz w:val="11"/>
                <w:szCs w:val="11"/>
                <w:color w:val="auto"/>
              </w:rPr>
              <w:t>$</w:t>
            </w:r>
          </w:p>
        </w:tc>
        <w:tc>
          <w:tcPr>
            <w:tcW w:w="400" w:type="dxa"/>
            <w:vAlign w:val="bottom"/>
          </w:tcPr>
          <w:p>
            <w:pPr>
              <w:jc w:val="right"/>
              <w:spacing w:after="0" w:line="124" w:lineRule="exact"/>
              <w:rPr>
                <w:sz w:val="20"/>
                <w:szCs w:val="20"/>
                <w:color w:val="auto"/>
              </w:rPr>
            </w:pPr>
            <w:r>
              <w:rPr>
                <w:rFonts w:ascii="Arial" w:cs="Arial" w:eastAsia="Arial" w:hAnsi="Arial"/>
                <w:sz w:val="11"/>
                <w:szCs w:val="11"/>
                <w:color w:val="auto"/>
              </w:rPr>
              <w:t>864.5</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1"/>
        </w:trPr>
        <w:tc>
          <w:tcPr>
            <w:tcW w:w="20" w:type="dxa"/>
            <w:vAlign w:val="bottom"/>
            <w:vMerge w:val="restart"/>
          </w:tcPr>
          <w:p>
            <w:pPr>
              <w:spacing w:after="0"/>
              <w:rPr>
                <w:sz w:val="7"/>
                <w:szCs w:val="7"/>
                <w:color w:val="auto"/>
              </w:rPr>
            </w:pPr>
          </w:p>
        </w:tc>
        <w:tc>
          <w:tcPr>
            <w:tcW w:w="5280" w:type="dxa"/>
            <w:vAlign w:val="bottom"/>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400" w:type="dxa"/>
            <w:vAlign w:val="bottom"/>
            <w:tcBorders>
              <w:top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400" w:type="dxa"/>
            <w:vAlign w:val="bottom"/>
            <w:tcBorders>
              <w:top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52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20" w:type="dxa"/>
            <w:vAlign w:val="bottom"/>
            <w:vMerge w:val="continue"/>
          </w:tcPr>
          <w:p>
            <w:pPr>
              <w:spacing w:after="0"/>
              <w:rPr>
                <w:sz w:val="10"/>
                <w:szCs w:val="10"/>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1"/>
                <w:szCs w:val="11"/>
                <w:b w:val="1"/>
                <w:bCs w:val="1"/>
                <w:color w:val="auto"/>
              </w:rPr>
              <w:t>LIABILITIES, REDEEMABLE CONVERTIBLE PREFERRED STOCK, AND STOCKHOLDERS’ DEFICIT</w:t>
            </w: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5300" w:type="dxa"/>
            <w:vAlign w:val="bottom"/>
            <w:gridSpan w:val="2"/>
          </w:tcPr>
          <w:p>
            <w:pPr>
              <w:spacing w:after="0"/>
              <w:rPr>
                <w:sz w:val="20"/>
                <w:szCs w:val="20"/>
                <w:color w:val="auto"/>
              </w:rPr>
            </w:pPr>
            <w:r>
              <w:rPr>
                <w:rFonts w:ascii="Arial" w:cs="Arial" w:eastAsia="Arial" w:hAnsi="Arial"/>
                <w:sz w:val="11"/>
                <w:szCs w:val="11"/>
                <w:color w:val="auto"/>
              </w:rPr>
              <w:t>Current Liabilities:</w:t>
            </w: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5280" w:type="dxa"/>
            <w:vAlign w:val="bottom"/>
            <w:shd w:val="clear" w:color="auto" w:fill="CCEEFF"/>
          </w:tcPr>
          <w:p>
            <w:pPr>
              <w:ind w:left="200"/>
              <w:spacing w:after="0"/>
              <w:rPr>
                <w:sz w:val="20"/>
                <w:szCs w:val="20"/>
                <w:color w:val="auto"/>
              </w:rPr>
            </w:pPr>
            <w:r>
              <w:rPr>
                <w:rFonts w:ascii="Arial" w:cs="Arial" w:eastAsia="Arial" w:hAnsi="Arial"/>
                <w:sz w:val="11"/>
                <w:szCs w:val="11"/>
                <w:color w:val="auto"/>
              </w:rPr>
              <w:t>Accounts payable</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28.1</w:t>
            </w:r>
          </w:p>
        </w:tc>
        <w:tc>
          <w:tcPr>
            <w:tcW w:w="120" w:type="dxa"/>
            <w:vAlign w:val="bottom"/>
            <w:shd w:val="clear" w:color="auto" w:fill="CCEEFF"/>
          </w:tcPr>
          <w:p>
            <w:pPr>
              <w:spacing w:after="0"/>
              <w:rPr>
                <w:sz w:val="10"/>
                <w:szCs w:val="10"/>
                <w:color w:val="auto"/>
              </w:rPr>
            </w:pPr>
          </w:p>
        </w:tc>
        <w:tc>
          <w:tcPr>
            <w:tcW w:w="18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92.2</w:t>
            </w: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5280" w:type="dxa"/>
            <w:vAlign w:val="bottom"/>
          </w:tcPr>
          <w:p>
            <w:pPr>
              <w:ind w:left="200"/>
              <w:spacing w:after="0"/>
              <w:rPr>
                <w:sz w:val="20"/>
                <w:szCs w:val="20"/>
                <w:color w:val="auto"/>
              </w:rPr>
            </w:pPr>
            <w:r>
              <w:rPr>
                <w:rFonts w:ascii="Arial" w:cs="Arial" w:eastAsia="Arial" w:hAnsi="Arial"/>
                <w:sz w:val="11"/>
                <w:szCs w:val="11"/>
                <w:color w:val="auto"/>
              </w:rPr>
              <w:t>Accrued expenses</w:t>
            </w:r>
          </w:p>
        </w:tc>
        <w:tc>
          <w:tcPr>
            <w:tcW w:w="80" w:type="dxa"/>
            <w:vAlign w:val="bottom"/>
          </w:tcPr>
          <w:p>
            <w:pPr>
              <w:spacing w:after="0"/>
              <w:rPr>
                <w:sz w:val="10"/>
                <w:szCs w:val="10"/>
                <w:color w:val="auto"/>
              </w:rPr>
            </w:pPr>
          </w:p>
        </w:tc>
        <w:tc>
          <w:tcPr>
            <w:tcW w:w="400" w:type="dxa"/>
            <w:vAlign w:val="bottom"/>
          </w:tcPr>
          <w:p>
            <w:pPr>
              <w:jc w:val="right"/>
              <w:spacing w:after="0"/>
              <w:rPr>
                <w:sz w:val="20"/>
                <w:szCs w:val="20"/>
                <w:color w:val="auto"/>
              </w:rPr>
            </w:pPr>
            <w:r>
              <w:rPr>
                <w:rFonts w:ascii="Arial" w:cs="Arial" w:eastAsia="Arial" w:hAnsi="Arial"/>
                <w:sz w:val="11"/>
                <w:szCs w:val="11"/>
                <w:color w:val="auto"/>
              </w:rPr>
              <w:t>51.4</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jc w:val="right"/>
              <w:spacing w:after="0"/>
              <w:rPr>
                <w:sz w:val="20"/>
                <w:szCs w:val="20"/>
                <w:color w:val="auto"/>
              </w:rPr>
            </w:pPr>
            <w:r>
              <w:rPr>
                <w:rFonts w:ascii="Arial" w:cs="Arial" w:eastAsia="Arial" w:hAnsi="Arial"/>
                <w:sz w:val="11"/>
                <w:szCs w:val="11"/>
                <w:color w:val="auto"/>
              </w:rPr>
              <w:t>104.5</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5280" w:type="dxa"/>
            <w:vAlign w:val="bottom"/>
            <w:shd w:val="clear" w:color="auto" w:fill="CCEEFF"/>
          </w:tcPr>
          <w:p>
            <w:pPr>
              <w:ind w:left="200"/>
              <w:spacing w:after="0"/>
              <w:rPr>
                <w:sz w:val="20"/>
                <w:szCs w:val="20"/>
                <w:color w:val="auto"/>
              </w:rPr>
            </w:pPr>
            <w:r>
              <w:rPr>
                <w:rFonts w:ascii="Arial" w:cs="Arial" w:eastAsia="Arial" w:hAnsi="Arial"/>
                <w:sz w:val="11"/>
                <w:szCs w:val="11"/>
                <w:color w:val="auto"/>
              </w:rPr>
              <w:t>Customer deposits and deferred revenue</w:t>
            </w: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88.5</w:t>
            </w: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90.8</w:t>
            </w: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5280" w:type="dxa"/>
            <w:vAlign w:val="bottom"/>
          </w:tcPr>
          <w:p>
            <w:pPr>
              <w:ind w:left="200"/>
              <w:spacing w:after="0"/>
              <w:rPr>
                <w:sz w:val="20"/>
                <w:szCs w:val="20"/>
                <w:color w:val="auto"/>
              </w:rPr>
            </w:pPr>
            <w:r>
              <w:rPr>
                <w:rFonts w:ascii="Arial" w:cs="Arial" w:eastAsia="Arial" w:hAnsi="Arial"/>
                <w:sz w:val="11"/>
                <w:szCs w:val="11"/>
                <w:color w:val="auto"/>
              </w:rPr>
              <w:t>Other current liabilities</w:t>
            </w:r>
          </w:p>
        </w:tc>
        <w:tc>
          <w:tcPr>
            <w:tcW w:w="8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2.2</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3.3</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5280" w:type="dxa"/>
            <w:vAlign w:val="bottom"/>
            <w:shd w:val="clear" w:color="auto" w:fill="CCEEFF"/>
          </w:tcPr>
          <w:p>
            <w:pPr>
              <w:ind w:left="420"/>
              <w:spacing w:after="0" w:line="124" w:lineRule="exact"/>
              <w:rPr>
                <w:sz w:val="20"/>
                <w:szCs w:val="20"/>
                <w:color w:val="auto"/>
              </w:rPr>
            </w:pPr>
            <w:r>
              <w:rPr>
                <w:rFonts w:ascii="Arial" w:cs="Arial" w:eastAsia="Arial" w:hAnsi="Arial"/>
                <w:sz w:val="11"/>
                <w:szCs w:val="11"/>
                <w:color w:val="auto"/>
              </w:rPr>
              <w:t>Total current liabilities</w:t>
            </w:r>
          </w:p>
        </w:tc>
        <w:tc>
          <w:tcPr>
            <w:tcW w:w="80" w:type="dxa"/>
            <w:vAlign w:val="bottom"/>
            <w:tcBorders>
              <w:bottom w:val="single" w:sz="8" w:color="auto"/>
            </w:tcBorders>
            <w:shd w:val="clear" w:color="auto" w:fill="CCEEFF"/>
          </w:tcPr>
          <w:p>
            <w:pPr>
              <w:spacing w:after="0"/>
              <w:rPr>
                <w:sz w:val="10"/>
                <w:szCs w:val="10"/>
                <w:color w:val="auto"/>
              </w:rPr>
            </w:pPr>
          </w:p>
        </w:tc>
        <w:tc>
          <w:tcPr>
            <w:tcW w:w="400" w:type="dxa"/>
            <w:vAlign w:val="bottom"/>
            <w:tcBorders>
              <w:bottom w:val="single" w:sz="8" w:color="auto"/>
            </w:tcBorders>
            <w:shd w:val="clear" w:color="auto" w:fill="CCEEFF"/>
          </w:tcPr>
          <w:p>
            <w:pPr>
              <w:jc w:val="right"/>
              <w:spacing w:after="0" w:line="124" w:lineRule="exact"/>
              <w:rPr>
                <w:sz w:val="20"/>
                <w:szCs w:val="20"/>
                <w:color w:val="auto"/>
              </w:rPr>
            </w:pPr>
            <w:r>
              <w:rPr>
                <w:rFonts w:ascii="Arial" w:cs="Arial" w:eastAsia="Arial" w:hAnsi="Arial"/>
                <w:sz w:val="11"/>
                <w:szCs w:val="11"/>
                <w:color w:val="auto"/>
              </w:rPr>
              <w:t>170.2</w:t>
            </w: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tcBorders>
              <w:bottom w:val="single" w:sz="8" w:color="auto"/>
            </w:tcBorders>
            <w:shd w:val="clear" w:color="auto" w:fill="CCEEFF"/>
          </w:tcPr>
          <w:p>
            <w:pPr>
              <w:spacing w:after="0"/>
              <w:rPr>
                <w:sz w:val="10"/>
                <w:szCs w:val="10"/>
                <w:color w:val="auto"/>
              </w:rPr>
            </w:pPr>
          </w:p>
        </w:tc>
        <w:tc>
          <w:tcPr>
            <w:tcW w:w="400" w:type="dxa"/>
            <w:vAlign w:val="bottom"/>
            <w:tcBorders>
              <w:bottom w:val="single" w:sz="8" w:color="auto"/>
            </w:tcBorders>
            <w:shd w:val="clear" w:color="auto" w:fill="CCEEFF"/>
          </w:tcPr>
          <w:p>
            <w:pPr>
              <w:jc w:val="right"/>
              <w:spacing w:after="0" w:line="124" w:lineRule="exact"/>
              <w:rPr>
                <w:sz w:val="20"/>
                <w:szCs w:val="20"/>
                <w:color w:val="auto"/>
              </w:rPr>
            </w:pPr>
            <w:r>
              <w:rPr>
                <w:rFonts w:ascii="Arial" w:cs="Arial" w:eastAsia="Arial" w:hAnsi="Arial"/>
                <w:sz w:val="11"/>
                <w:szCs w:val="11"/>
                <w:color w:val="auto"/>
              </w:rPr>
              <w:t>290.8</w:t>
            </w: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5300" w:type="dxa"/>
            <w:vAlign w:val="bottom"/>
            <w:gridSpan w:val="2"/>
          </w:tcPr>
          <w:p>
            <w:pPr>
              <w:spacing w:after="0" w:line="124" w:lineRule="exact"/>
              <w:rPr>
                <w:sz w:val="20"/>
                <w:szCs w:val="20"/>
                <w:color w:val="auto"/>
              </w:rPr>
            </w:pPr>
            <w:r>
              <w:rPr>
                <w:rFonts w:ascii="Arial" w:cs="Arial" w:eastAsia="Arial" w:hAnsi="Arial"/>
                <w:sz w:val="11"/>
                <w:szCs w:val="11"/>
                <w:color w:val="auto"/>
              </w:rPr>
              <w:t>Deferred rent</w:t>
            </w:r>
          </w:p>
        </w:tc>
        <w:tc>
          <w:tcPr>
            <w:tcW w:w="80" w:type="dxa"/>
            <w:vAlign w:val="bottom"/>
          </w:tcPr>
          <w:p>
            <w:pPr>
              <w:spacing w:after="0"/>
              <w:rPr>
                <w:sz w:val="10"/>
                <w:szCs w:val="10"/>
                <w:color w:val="auto"/>
              </w:rPr>
            </w:pPr>
          </w:p>
        </w:tc>
        <w:tc>
          <w:tcPr>
            <w:tcW w:w="400" w:type="dxa"/>
            <w:vAlign w:val="bottom"/>
          </w:tcPr>
          <w:p>
            <w:pPr>
              <w:jc w:val="right"/>
              <w:spacing w:after="0" w:line="124" w:lineRule="exact"/>
              <w:rPr>
                <w:sz w:val="20"/>
                <w:szCs w:val="20"/>
                <w:color w:val="auto"/>
              </w:rPr>
            </w:pPr>
            <w:r>
              <w:rPr>
                <w:rFonts w:ascii="Arial" w:cs="Arial" w:eastAsia="Arial" w:hAnsi="Arial"/>
                <w:sz w:val="11"/>
                <w:szCs w:val="11"/>
                <w:color w:val="auto"/>
              </w:rPr>
              <w:t>9.4</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jc w:val="right"/>
              <w:spacing w:after="0" w:line="124" w:lineRule="exact"/>
              <w:rPr>
                <w:sz w:val="20"/>
                <w:szCs w:val="20"/>
                <w:color w:val="auto"/>
              </w:rPr>
            </w:pPr>
            <w:r>
              <w:rPr>
                <w:rFonts w:ascii="Arial" w:cs="Arial" w:eastAsia="Arial" w:hAnsi="Arial"/>
                <w:sz w:val="11"/>
                <w:szCs w:val="11"/>
                <w:color w:val="auto"/>
              </w:rPr>
              <w:t>23.7</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1"/>
                <w:szCs w:val="11"/>
                <w:color w:val="auto"/>
              </w:rPr>
              <w:t>Build-to-suit liability</w:t>
            </w:r>
          </w:p>
        </w:tc>
        <w:tc>
          <w:tcPr>
            <w:tcW w:w="80" w:type="dxa"/>
            <w:vAlign w:val="bottom"/>
            <w:shd w:val="clear" w:color="auto" w:fill="CCEEFF"/>
          </w:tcPr>
          <w:p>
            <w:pPr>
              <w:spacing w:after="0"/>
              <w:rPr>
                <w:sz w:val="10"/>
                <w:szCs w:val="10"/>
                <w:color w:val="auto"/>
              </w:rPr>
            </w:pP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147.1</w:t>
            </w: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5300" w:type="dxa"/>
            <w:vAlign w:val="bottom"/>
            <w:gridSpan w:val="2"/>
          </w:tcPr>
          <w:p>
            <w:pPr>
              <w:spacing w:after="0"/>
              <w:rPr>
                <w:sz w:val="20"/>
                <w:szCs w:val="20"/>
                <w:color w:val="auto"/>
              </w:rPr>
            </w:pPr>
            <w:r>
              <w:rPr>
                <w:rFonts w:ascii="Arial" w:cs="Arial" w:eastAsia="Arial" w:hAnsi="Arial"/>
                <w:sz w:val="11"/>
                <w:szCs w:val="11"/>
                <w:color w:val="auto"/>
              </w:rPr>
              <w:t>Other non-current liabilities</w:t>
            </w:r>
          </w:p>
        </w:tc>
        <w:tc>
          <w:tcPr>
            <w:tcW w:w="8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1.0</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0.4</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5280" w:type="dxa"/>
            <w:vAlign w:val="bottom"/>
            <w:shd w:val="clear" w:color="auto" w:fill="CCEEFF"/>
          </w:tcPr>
          <w:p>
            <w:pPr>
              <w:ind w:left="420"/>
              <w:spacing w:after="0" w:line="124" w:lineRule="exact"/>
              <w:rPr>
                <w:sz w:val="20"/>
                <w:szCs w:val="20"/>
                <w:color w:val="auto"/>
              </w:rPr>
            </w:pPr>
            <w:r>
              <w:rPr>
                <w:rFonts w:ascii="Arial" w:cs="Arial" w:eastAsia="Arial" w:hAnsi="Arial"/>
                <w:sz w:val="11"/>
                <w:szCs w:val="11"/>
                <w:color w:val="auto"/>
              </w:rPr>
              <w:t>Total liabilities</w:t>
            </w:r>
          </w:p>
        </w:tc>
        <w:tc>
          <w:tcPr>
            <w:tcW w:w="80" w:type="dxa"/>
            <w:vAlign w:val="bottom"/>
            <w:tcBorders>
              <w:bottom w:val="single" w:sz="8" w:color="auto"/>
            </w:tcBorders>
            <w:shd w:val="clear" w:color="auto" w:fill="CCEEFF"/>
          </w:tcPr>
          <w:p>
            <w:pPr>
              <w:spacing w:after="0"/>
              <w:rPr>
                <w:sz w:val="10"/>
                <w:szCs w:val="10"/>
                <w:color w:val="auto"/>
              </w:rPr>
            </w:pPr>
          </w:p>
        </w:tc>
        <w:tc>
          <w:tcPr>
            <w:tcW w:w="400" w:type="dxa"/>
            <w:vAlign w:val="bottom"/>
            <w:tcBorders>
              <w:bottom w:val="single" w:sz="8" w:color="auto"/>
            </w:tcBorders>
            <w:shd w:val="clear" w:color="auto" w:fill="CCEEFF"/>
          </w:tcPr>
          <w:p>
            <w:pPr>
              <w:jc w:val="right"/>
              <w:spacing w:after="0" w:line="124" w:lineRule="exact"/>
              <w:rPr>
                <w:sz w:val="20"/>
                <w:szCs w:val="20"/>
                <w:color w:val="auto"/>
              </w:rPr>
            </w:pPr>
            <w:r>
              <w:rPr>
                <w:rFonts w:ascii="Arial" w:cs="Arial" w:eastAsia="Arial" w:hAnsi="Arial"/>
                <w:sz w:val="11"/>
                <w:szCs w:val="11"/>
                <w:color w:val="auto"/>
              </w:rPr>
              <w:t>180.5</w:t>
            </w: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tcBorders>
              <w:bottom w:val="single" w:sz="8" w:color="auto"/>
            </w:tcBorders>
            <w:shd w:val="clear" w:color="auto" w:fill="CCEEFF"/>
          </w:tcPr>
          <w:p>
            <w:pPr>
              <w:spacing w:after="0"/>
              <w:rPr>
                <w:sz w:val="10"/>
                <w:szCs w:val="10"/>
                <w:color w:val="auto"/>
              </w:rPr>
            </w:pPr>
          </w:p>
        </w:tc>
        <w:tc>
          <w:tcPr>
            <w:tcW w:w="400" w:type="dxa"/>
            <w:vAlign w:val="bottom"/>
            <w:tcBorders>
              <w:bottom w:val="single" w:sz="8" w:color="auto"/>
            </w:tcBorders>
            <w:shd w:val="clear" w:color="auto" w:fill="CCEEFF"/>
          </w:tcPr>
          <w:p>
            <w:pPr>
              <w:jc w:val="right"/>
              <w:spacing w:after="0" w:line="124" w:lineRule="exact"/>
              <w:rPr>
                <w:sz w:val="20"/>
                <w:szCs w:val="20"/>
                <w:color w:val="auto"/>
              </w:rPr>
            </w:pPr>
            <w:r>
              <w:rPr>
                <w:rFonts w:ascii="Arial" w:cs="Arial" w:eastAsia="Arial" w:hAnsi="Arial"/>
                <w:sz w:val="11"/>
                <w:szCs w:val="11"/>
                <w:color w:val="auto"/>
              </w:rPr>
              <w:t>462.0</w:t>
            </w: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5300" w:type="dxa"/>
            <w:vAlign w:val="bottom"/>
            <w:gridSpan w:val="2"/>
          </w:tcPr>
          <w:p>
            <w:pPr>
              <w:spacing w:after="0" w:line="124" w:lineRule="exact"/>
              <w:rPr>
                <w:sz w:val="20"/>
                <w:szCs w:val="20"/>
                <w:color w:val="auto"/>
              </w:rPr>
            </w:pPr>
            <w:r>
              <w:rPr>
                <w:rFonts w:ascii="Arial" w:cs="Arial" w:eastAsia="Arial" w:hAnsi="Arial"/>
                <w:sz w:val="11"/>
                <w:szCs w:val="11"/>
                <w:color w:val="auto"/>
              </w:rPr>
              <w:t>Commitments and contingencies (Note 11)</w:t>
            </w: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1"/>
                <w:szCs w:val="11"/>
                <w:color w:val="auto"/>
              </w:rPr>
              <w:t>Redeemable convertible preferred stock, $0.000025 par value, 182,193,592 and 215,443,468 shares</w:t>
            </w: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5280" w:type="dxa"/>
            <w:vAlign w:val="bottom"/>
            <w:shd w:val="clear" w:color="auto" w:fill="CCEEFF"/>
          </w:tcPr>
          <w:p>
            <w:pPr>
              <w:ind w:left="80"/>
              <w:spacing w:after="0"/>
              <w:rPr>
                <w:sz w:val="20"/>
                <w:szCs w:val="20"/>
                <w:color w:val="auto"/>
              </w:rPr>
            </w:pPr>
            <w:r>
              <w:rPr>
                <w:rFonts w:ascii="Arial" w:cs="Arial" w:eastAsia="Arial" w:hAnsi="Arial"/>
                <w:sz w:val="11"/>
                <w:szCs w:val="11"/>
                <w:color w:val="auto"/>
              </w:rPr>
              <w:t>authorized; 176,313,468 and 210,640,629 shares issued and outstanding as of June 30, 2018 and 2019,</w:t>
            </w: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5280" w:type="dxa"/>
            <w:vAlign w:val="bottom"/>
            <w:shd w:val="clear" w:color="auto" w:fill="CCEEFF"/>
          </w:tcPr>
          <w:p>
            <w:pPr>
              <w:ind w:left="80"/>
              <w:spacing w:after="0" w:line="125" w:lineRule="exact"/>
              <w:rPr>
                <w:sz w:val="20"/>
                <w:szCs w:val="20"/>
                <w:color w:val="auto"/>
              </w:rPr>
            </w:pPr>
            <w:r>
              <w:rPr>
                <w:rFonts w:ascii="Arial" w:cs="Arial" w:eastAsia="Arial" w:hAnsi="Arial"/>
                <w:sz w:val="11"/>
                <w:szCs w:val="11"/>
                <w:color w:val="auto"/>
              </w:rPr>
              <w:t>respectively; no shares issued and outstanding as of June 30, 2019, pro forma (unaudited)</w:t>
            </w: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jc w:val="right"/>
              <w:spacing w:after="0" w:line="125" w:lineRule="exact"/>
              <w:rPr>
                <w:sz w:val="20"/>
                <w:szCs w:val="20"/>
                <w:color w:val="auto"/>
              </w:rPr>
            </w:pPr>
            <w:r>
              <w:rPr>
                <w:rFonts w:ascii="Arial" w:cs="Arial" w:eastAsia="Arial" w:hAnsi="Arial"/>
                <w:sz w:val="11"/>
                <w:szCs w:val="11"/>
                <w:color w:val="auto"/>
              </w:rPr>
              <w:t>406.3</w:t>
            </w: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jc w:val="right"/>
              <w:spacing w:after="0" w:line="125" w:lineRule="exact"/>
              <w:rPr>
                <w:sz w:val="20"/>
                <w:szCs w:val="20"/>
                <w:color w:val="auto"/>
              </w:rPr>
            </w:pPr>
            <w:r>
              <w:rPr>
                <w:rFonts w:ascii="Arial" w:cs="Arial" w:eastAsia="Arial" w:hAnsi="Arial"/>
                <w:sz w:val="11"/>
                <w:szCs w:val="11"/>
                <w:color w:val="auto"/>
              </w:rPr>
              <w:t>941.1</w:t>
            </w:r>
          </w:p>
        </w:tc>
        <w:tc>
          <w:tcPr>
            <w:tcW w:w="120" w:type="dxa"/>
            <w:vAlign w:val="bottom"/>
            <w:shd w:val="clear" w:color="auto" w:fill="CCEEFF"/>
          </w:tcPr>
          <w:p>
            <w:pPr>
              <w:spacing w:after="0"/>
              <w:rPr>
                <w:sz w:val="10"/>
                <w:szCs w:val="10"/>
                <w:color w:val="auto"/>
              </w:rPr>
            </w:pPr>
          </w:p>
        </w:tc>
        <w:tc>
          <w:tcPr>
            <w:tcW w:w="160" w:type="dxa"/>
            <w:vAlign w:val="bottom"/>
            <w:gridSpan w:val="2"/>
            <w:shd w:val="clear" w:color="auto" w:fill="CCEEFF"/>
          </w:tcPr>
          <w:p>
            <w:pPr>
              <w:jc w:val="right"/>
              <w:spacing w:after="0" w:line="125" w:lineRule="exact"/>
              <w:rPr>
                <w:sz w:val="20"/>
                <w:szCs w:val="20"/>
                <w:color w:val="auto"/>
              </w:rPr>
            </w:pPr>
            <w:r>
              <w:rPr>
                <w:rFonts w:ascii="Arial" w:cs="Arial" w:eastAsia="Arial" w:hAnsi="Arial"/>
                <w:sz w:val="11"/>
                <w:szCs w:val="11"/>
                <w:color w:val="auto"/>
              </w:rPr>
              <w:t>$</w:t>
            </w:r>
          </w:p>
        </w:tc>
        <w:tc>
          <w:tcPr>
            <w:tcW w:w="600" w:type="dxa"/>
            <w:vAlign w:val="bottom"/>
            <w:gridSpan w:val="2"/>
            <w:shd w:val="clear" w:color="auto" w:fill="CCEEFF"/>
          </w:tcPr>
          <w:p>
            <w:pPr>
              <w:jc w:val="right"/>
              <w:ind w:right="80"/>
              <w:spacing w:after="0" w:line="125" w:lineRule="exact"/>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26"/>
        </w:trPr>
        <w:tc>
          <w:tcPr>
            <w:tcW w:w="5300" w:type="dxa"/>
            <w:vAlign w:val="bottom"/>
            <w:gridSpan w:val="2"/>
          </w:tcPr>
          <w:p>
            <w:pPr>
              <w:spacing w:after="0"/>
              <w:rPr>
                <w:sz w:val="20"/>
                <w:szCs w:val="20"/>
                <w:color w:val="auto"/>
              </w:rPr>
            </w:pPr>
            <w:r>
              <w:rPr>
                <w:rFonts w:ascii="Arial" w:cs="Arial" w:eastAsia="Arial" w:hAnsi="Arial"/>
                <w:sz w:val="11"/>
                <w:szCs w:val="11"/>
                <w:color w:val="auto"/>
              </w:rPr>
              <w:t>Stockholders’ Deficit:</w:t>
            </w: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5280" w:type="dxa"/>
            <w:vAlign w:val="bottom"/>
            <w:shd w:val="clear" w:color="auto" w:fill="CCEEFF"/>
          </w:tcPr>
          <w:p>
            <w:pPr>
              <w:ind w:left="200"/>
              <w:spacing w:after="0"/>
              <w:rPr>
                <w:sz w:val="20"/>
                <w:szCs w:val="20"/>
                <w:color w:val="auto"/>
              </w:rPr>
            </w:pPr>
            <w:r>
              <w:rPr>
                <w:rFonts w:ascii="Arial" w:cs="Arial" w:eastAsia="Arial" w:hAnsi="Arial"/>
                <w:sz w:val="11"/>
                <w:szCs w:val="11"/>
                <w:color w:val="auto"/>
              </w:rPr>
              <w:t>Common stock, $0.000025 par value, 266,946,216 and 400,000,000 shares authorized; 25,936,848</w:t>
            </w: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5280" w:type="dxa"/>
            <w:vAlign w:val="bottom"/>
            <w:shd w:val="clear" w:color="auto" w:fill="CCEEFF"/>
          </w:tcPr>
          <w:p>
            <w:pPr>
              <w:ind w:left="300"/>
              <w:spacing w:after="0"/>
              <w:rPr>
                <w:sz w:val="20"/>
                <w:szCs w:val="20"/>
                <w:color w:val="auto"/>
              </w:rPr>
            </w:pPr>
            <w:r>
              <w:rPr>
                <w:rFonts w:ascii="Arial" w:cs="Arial" w:eastAsia="Arial" w:hAnsi="Arial"/>
                <w:sz w:val="11"/>
                <w:szCs w:val="11"/>
                <w:color w:val="auto"/>
              </w:rPr>
              <w:t>and 25,301,604 shares issued and outstanding as of June 30, 2018 and 2019, respectively;</w:t>
            </w: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5280" w:type="dxa"/>
            <w:vAlign w:val="bottom"/>
            <w:shd w:val="clear" w:color="auto" w:fill="CCEEFF"/>
          </w:tcPr>
          <w:p>
            <w:pPr>
              <w:ind w:left="300"/>
              <w:spacing w:after="0" w:line="125" w:lineRule="exact"/>
              <w:rPr>
                <w:sz w:val="20"/>
                <w:szCs w:val="20"/>
                <w:color w:val="auto"/>
              </w:rPr>
            </w:pPr>
            <w:r>
              <w:rPr>
                <w:rFonts w:ascii="Arial" w:cs="Arial" w:eastAsia="Arial" w:hAnsi="Arial"/>
                <w:sz w:val="11"/>
                <w:szCs w:val="11"/>
                <w:color w:val="auto"/>
              </w:rPr>
              <w:t>235,942,233 shares outstanding pro forma (unaudited)</w:t>
            </w:r>
          </w:p>
        </w:tc>
        <w:tc>
          <w:tcPr>
            <w:tcW w:w="80" w:type="dxa"/>
            <w:vAlign w:val="bottom"/>
            <w:shd w:val="clear" w:color="auto" w:fill="CCEEFF"/>
          </w:tcPr>
          <w:p>
            <w:pPr>
              <w:spacing w:after="0"/>
              <w:rPr>
                <w:sz w:val="10"/>
                <w:szCs w:val="10"/>
                <w:color w:val="auto"/>
              </w:rPr>
            </w:pPr>
          </w:p>
        </w:tc>
        <w:tc>
          <w:tcPr>
            <w:tcW w:w="520" w:type="dxa"/>
            <w:vAlign w:val="bottom"/>
            <w:gridSpan w:val="2"/>
            <w:shd w:val="clear" w:color="auto" w:fill="CCEEFF"/>
          </w:tcPr>
          <w:p>
            <w:pPr>
              <w:jc w:val="right"/>
              <w:ind w:right="120"/>
              <w:spacing w:after="0" w:line="125" w:lineRule="exact"/>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20" w:type="dxa"/>
            <w:vAlign w:val="bottom"/>
            <w:gridSpan w:val="2"/>
            <w:shd w:val="clear" w:color="auto" w:fill="CCEEFF"/>
          </w:tcPr>
          <w:p>
            <w:pPr>
              <w:jc w:val="right"/>
              <w:ind w:right="120"/>
              <w:spacing w:after="0" w:line="125"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gridSpan w:val="2"/>
            <w:shd w:val="clear" w:color="auto" w:fill="CCEEFF"/>
          </w:tcPr>
          <w:p>
            <w:pPr>
              <w:jc w:val="right"/>
              <w:ind w:right="80"/>
              <w:spacing w:after="0" w:line="125" w:lineRule="exact"/>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5280" w:type="dxa"/>
            <w:vAlign w:val="bottom"/>
          </w:tcPr>
          <w:p>
            <w:pPr>
              <w:ind w:left="200"/>
              <w:spacing w:after="0"/>
              <w:rPr>
                <w:sz w:val="20"/>
                <w:szCs w:val="20"/>
                <w:color w:val="auto"/>
              </w:rPr>
            </w:pPr>
            <w:r>
              <w:rPr>
                <w:rFonts w:ascii="Arial" w:cs="Arial" w:eastAsia="Arial" w:hAnsi="Arial"/>
                <w:sz w:val="11"/>
                <w:szCs w:val="11"/>
                <w:color w:val="auto"/>
              </w:rPr>
              <w:t>Additional paid-in capital</w:t>
            </w:r>
          </w:p>
        </w:tc>
        <w:tc>
          <w:tcPr>
            <w:tcW w:w="80" w:type="dxa"/>
            <w:vAlign w:val="bottom"/>
          </w:tcPr>
          <w:p>
            <w:pPr>
              <w:spacing w:after="0"/>
              <w:rPr>
                <w:sz w:val="10"/>
                <w:szCs w:val="10"/>
                <w:color w:val="auto"/>
              </w:rPr>
            </w:pPr>
          </w:p>
        </w:tc>
        <w:tc>
          <w:tcPr>
            <w:tcW w:w="400" w:type="dxa"/>
            <w:vAlign w:val="bottom"/>
          </w:tcPr>
          <w:p>
            <w:pPr>
              <w:jc w:val="right"/>
              <w:spacing w:after="0"/>
              <w:rPr>
                <w:sz w:val="20"/>
                <w:szCs w:val="20"/>
                <w:color w:val="auto"/>
              </w:rPr>
            </w:pPr>
            <w:r>
              <w:rPr>
                <w:rFonts w:ascii="Arial" w:cs="Arial" w:eastAsia="Arial" w:hAnsi="Arial"/>
                <w:sz w:val="11"/>
                <w:szCs w:val="11"/>
                <w:color w:val="auto"/>
              </w:rPr>
              <w:t>20.5</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jc w:val="right"/>
              <w:spacing w:after="0"/>
              <w:rPr>
                <w:sz w:val="20"/>
                <w:szCs w:val="20"/>
                <w:color w:val="auto"/>
              </w:rPr>
            </w:pPr>
            <w:r>
              <w:rPr>
                <w:rFonts w:ascii="Arial" w:cs="Arial" w:eastAsia="Arial" w:hAnsi="Arial"/>
                <w:sz w:val="11"/>
                <w:szCs w:val="11"/>
                <w:color w:val="auto"/>
              </w:rPr>
              <w:t>90.7</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1,031.8</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5280" w:type="dxa"/>
            <w:vAlign w:val="bottom"/>
            <w:shd w:val="clear" w:color="auto" w:fill="CCEEFF"/>
          </w:tcPr>
          <w:p>
            <w:pPr>
              <w:ind w:left="200"/>
              <w:spacing w:after="0"/>
              <w:rPr>
                <w:sz w:val="20"/>
                <w:szCs w:val="20"/>
                <w:color w:val="auto"/>
              </w:rPr>
            </w:pPr>
            <w:r>
              <w:rPr>
                <w:rFonts w:ascii="Arial" w:cs="Arial" w:eastAsia="Arial" w:hAnsi="Arial"/>
                <w:sz w:val="11"/>
                <w:szCs w:val="11"/>
                <w:color w:val="auto"/>
              </w:rPr>
              <w:t>Accumulated other comprehensive loss</w:t>
            </w:r>
          </w:p>
        </w:tc>
        <w:tc>
          <w:tcPr>
            <w:tcW w:w="80" w:type="dxa"/>
            <w:vAlign w:val="bottom"/>
            <w:shd w:val="clear" w:color="auto" w:fill="CCEEFF"/>
          </w:tcPr>
          <w:p>
            <w:pPr>
              <w:spacing w:after="0"/>
              <w:rPr>
                <w:sz w:val="10"/>
                <w:szCs w:val="10"/>
                <w:color w:val="auto"/>
              </w:rPr>
            </w:pP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0.2</w:t>
            </w: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0.2</w:t>
            </w: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5280" w:type="dxa"/>
            <w:vAlign w:val="bottom"/>
          </w:tcPr>
          <w:p>
            <w:pPr>
              <w:ind w:left="200"/>
              <w:spacing w:after="0"/>
              <w:rPr>
                <w:sz w:val="20"/>
                <w:szCs w:val="20"/>
                <w:color w:val="auto"/>
              </w:rPr>
            </w:pPr>
            <w:r>
              <w:rPr>
                <w:rFonts w:ascii="Arial" w:cs="Arial" w:eastAsia="Arial" w:hAnsi="Arial"/>
                <w:sz w:val="11"/>
                <w:szCs w:val="11"/>
                <w:color w:val="auto"/>
              </w:rPr>
              <w:t>Accumulated deficit</w:t>
            </w:r>
          </w:p>
        </w:tc>
        <w:tc>
          <w:tcPr>
            <w:tcW w:w="80" w:type="dxa"/>
            <w:vAlign w:val="bottom"/>
          </w:tcPr>
          <w:p>
            <w:pPr>
              <w:spacing w:after="0"/>
              <w:rPr>
                <w:sz w:val="10"/>
                <w:szCs w:val="10"/>
                <w:color w:val="auto"/>
              </w:rPr>
            </w:pPr>
          </w:p>
        </w:tc>
        <w:tc>
          <w:tcPr>
            <w:tcW w:w="520" w:type="dxa"/>
            <w:vAlign w:val="bottom"/>
            <w:gridSpan w:val="2"/>
          </w:tcPr>
          <w:p>
            <w:pPr>
              <w:jc w:val="right"/>
              <w:ind w:right="80"/>
              <w:spacing w:after="0"/>
              <w:rPr>
                <w:sz w:val="20"/>
                <w:szCs w:val="20"/>
                <w:color w:val="auto"/>
              </w:rPr>
            </w:pPr>
            <w:r>
              <w:rPr>
                <w:rFonts w:ascii="Arial" w:cs="Arial" w:eastAsia="Arial" w:hAnsi="Arial"/>
                <w:sz w:val="11"/>
                <w:szCs w:val="11"/>
                <w:color w:val="auto"/>
              </w:rPr>
              <w:t>(336.1)</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gridSpan w:val="2"/>
          </w:tcPr>
          <w:p>
            <w:pPr>
              <w:jc w:val="right"/>
              <w:ind w:right="80"/>
              <w:spacing w:after="0"/>
              <w:rPr>
                <w:sz w:val="20"/>
                <w:szCs w:val="20"/>
                <w:color w:val="auto"/>
              </w:rPr>
            </w:pPr>
            <w:r>
              <w:rPr>
                <w:rFonts w:ascii="Arial" w:cs="Arial" w:eastAsia="Arial" w:hAnsi="Arial"/>
                <w:sz w:val="11"/>
                <w:szCs w:val="11"/>
                <w:color w:val="auto"/>
              </w:rPr>
              <w:t>(629.5)</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1"/>
                <w:szCs w:val="11"/>
                <w:color w:val="auto"/>
              </w:rPr>
              <w:t>(629.5)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20" w:type="dxa"/>
            <w:vAlign w:val="bottom"/>
          </w:tcPr>
          <w:p>
            <w:pPr>
              <w:spacing w:after="0"/>
              <w:rPr>
                <w:sz w:val="10"/>
                <w:szCs w:val="10"/>
                <w:color w:val="auto"/>
              </w:rPr>
            </w:pPr>
          </w:p>
        </w:tc>
        <w:tc>
          <w:tcPr>
            <w:tcW w:w="5280" w:type="dxa"/>
            <w:vAlign w:val="bottom"/>
            <w:shd w:val="clear" w:color="auto" w:fill="CCEEFF"/>
          </w:tcPr>
          <w:p>
            <w:pPr>
              <w:ind w:left="420"/>
              <w:spacing w:after="0" w:line="124" w:lineRule="exact"/>
              <w:rPr>
                <w:sz w:val="20"/>
                <w:szCs w:val="20"/>
                <w:color w:val="auto"/>
              </w:rPr>
            </w:pPr>
            <w:r>
              <w:rPr>
                <w:rFonts w:ascii="Arial" w:cs="Arial" w:eastAsia="Arial" w:hAnsi="Arial"/>
                <w:sz w:val="11"/>
                <w:szCs w:val="11"/>
                <w:color w:val="auto"/>
              </w:rPr>
              <w:t>Total stockholders’ deficit</w:t>
            </w:r>
          </w:p>
        </w:tc>
        <w:tc>
          <w:tcPr>
            <w:tcW w:w="80" w:type="dxa"/>
            <w:vAlign w:val="bottom"/>
            <w:shd w:val="clear" w:color="auto" w:fill="CCEEFF"/>
          </w:tcPr>
          <w:p>
            <w:pPr>
              <w:spacing w:after="0"/>
              <w:rPr>
                <w:sz w:val="10"/>
                <w:szCs w:val="10"/>
                <w:color w:val="auto"/>
              </w:rPr>
            </w:pPr>
          </w:p>
        </w:tc>
        <w:tc>
          <w:tcPr>
            <w:tcW w:w="520" w:type="dxa"/>
            <w:vAlign w:val="bottom"/>
            <w:gridSpan w:val="2"/>
            <w:shd w:val="clear" w:color="auto" w:fill="CCEEFF"/>
          </w:tcPr>
          <w:p>
            <w:pPr>
              <w:jc w:val="right"/>
              <w:ind w:right="80"/>
              <w:spacing w:after="0" w:line="124" w:lineRule="exact"/>
              <w:rPr>
                <w:sz w:val="20"/>
                <w:szCs w:val="20"/>
                <w:color w:val="auto"/>
              </w:rPr>
            </w:pPr>
            <w:r>
              <w:rPr>
                <w:rFonts w:ascii="Arial" w:cs="Arial" w:eastAsia="Arial" w:hAnsi="Arial"/>
                <w:sz w:val="11"/>
                <w:szCs w:val="11"/>
                <w:color w:val="auto"/>
              </w:rPr>
              <w:t>(315.6)</w:t>
            </w: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20" w:type="dxa"/>
            <w:vAlign w:val="bottom"/>
            <w:gridSpan w:val="2"/>
            <w:shd w:val="clear" w:color="auto" w:fill="CCEEFF"/>
          </w:tcPr>
          <w:p>
            <w:pPr>
              <w:jc w:val="right"/>
              <w:ind w:right="80"/>
              <w:spacing w:after="0" w:line="124" w:lineRule="exact"/>
              <w:rPr>
                <w:sz w:val="20"/>
                <w:szCs w:val="20"/>
                <w:color w:val="auto"/>
              </w:rPr>
            </w:pPr>
            <w:r>
              <w:rPr>
                <w:rFonts w:ascii="Arial" w:cs="Arial" w:eastAsia="Arial" w:hAnsi="Arial"/>
                <w:sz w:val="11"/>
                <w:szCs w:val="11"/>
                <w:color w:val="auto"/>
              </w:rPr>
              <w:t>(538.6)</w:t>
            </w:r>
          </w:p>
        </w:tc>
        <w:tc>
          <w:tcPr>
            <w:tcW w:w="160" w:type="dxa"/>
            <w:vAlign w:val="bottom"/>
            <w:gridSpan w:val="2"/>
            <w:shd w:val="clear" w:color="auto" w:fill="CCEEFF"/>
          </w:tcPr>
          <w:p>
            <w:pPr>
              <w:jc w:val="right"/>
              <w:spacing w:after="0" w:line="124" w:lineRule="exact"/>
              <w:rPr>
                <w:sz w:val="20"/>
                <w:szCs w:val="20"/>
                <w:color w:val="auto"/>
              </w:rPr>
            </w:pPr>
            <w:r>
              <w:rPr>
                <w:rFonts w:ascii="Arial" w:cs="Arial" w:eastAsia="Arial" w:hAnsi="Arial"/>
                <w:sz w:val="11"/>
                <w:szCs w:val="11"/>
                <w:color w:val="auto"/>
              </w:rPr>
              <w:t>$</w:t>
            </w:r>
          </w:p>
        </w:tc>
        <w:tc>
          <w:tcPr>
            <w:tcW w:w="520" w:type="dxa"/>
            <w:vAlign w:val="bottom"/>
            <w:shd w:val="clear" w:color="auto" w:fill="CCEEFF"/>
          </w:tcPr>
          <w:p>
            <w:pPr>
              <w:jc w:val="right"/>
              <w:spacing w:after="0" w:line="124" w:lineRule="exact"/>
              <w:rPr>
                <w:sz w:val="20"/>
                <w:szCs w:val="20"/>
                <w:color w:val="auto"/>
              </w:rPr>
            </w:pPr>
            <w:r>
              <w:rPr>
                <w:rFonts w:ascii="Arial" w:cs="Arial" w:eastAsia="Arial" w:hAnsi="Arial"/>
                <w:sz w:val="11"/>
                <w:szCs w:val="11"/>
                <w:color w:val="auto"/>
              </w:rPr>
              <w:t>402.5</w:t>
            </w: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7"/>
        </w:trPr>
        <w:tc>
          <w:tcPr>
            <w:tcW w:w="5300" w:type="dxa"/>
            <w:vAlign w:val="bottom"/>
            <w:gridSpan w:val="2"/>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5"/>
        </w:trPr>
        <w:tc>
          <w:tcPr>
            <w:tcW w:w="5300" w:type="dxa"/>
            <w:vAlign w:val="bottom"/>
            <w:gridSpan w:val="2"/>
          </w:tcPr>
          <w:p>
            <w:pPr>
              <w:spacing w:after="0"/>
              <w:rPr>
                <w:sz w:val="20"/>
                <w:szCs w:val="20"/>
                <w:color w:val="auto"/>
              </w:rPr>
            </w:pPr>
            <w:r>
              <w:rPr>
                <w:rFonts w:ascii="Arial" w:cs="Arial" w:eastAsia="Arial" w:hAnsi="Arial"/>
                <w:sz w:val="11"/>
                <w:szCs w:val="11"/>
                <w:color w:val="auto"/>
              </w:rPr>
              <w:t>Total liabilities, redeemable convertible preferred stock, and stockholders’ deficit</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tcPr>
          <w:p>
            <w:pPr>
              <w:jc w:val="right"/>
              <w:spacing w:after="0"/>
              <w:rPr>
                <w:sz w:val="20"/>
                <w:szCs w:val="20"/>
                <w:color w:val="auto"/>
              </w:rPr>
            </w:pPr>
            <w:r>
              <w:rPr>
                <w:rFonts w:ascii="Arial" w:cs="Arial" w:eastAsia="Arial" w:hAnsi="Arial"/>
                <w:sz w:val="11"/>
                <w:szCs w:val="11"/>
                <w:color w:val="auto"/>
              </w:rPr>
              <w:t>271.2</w:t>
            </w:r>
          </w:p>
        </w:tc>
        <w:tc>
          <w:tcPr>
            <w:tcW w:w="120" w:type="dxa"/>
            <w:vAlign w:val="bottom"/>
          </w:tcPr>
          <w:p>
            <w:pPr>
              <w:spacing w:after="0"/>
              <w:rPr>
                <w:sz w:val="11"/>
                <w:szCs w:val="11"/>
                <w:color w:val="auto"/>
              </w:rPr>
            </w:pPr>
          </w:p>
        </w:tc>
        <w:tc>
          <w:tcPr>
            <w:tcW w:w="180" w:type="dxa"/>
            <w:vAlign w:val="bottom"/>
            <w:gridSpan w:val="2"/>
          </w:tcPr>
          <w:p>
            <w:pPr>
              <w:jc w:val="right"/>
              <w:ind w:right="40"/>
              <w:spacing w:after="0"/>
              <w:rPr>
                <w:sz w:val="20"/>
                <w:szCs w:val="20"/>
                <w:color w:val="auto"/>
              </w:rPr>
            </w:pPr>
            <w:r>
              <w:rPr>
                <w:rFonts w:ascii="Arial" w:cs="Arial" w:eastAsia="Arial" w:hAnsi="Arial"/>
                <w:sz w:val="11"/>
                <w:szCs w:val="11"/>
                <w:color w:val="auto"/>
              </w:rPr>
              <w:t>$</w:t>
            </w:r>
          </w:p>
        </w:tc>
        <w:tc>
          <w:tcPr>
            <w:tcW w:w="400" w:type="dxa"/>
            <w:vAlign w:val="bottom"/>
          </w:tcPr>
          <w:p>
            <w:pPr>
              <w:jc w:val="right"/>
              <w:spacing w:after="0"/>
              <w:rPr>
                <w:sz w:val="20"/>
                <w:szCs w:val="20"/>
                <w:color w:val="auto"/>
              </w:rPr>
            </w:pPr>
            <w:r>
              <w:rPr>
                <w:rFonts w:ascii="Arial" w:cs="Arial" w:eastAsia="Arial" w:hAnsi="Arial"/>
                <w:sz w:val="11"/>
                <w:szCs w:val="11"/>
                <w:color w:val="auto"/>
              </w:rPr>
              <w:t>864.5</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2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jc w:val="center"/>
        <w:ind w:right="-1220"/>
        <w:spacing w:after="0"/>
        <w:rPr>
          <w:sz w:val="20"/>
          <w:szCs w:val="20"/>
          <w:color w:val="auto"/>
        </w:rPr>
      </w:pPr>
      <w:r>
        <w:rPr>
          <w:rFonts w:ascii="Arial" w:cs="Arial" w:eastAsia="Arial" w:hAnsi="Arial"/>
          <w:sz w:val="11"/>
          <w:szCs w:val="11"/>
          <w:color w:val="auto"/>
        </w:rPr>
        <w:t>See accompanying notes to these consolidated financial statements.</w:t>
      </w:r>
    </w:p>
    <w:p>
      <w:pPr>
        <w:spacing w:after="0" w:line="99" w:lineRule="exact"/>
        <w:rPr>
          <w:sz w:val="20"/>
          <w:szCs w:val="20"/>
          <w:color w:val="auto"/>
        </w:rPr>
      </w:pPr>
    </w:p>
    <w:p>
      <w:pPr>
        <w:jc w:val="center"/>
        <w:ind w:right="-1220"/>
        <w:spacing w:after="0"/>
        <w:rPr>
          <w:sz w:val="20"/>
          <w:szCs w:val="20"/>
          <w:color w:val="auto"/>
        </w:rPr>
      </w:pPr>
      <w:r>
        <w:rPr>
          <w:rFonts w:ascii="Arial" w:cs="Arial" w:eastAsia="Arial" w:hAnsi="Arial"/>
          <w:sz w:val="11"/>
          <w:szCs w:val="11"/>
          <w:color w:val="auto"/>
        </w:rPr>
        <w:t>F-3</w:t>
      </w:r>
    </w:p>
    <w:p>
      <w:pPr>
        <w:sectPr>
          <w:pgSz w:w="11900" w:h="16838" w:orient="portrait"/>
          <w:cols w:equalWidth="0" w:num="1">
            <w:col w:w="10239"/>
          </w:cols>
          <w:pgMar w:left="220" w:top="354" w:right="1440" w:bottom="1440" w:gutter="0" w:footer="0" w:header="0"/>
        </w:sectPr>
      </w:pPr>
    </w:p>
    <w:bookmarkStart w:id="167" w:name="page168"/>
    <w:bookmarkEnd w:id="167"/>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hyperlink w:anchor="page5">
        <w:r>
          <w:rPr>
            <w:rFonts w:ascii="Arial" w:cs="Arial" w:eastAsia="Arial" w:hAnsi="Arial"/>
            <w:sz w:val="12"/>
            <w:szCs w:val="12"/>
            <w:b w:val="1"/>
            <w:bCs w:val="1"/>
            <w:u w:val="single" w:color="auto"/>
            <w:color w:val="0000EE"/>
          </w:rPr>
          <w:t>Table of Contents</w:t>
        </w:r>
      </w:hyperlink>
    </w:p>
    <w:p>
      <w:pPr>
        <w:spacing w:after="0" w:line="200" w:lineRule="exact"/>
        <w:rPr>
          <w:sz w:val="20"/>
          <w:szCs w:val="20"/>
          <w:color w:val="auto"/>
        </w:rPr>
      </w:pPr>
    </w:p>
    <w:p>
      <w:pPr>
        <w:jc w:val="center"/>
        <w:ind w:right="-1220"/>
        <w:spacing w:after="0"/>
        <w:rPr>
          <w:sz w:val="20"/>
          <w:szCs w:val="20"/>
          <w:color w:val="auto"/>
        </w:rPr>
      </w:pPr>
      <w:r>
        <w:rPr>
          <w:rFonts w:ascii="Arial" w:cs="Arial" w:eastAsia="Arial" w:hAnsi="Arial"/>
          <w:sz w:val="12"/>
          <w:szCs w:val="12"/>
          <w:b w:val="1"/>
          <w:bCs w:val="1"/>
          <w:color w:val="auto"/>
        </w:rPr>
        <w:t>PELOTON INTERACTIVE, INC.</w:t>
      </w:r>
    </w:p>
    <w:p>
      <w:pPr>
        <w:spacing w:after="0" w:line="10" w:lineRule="exact"/>
        <w:rPr>
          <w:sz w:val="20"/>
          <w:szCs w:val="20"/>
          <w:color w:val="auto"/>
        </w:rPr>
      </w:pPr>
    </w:p>
    <w:p>
      <w:pPr>
        <w:jc w:val="center"/>
        <w:ind w:right="-1220"/>
        <w:spacing w:after="0"/>
        <w:rPr>
          <w:sz w:val="20"/>
          <w:szCs w:val="20"/>
          <w:color w:val="auto"/>
        </w:rPr>
      </w:pPr>
      <w:r>
        <w:rPr>
          <w:rFonts w:ascii="Arial" w:cs="Arial" w:eastAsia="Arial" w:hAnsi="Arial"/>
          <w:sz w:val="12"/>
          <w:szCs w:val="12"/>
          <w:b w:val="1"/>
          <w:bCs w:val="1"/>
          <w:color w:val="auto"/>
        </w:rPr>
        <w:t>CONSOLIDATED STATEMENTS OF OPERATIONS AND COMPREHENSIVE LOSS</w:t>
      </w:r>
    </w:p>
    <w:p>
      <w:pPr>
        <w:ind w:left="4460"/>
        <w:spacing w:after="0"/>
        <w:rPr>
          <w:sz w:val="20"/>
          <w:szCs w:val="20"/>
          <w:color w:val="auto"/>
        </w:rPr>
      </w:pPr>
      <w:r>
        <w:rPr>
          <w:rFonts w:ascii="Arial" w:cs="Arial" w:eastAsia="Arial" w:hAnsi="Arial"/>
          <w:sz w:val="11"/>
          <w:szCs w:val="11"/>
          <w:b w:val="1"/>
          <w:bCs w:val="1"/>
          <w:color w:val="auto"/>
        </w:rPr>
        <w:t>(in millions, except share and per share amounts)</w:t>
      </w:r>
    </w:p>
    <w:p>
      <w:pPr>
        <w:spacing w:after="0" w:line="150" w:lineRule="exact"/>
        <w:rPr>
          <w:sz w:val="20"/>
          <w:szCs w:val="20"/>
          <w:color w:val="auto"/>
        </w:rPr>
      </w:pPr>
    </w:p>
    <w:tbl>
      <w:tblPr>
        <w:tblLayout w:type="fixed"/>
        <w:tblInd w:w="2060" w:type="dxa"/>
        <w:tblCellMar>
          <w:top w:w="0" w:type="dxa"/>
          <w:left w:w="0" w:type="dxa"/>
          <w:bottom w:w="0" w:type="dxa"/>
          <w:right w:w="0" w:type="dxa"/>
        </w:tblCellMar>
      </w:tblPr>
      <w:tr>
        <w:trPr>
          <w:trHeight w:val="137"/>
        </w:trPr>
        <w:tc>
          <w:tcPr>
            <w:tcW w:w="44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1440" w:type="dxa"/>
            <w:vAlign w:val="bottom"/>
            <w:tcBorders>
              <w:bottom w:val="single" w:sz="8" w:color="auto"/>
            </w:tcBorders>
            <w:gridSpan w:val="5"/>
          </w:tcPr>
          <w:p>
            <w:pPr>
              <w:jc w:val="right"/>
              <w:spacing w:after="0"/>
              <w:rPr>
                <w:sz w:val="20"/>
                <w:szCs w:val="20"/>
                <w:color w:val="auto"/>
              </w:rPr>
            </w:pPr>
            <w:r>
              <w:rPr>
                <w:rFonts w:ascii="Arial" w:cs="Arial" w:eastAsia="Arial" w:hAnsi="Arial"/>
                <w:sz w:val="11"/>
                <w:szCs w:val="11"/>
                <w:b w:val="1"/>
                <w:bCs w:val="1"/>
                <w:color w:val="auto"/>
                <w:w w:val="97"/>
              </w:rPr>
              <w:t>Fiscal Year Ended June 30,</w:t>
            </w:r>
          </w:p>
        </w:tc>
        <w:tc>
          <w:tcPr>
            <w:tcW w:w="60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r>
      <w:tr>
        <w:trPr>
          <w:trHeight w:val="115"/>
        </w:trPr>
        <w:tc>
          <w:tcPr>
            <w:tcW w:w="4420" w:type="dxa"/>
            <w:vAlign w:val="bottom"/>
            <w:tcBorders>
              <w:bottom w:val="single" w:sz="8" w:color="CCEEFF"/>
            </w:tcBorders>
          </w:tcPr>
          <w:p>
            <w:pPr>
              <w:spacing w:after="0"/>
              <w:rPr>
                <w:sz w:val="10"/>
                <w:szCs w:val="10"/>
                <w:color w:val="auto"/>
              </w:rPr>
            </w:pPr>
          </w:p>
        </w:tc>
        <w:tc>
          <w:tcPr>
            <w:tcW w:w="280" w:type="dxa"/>
            <w:vAlign w:val="bottom"/>
            <w:tcBorders>
              <w:bottom w:val="single" w:sz="8" w:color="CCEEFF"/>
            </w:tcBorders>
          </w:tcPr>
          <w:p>
            <w:pPr>
              <w:spacing w:after="0"/>
              <w:rPr>
                <w:sz w:val="10"/>
                <w:szCs w:val="10"/>
                <w:color w:val="auto"/>
              </w:rPr>
            </w:pPr>
          </w:p>
        </w:tc>
        <w:tc>
          <w:tcPr>
            <w:tcW w:w="540" w:type="dxa"/>
            <w:vAlign w:val="bottom"/>
            <w:tcBorders>
              <w:bottom w:val="single" w:sz="8" w:color="auto"/>
            </w:tcBorders>
          </w:tcPr>
          <w:p>
            <w:pPr>
              <w:jc w:val="right"/>
              <w:ind w:right="126"/>
              <w:spacing w:after="0" w:line="115" w:lineRule="exact"/>
              <w:rPr>
                <w:sz w:val="20"/>
                <w:szCs w:val="20"/>
                <w:color w:val="auto"/>
              </w:rPr>
            </w:pPr>
            <w:r>
              <w:rPr>
                <w:rFonts w:ascii="Arial" w:cs="Arial" w:eastAsia="Arial" w:hAnsi="Arial"/>
                <w:sz w:val="11"/>
                <w:szCs w:val="11"/>
                <w:b w:val="1"/>
                <w:bCs w:val="1"/>
                <w:color w:val="auto"/>
              </w:rPr>
              <w:t>2017</w:t>
            </w:r>
          </w:p>
        </w:tc>
        <w:tc>
          <w:tcPr>
            <w:tcW w:w="200" w:type="dxa"/>
            <w:vAlign w:val="bottom"/>
            <w:tcBorders>
              <w:bottom w:val="single" w:sz="8" w:color="CCEEFF"/>
            </w:tcBorders>
          </w:tcPr>
          <w:p>
            <w:pPr>
              <w:spacing w:after="0"/>
              <w:rPr>
                <w:sz w:val="10"/>
                <w:szCs w:val="10"/>
                <w:color w:val="auto"/>
              </w:rPr>
            </w:pPr>
          </w:p>
        </w:tc>
        <w:tc>
          <w:tcPr>
            <w:tcW w:w="240" w:type="dxa"/>
            <w:vAlign w:val="bottom"/>
            <w:tcBorders>
              <w:bottom w:val="single" w:sz="8" w:color="CCEEFF"/>
            </w:tcBorders>
          </w:tcPr>
          <w:p>
            <w:pPr>
              <w:spacing w:after="0"/>
              <w:rPr>
                <w:sz w:val="10"/>
                <w:szCs w:val="10"/>
                <w:color w:val="auto"/>
              </w:rPr>
            </w:pPr>
          </w:p>
        </w:tc>
        <w:tc>
          <w:tcPr>
            <w:tcW w:w="560" w:type="dxa"/>
            <w:vAlign w:val="bottom"/>
            <w:tcBorders>
              <w:bottom w:val="single" w:sz="8" w:color="auto"/>
            </w:tcBorders>
          </w:tcPr>
          <w:p>
            <w:pPr>
              <w:jc w:val="right"/>
              <w:ind w:right="146"/>
              <w:spacing w:after="0" w:line="115" w:lineRule="exact"/>
              <w:rPr>
                <w:sz w:val="20"/>
                <w:szCs w:val="20"/>
                <w:color w:val="auto"/>
              </w:rPr>
            </w:pPr>
            <w:r>
              <w:rPr>
                <w:rFonts w:ascii="Arial" w:cs="Arial" w:eastAsia="Arial" w:hAnsi="Arial"/>
                <w:sz w:val="11"/>
                <w:szCs w:val="11"/>
                <w:b w:val="1"/>
                <w:bCs w:val="1"/>
                <w:color w:val="auto"/>
              </w:rPr>
              <w:t>2018</w:t>
            </w:r>
          </w:p>
        </w:tc>
        <w:tc>
          <w:tcPr>
            <w:tcW w:w="200" w:type="dxa"/>
            <w:vAlign w:val="bottom"/>
            <w:tcBorders>
              <w:bottom w:val="single" w:sz="8" w:color="CCEEFF"/>
            </w:tcBorders>
          </w:tcPr>
          <w:p>
            <w:pPr>
              <w:spacing w:after="0"/>
              <w:rPr>
                <w:sz w:val="10"/>
                <w:szCs w:val="10"/>
                <w:color w:val="auto"/>
              </w:rPr>
            </w:pPr>
          </w:p>
        </w:tc>
        <w:tc>
          <w:tcPr>
            <w:tcW w:w="240" w:type="dxa"/>
            <w:vAlign w:val="bottom"/>
            <w:tcBorders>
              <w:bottom w:val="single" w:sz="8" w:color="CCEEFF"/>
            </w:tcBorders>
          </w:tcPr>
          <w:p>
            <w:pPr>
              <w:spacing w:after="0"/>
              <w:rPr>
                <w:sz w:val="10"/>
                <w:szCs w:val="10"/>
                <w:color w:val="auto"/>
              </w:rPr>
            </w:pPr>
          </w:p>
        </w:tc>
        <w:tc>
          <w:tcPr>
            <w:tcW w:w="600" w:type="dxa"/>
            <w:vAlign w:val="bottom"/>
            <w:tcBorders>
              <w:bottom w:val="single" w:sz="8" w:color="auto"/>
            </w:tcBorders>
          </w:tcPr>
          <w:p>
            <w:pPr>
              <w:jc w:val="right"/>
              <w:ind w:right="166"/>
              <w:spacing w:after="0" w:line="115" w:lineRule="exact"/>
              <w:rPr>
                <w:sz w:val="20"/>
                <w:szCs w:val="20"/>
                <w:color w:val="auto"/>
              </w:rPr>
            </w:pPr>
            <w:r>
              <w:rPr>
                <w:rFonts w:ascii="Arial" w:cs="Arial" w:eastAsia="Arial" w:hAnsi="Arial"/>
                <w:sz w:val="11"/>
                <w:szCs w:val="11"/>
                <w:b w:val="1"/>
                <w:bCs w:val="1"/>
                <w:color w:val="auto"/>
              </w:rPr>
              <w:t>2019</w:t>
            </w:r>
          </w:p>
        </w:tc>
        <w:tc>
          <w:tcPr>
            <w:tcW w:w="80" w:type="dxa"/>
            <w:vAlign w:val="bottom"/>
            <w:tcBorders>
              <w:bottom w:val="single" w:sz="8" w:color="CCEEFF"/>
            </w:tcBorders>
          </w:tcPr>
          <w:p>
            <w:pPr>
              <w:spacing w:after="0"/>
              <w:rPr>
                <w:sz w:val="10"/>
                <w:szCs w:val="10"/>
                <w:color w:val="auto"/>
              </w:rPr>
            </w:pPr>
          </w:p>
        </w:tc>
      </w:tr>
      <w:tr>
        <w:trPr>
          <w:trHeight w:val="106"/>
        </w:trPr>
        <w:tc>
          <w:tcPr>
            <w:tcW w:w="4420" w:type="dxa"/>
            <w:vAlign w:val="bottom"/>
            <w:shd w:val="clear" w:color="auto" w:fill="CCEEFF"/>
          </w:tcPr>
          <w:p>
            <w:pPr>
              <w:spacing w:after="0" w:line="106" w:lineRule="exact"/>
              <w:rPr>
                <w:sz w:val="20"/>
                <w:szCs w:val="20"/>
                <w:color w:val="auto"/>
              </w:rPr>
            </w:pPr>
            <w:r>
              <w:rPr>
                <w:rFonts w:ascii="Arial" w:cs="Arial" w:eastAsia="Arial" w:hAnsi="Arial"/>
                <w:sz w:val="11"/>
                <w:szCs w:val="11"/>
                <w:color w:val="auto"/>
              </w:rPr>
              <w:t>Revenue:</w:t>
            </w:r>
          </w:p>
        </w:tc>
        <w:tc>
          <w:tcPr>
            <w:tcW w:w="280" w:type="dxa"/>
            <w:vAlign w:val="bottom"/>
            <w:tcBorders>
              <w:right w:val="single" w:sz="8" w:color="CCEEFF"/>
            </w:tcBorders>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240" w:type="dxa"/>
            <w:vAlign w:val="bottom"/>
            <w:tcBorders>
              <w:right w:val="single" w:sz="8" w:color="CCEEFF"/>
            </w:tcBorders>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240" w:type="dxa"/>
            <w:vAlign w:val="bottom"/>
            <w:tcBorders>
              <w:right w:val="single" w:sz="8" w:color="CCEEFF"/>
            </w:tcBorders>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r>
      <w:tr>
        <w:trPr>
          <w:trHeight w:val="126"/>
        </w:trPr>
        <w:tc>
          <w:tcPr>
            <w:tcW w:w="4420" w:type="dxa"/>
            <w:vAlign w:val="bottom"/>
          </w:tcPr>
          <w:p>
            <w:pPr>
              <w:ind w:left="220"/>
              <w:spacing w:after="0"/>
              <w:rPr>
                <w:sz w:val="20"/>
                <w:szCs w:val="20"/>
                <w:color w:val="auto"/>
              </w:rPr>
            </w:pPr>
            <w:r>
              <w:rPr>
                <w:rFonts w:ascii="Arial" w:cs="Arial" w:eastAsia="Arial" w:hAnsi="Arial"/>
                <w:sz w:val="11"/>
                <w:szCs w:val="11"/>
                <w:color w:val="auto"/>
              </w:rPr>
              <w:t>Connected Fitness Products</w:t>
            </w:r>
          </w:p>
        </w:tc>
        <w:tc>
          <w:tcPr>
            <w:tcW w:w="280" w:type="dxa"/>
            <w:vAlign w:val="bottom"/>
          </w:tcPr>
          <w:p>
            <w:pPr>
              <w:jc w:val="right"/>
              <w:spacing w:after="0"/>
              <w:rPr>
                <w:sz w:val="20"/>
                <w:szCs w:val="20"/>
                <w:color w:val="auto"/>
              </w:rPr>
            </w:pPr>
            <w:r>
              <w:rPr>
                <w:rFonts w:ascii="Arial" w:cs="Arial" w:eastAsia="Arial" w:hAnsi="Arial"/>
                <w:sz w:val="11"/>
                <w:szCs w:val="11"/>
                <w:color w:val="auto"/>
              </w:rPr>
              <w:t>$</w:t>
            </w:r>
          </w:p>
        </w:tc>
        <w:tc>
          <w:tcPr>
            <w:tcW w:w="540" w:type="dxa"/>
            <w:vAlign w:val="bottom"/>
          </w:tcPr>
          <w:p>
            <w:pPr>
              <w:jc w:val="right"/>
              <w:spacing w:after="0"/>
              <w:rPr>
                <w:sz w:val="20"/>
                <w:szCs w:val="20"/>
                <w:color w:val="auto"/>
              </w:rPr>
            </w:pPr>
            <w:r>
              <w:rPr>
                <w:rFonts w:ascii="Arial" w:cs="Arial" w:eastAsia="Arial" w:hAnsi="Arial"/>
                <w:sz w:val="11"/>
                <w:szCs w:val="11"/>
                <w:color w:val="auto"/>
              </w:rPr>
              <w:t>183.5</w:t>
            </w:r>
          </w:p>
        </w:tc>
        <w:tc>
          <w:tcPr>
            <w:tcW w:w="200" w:type="dxa"/>
            <w:vAlign w:val="bottom"/>
          </w:tcPr>
          <w:p>
            <w:pPr>
              <w:spacing w:after="0"/>
              <w:rPr>
                <w:sz w:val="10"/>
                <w:szCs w:val="10"/>
                <w:color w:val="auto"/>
              </w:rPr>
            </w:pPr>
          </w:p>
        </w:tc>
        <w:tc>
          <w:tcPr>
            <w:tcW w:w="240" w:type="dxa"/>
            <w:vAlign w:val="bottom"/>
          </w:tcPr>
          <w:p>
            <w:pPr>
              <w:jc w:val="right"/>
              <w:spacing w:after="0"/>
              <w:rPr>
                <w:sz w:val="20"/>
                <w:szCs w:val="20"/>
                <w:color w:val="auto"/>
              </w:rPr>
            </w:pPr>
            <w:r>
              <w:rPr>
                <w:rFonts w:ascii="Arial" w:cs="Arial" w:eastAsia="Arial" w:hAnsi="Arial"/>
                <w:sz w:val="11"/>
                <w:szCs w:val="11"/>
                <w:color w:val="auto"/>
              </w:rPr>
              <w:t>$</w:t>
            </w:r>
          </w:p>
        </w:tc>
        <w:tc>
          <w:tcPr>
            <w:tcW w:w="560" w:type="dxa"/>
            <w:vAlign w:val="bottom"/>
          </w:tcPr>
          <w:p>
            <w:pPr>
              <w:jc w:val="right"/>
              <w:spacing w:after="0"/>
              <w:rPr>
                <w:sz w:val="20"/>
                <w:szCs w:val="20"/>
                <w:color w:val="auto"/>
              </w:rPr>
            </w:pPr>
            <w:r>
              <w:rPr>
                <w:rFonts w:ascii="Arial" w:cs="Arial" w:eastAsia="Arial" w:hAnsi="Arial"/>
                <w:sz w:val="11"/>
                <w:szCs w:val="11"/>
                <w:color w:val="auto"/>
              </w:rPr>
              <w:t>348.6</w:t>
            </w:r>
          </w:p>
        </w:tc>
        <w:tc>
          <w:tcPr>
            <w:tcW w:w="200" w:type="dxa"/>
            <w:vAlign w:val="bottom"/>
          </w:tcPr>
          <w:p>
            <w:pPr>
              <w:spacing w:after="0"/>
              <w:rPr>
                <w:sz w:val="10"/>
                <w:szCs w:val="10"/>
                <w:color w:val="auto"/>
              </w:rPr>
            </w:pPr>
          </w:p>
        </w:tc>
        <w:tc>
          <w:tcPr>
            <w:tcW w:w="240" w:type="dxa"/>
            <w:vAlign w:val="bottom"/>
          </w:tcPr>
          <w:p>
            <w:pPr>
              <w:jc w:val="right"/>
              <w:spacing w:after="0"/>
              <w:rPr>
                <w:sz w:val="20"/>
                <w:szCs w:val="20"/>
                <w:color w:val="auto"/>
              </w:rPr>
            </w:pPr>
            <w:r>
              <w:rPr>
                <w:rFonts w:ascii="Arial" w:cs="Arial" w:eastAsia="Arial" w:hAnsi="Arial"/>
                <w:sz w:val="11"/>
                <w:szCs w:val="11"/>
                <w:color w:val="auto"/>
              </w:rPr>
              <w:t>$</w:t>
            </w:r>
          </w:p>
        </w:tc>
        <w:tc>
          <w:tcPr>
            <w:tcW w:w="600" w:type="dxa"/>
            <w:vAlign w:val="bottom"/>
          </w:tcPr>
          <w:p>
            <w:pPr>
              <w:jc w:val="right"/>
              <w:spacing w:after="0"/>
              <w:rPr>
                <w:sz w:val="20"/>
                <w:szCs w:val="20"/>
                <w:color w:val="auto"/>
              </w:rPr>
            </w:pPr>
            <w:r>
              <w:rPr>
                <w:rFonts w:ascii="Arial" w:cs="Arial" w:eastAsia="Arial" w:hAnsi="Arial"/>
                <w:sz w:val="11"/>
                <w:szCs w:val="11"/>
                <w:color w:val="auto"/>
              </w:rPr>
              <w:t>719.2</w:t>
            </w:r>
          </w:p>
        </w:tc>
        <w:tc>
          <w:tcPr>
            <w:tcW w:w="80" w:type="dxa"/>
            <w:vAlign w:val="bottom"/>
          </w:tcPr>
          <w:p>
            <w:pPr>
              <w:spacing w:after="0"/>
              <w:rPr>
                <w:sz w:val="10"/>
                <w:szCs w:val="10"/>
                <w:color w:val="auto"/>
              </w:rPr>
            </w:pPr>
          </w:p>
        </w:tc>
      </w:tr>
      <w:tr>
        <w:trPr>
          <w:trHeight w:val="126"/>
        </w:trPr>
        <w:tc>
          <w:tcPr>
            <w:tcW w:w="4420" w:type="dxa"/>
            <w:vAlign w:val="bottom"/>
            <w:shd w:val="clear" w:color="auto" w:fill="CCEEFF"/>
          </w:tcPr>
          <w:p>
            <w:pPr>
              <w:ind w:left="220"/>
              <w:spacing w:after="0"/>
              <w:rPr>
                <w:sz w:val="20"/>
                <w:szCs w:val="20"/>
                <w:color w:val="auto"/>
              </w:rPr>
            </w:pPr>
            <w:r>
              <w:rPr>
                <w:rFonts w:ascii="Arial" w:cs="Arial" w:eastAsia="Arial" w:hAnsi="Arial"/>
                <w:sz w:val="11"/>
                <w:szCs w:val="11"/>
                <w:color w:val="auto"/>
              </w:rPr>
              <w:t>Subscription</w:t>
            </w:r>
          </w:p>
        </w:tc>
        <w:tc>
          <w:tcPr>
            <w:tcW w:w="280" w:type="dxa"/>
            <w:vAlign w:val="bottom"/>
            <w:tcBorders>
              <w:right w:val="single" w:sz="8" w:color="CCEEFF"/>
            </w:tcBorders>
            <w:shd w:val="clear" w:color="auto" w:fill="CCEEFF"/>
          </w:tcPr>
          <w:p>
            <w:pPr>
              <w:spacing w:after="0"/>
              <w:rPr>
                <w:sz w:val="10"/>
                <w:szCs w:val="10"/>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32.5</w:t>
            </w:r>
          </w:p>
        </w:tc>
        <w:tc>
          <w:tcPr>
            <w:tcW w:w="200" w:type="dxa"/>
            <w:vAlign w:val="bottom"/>
            <w:shd w:val="clear" w:color="auto" w:fill="CCEEFF"/>
          </w:tcPr>
          <w:p>
            <w:pPr>
              <w:spacing w:after="0"/>
              <w:rPr>
                <w:sz w:val="10"/>
                <w:szCs w:val="10"/>
                <w:color w:val="auto"/>
              </w:rPr>
            </w:pPr>
          </w:p>
        </w:tc>
        <w:tc>
          <w:tcPr>
            <w:tcW w:w="240" w:type="dxa"/>
            <w:vAlign w:val="bottom"/>
            <w:tcBorders>
              <w:right w:val="single" w:sz="8" w:color="CCEEFF"/>
            </w:tcBorders>
            <w:shd w:val="clear" w:color="auto" w:fill="CCEEFF"/>
          </w:tcPr>
          <w:p>
            <w:pPr>
              <w:spacing w:after="0"/>
              <w:rPr>
                <w:sz w:val="10"/>
                <w:szCs w:val="10"/>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80.3</w:t>
            </w:r>
          </w:p>
        </w:tc>
        <w:tc>
          <w:tcPr>
            <w:tcW w:w="200" w:type="dxa"/>
            <w:vAlign w:val="bottom"/>
            <w:shd w:val="clear" w:color="auto" w:fill="CCEEFF"/>
          </w:tcPr>
          <w:p>
            <w:pPr>
              <w:spacing w:after="0"/>
              <w:rPr>
                <w:sz w:val="10"/>
                <w:szCs w:val="10"/>
                <w:color w:val="auto"/>
              </w:rPr>
            </w:pPr>
          </w:p>
        </w:tc>
        <w:tc>
          <w:tcPr>
            <w:tcW w:w="240" w:type="dxa"/>
            <w:vAlign w:val="bottom"/>
            <w:tcBorders>
              <w:right w:val="single" w:sz="8" w:color="CCEEFF"/>
            </w:tcBorders>
            <w:shd w:val="clear" w:color="auto" w:fill="CCEEFF"/>
          </w:tcPr>
          <w:p>
            <w:pPr>
              <w:spacing w:after="0"/>
              <w:rPr>
                <w:sz w:val="10"/>
                <w:szCs w:val="10"/>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181.1</w:t>
            </w:r>
          </w:p>
        </w:tc>
        <w:tc>
          <w:tcPr>
            <w:tcW w:w="80" w:type="dxa"/>
            <w:vAlign w:val="bottom"/>
            <w:shd w:val="clear" w:color="auto" w:fill="CCEEFF"/>
          </w:tcPr>
          <w:p>
            <w:pPr>
              <w:spacing w:after="0"/>
              <w:rPr>
                <w:sz w:val="10"/>
                <w:szCs w:val="10"/>
                <w:color w:val="auto"/>
              </w:rPr>
            </w:pPr>
          </w:p>
        </w:tc>
      </w:tr>
      <w:tr>
        <w:trPr>
          <w:trHeight w:val="126"/>
        </w:trPr>
        <w:tc>
          <w:tcPr>
            <w:tcW w:w="4420" w:type="dxa"/>
            <w:vAlign w:val="bottom"/>
          </w:tcPr>
          <w:p>
            <w:pPr>
              <w:ind w:left="220"/>
              <w:spacing w:after="0"/>
              <w:rPr>
                <w:sz w:val="20"/>
                <w:szCs w:val="20"/>
                <w:color w:val="auto"/>
              </w:rPr>
            </w:pPr>
            <w:r>
              <w:rPr>
                <w:rFonts w:ascii="Arial" w:cs="Arial" w:eastAsia="Arial" w:hAnsi="Arial"/>
                <w:sz w:val="11"/>
                <w:szCs w:val="11"/>
                <w:color w:val="auto"/>
              </w:rPr>
              <w:t>Other</w:t>
            </w:r>
          </w:p>
        </w:tc>
        <w:tc>
          <w:tcPr>
            <w:tcW w:w="280" w:type="dxa"/>
            <w:vAlign w:val="bottom"/>
          </w:tcPr>
          <w:p>
            <w:pPr>
              <w:spacing w:after="0"/>
              <w:rPr>
                <w:sz w:val="10"/>
                <w:szCs w:val="10"/>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2.6</w:t>
            </w:r>
          </w:p>
        </w:tc>
        <w:tc>
          <w:tcPr>
            <w:tcW w:w="2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6.2</w:t>
            </w:r>
          </w:p>
        </w:tc>
        <w:tc>
          <w:tcPr>
            <w:tcW w:w="2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14.7</w:t>
            </w:r>
          </w:p>
        </w:tc>
        <w:tc>
          <w:tcPr>
            <w:tcW w:w="80" w:type="dxa"/>
            <w:vAlign w:val="bottom"/>
          </w:tcPr>
          <w:p>
            <w:pPr>
              <w:spacing w:after="0"/>
              <w:rPr>
                <w:sz w:val="10"/>
                <w:szCs w:val="10"/>
                <w:color w:val="auto"/>
              </w:rPr>
            </w:pPr>
          </w:p>
        </w:tc>
      </w:tr>
      <w:tr>
        <w:trPr>
          <w:trHeight w:val="124"/>
        </w:trPr>
        <w:tc>
          <w:tcPr>
            <w:tcW w:w="4420" w:type="dxa"/>
            <w:vAlign w:val="bottom"/>
            <w:shd w:val="clear" w:color="auto" w:fill="CCEEFF"/>
          </w:tcPr>
          <w:p>
            <w:pPr>
              <w:ind w:left="440"/>
              <w:spacing w:after="0" w:line="124" w:lineRule="exact"/>
              <w:rPr>
                <w:sz w:val="20"/>
                <w:szCs w:val="20"/>
                <w:color w:val="auto"/>
              </w:rPr>
            </w:pPr>
            <w:r>
              <w:rPr>
                <w:rFonts w:ascii="Arial" w:cs="Arial" w:eastAsia="Arial" w:hAnsi="Arial"/>
                <w:sz w:val="11"/>
                <w:szCs w:val="11"/>
                <w:color w:val="auto"/>
              </w:rPr>
              <w:t>Total revenue</w:t>
            </w:r>
          </w:p>
        </w:tc>
        <w:tc>
          <w:tcPr>
            <w:tcW w:w="280" w:type="dxa"/>
            <w:vAlign w:val="bottom"/>
            <w:tcBorders>
              <w:right w:val="single" w:sz="8" w:color="CCEEFF"/>
            </w:tcBorders>
            <w:shd w:val="clear" w:color="auto" w:fill="CCEEFF"/>
          </w:tcPr>
          <w:p>
            <w:pPr>
              <w:spacing w:after="0"/>
              <w:rPr>
                <w:sz w:val="10"/>
                <w:szCs w:val="10"/>
                <w:color w:val="auto"/>
              </w:rPr>
            </w:pPr>
          </w:p>
        </w:tc>
        <w:tc>
          <w:tcPr>
            <w:tcW w:w="540" w:type="dxa"/>
            <w:vAlign w:val="bottom"/>
            <w:tcBorders>
              <w:bottom w:val="single" w:sz="8" w:color="auto"/>
            </w:tcBorders>
            <w:shd w:val="clear" w:color="auto" w:fill="CCEEFF"/>
          </w:tcPr>
          <w:p>
            <w:pPr>
              <w:jc w:val="right"/>
              <w:spacing w:after="0" w:line="124" w:lineRule="exact"/>
              <w:rPr>
                <w:sz w:val="20"/>
                <w:szCs w:val="20"/>
                <w:color w:val="auto"/>
              </w:rPr>
            </w:pPr>
            <w:r>
              <w:rPr>
                <w:rFonts w:ascii="Arial" w:cs="Arial" w:eastAsia="Arial" w:hAnsi="Arial"/>
                <w:sz w:val="11"/>
                <w:szCs w:val="11"/>
                <w:color w:val="auto"/>
              </w:rPr>
              <w:t>218.6</w:t>
            </w:r>
          </w:p>
        </w:tc>
        <w:tc>
          <w:tcPr>
            <w:tcW w:w="200" w:type="dxa"/>
            <w:vAlign w:val="bottom"/>
            <w:shd w:val="clear" w:color="auto" w:fill="CCEEFF"/>
          </w:tcPr>
          <w:p>
            <w:pPr>
              <w:spacing w:after="0"/>
              <w:rPr>
                <w:sz w:val="10"/>
                <w:szCs w:val="10"/>
                <w:color w:val="auto"/>
              </w:rPr>
            </w:pPr>
          </w:p>
        </w:tc>
        <w:tc>
          <w:tcPr>
            <w:tcW w:w="240" w:type="dxa"/>
            <w:vAlign w:val="bottom"/>
            <w:tcBorders>
              <w:right w:val="single" w:sz="8" w:color="CCEEFF"/>
            </w:tcBorders>
            <w:shd w:val="clear" w:color="auto" w:fill="CCEEFF"/>
          </w:tcPr>
          <w:p>
            <w:pPr>
              <w:spacing w:after="0"/>
              <w:rPr>
                <w:sz w:val="10"/>
                <w:szCs w:val="10"/>
                <w:color w:val="auto"/>
              </w:rPr>
            </w:pPr>
          </w:p>
        </w:tc>
        <w:tc>
          <w:tcPr>
            <w:tcW w:w="560" w:type="dxa"/>
            <w:vAlign w:val="bottom"/>
            <w:tcBorders>
              <w:bottom w:val="single" w:sz="8" w:color="auto"/>
            </w:tcBorders>
            <w:shd w:val="clear" w:color="auto" w:fill="CCEEFF"/>
          </w:tcPr>
          <w:p>
            <w:pPr>
              <w:jc w:val="right"/>
              <w:spacing w:after="0" w:line="124" w:lineRule="exact"/>
              <w:rPr>
                <w:sz w:val="20"/>
                <w:szCs w:val="20"/>
                <w:color w:val="auto"/>
              </w:rPr>
            </w:pPr>
            <w:r>
              <w:rPr>
                <w:rFonts w:ascii="Arial" w:cs="Arial" w:eastAsia="Arial" w:hAnsi="Arial"/>
                <w:sz w:val="11"/>
                <w:szCs w:val="11"/>
                <w:color w:val="auto"/>
              </w:rPr>
              <w:t>435.0</w:t>
            </w:r>
          </w:p>
        </w:tc>
        <w:tc>
          <w:tcPr>
            <w:tcW w:w="200" w:type="dxa"/>
            <w:vAlign w:val="bottom"/>
            <w:shd w:val="clear" w:color="auto" w:fill="CCEEFF"/>
          </w:tcPr>
          <w:p>
            <w:pPr>
              <w:spacing w:after="0"/>
              <w:rPr>
                <w:sz w:val="10"/>
                <w:szCs w:val="10"/>
                <w:color w:val="auto"/>
              </w:rPr>
            </w:pPr>
          </w:p>
        </w:tc>
        <w:tc>
          <w:tcPr>
            <w:tcW w:w="240" w:type="dxa"/>
            <w:vAlign w:val="bottom"/>
            <w:tcBorders>
              <w:right w:val="single" w:sz="8" w:color="CCEEFF"/>
            </w:tcBorders>
            <w:shd w:val="clear" w:color="auto" w:fill="CCEEFF"/>
          </w:tcPr>
          <w:p>
            <w:pPr>
              <w:spacing w:after="0"/>
              <w:rPr>
                <w:sz w:val="10"/>
                <w:szCs w:val="10"/>
                <w:color w:val="auto"/>
              </w:rPr>
            </w:pPr>
          </w:p>
        </w:tc>
        <w:tc>
          <w:tcPr>
            <w:tcW w:w="600" w:type="dxa"/>
            <w:vAlign w:val="bottom"/>
            <w:tcBorders>
              <w:bottom w:val="single" w:sz="8" w:color="auto"/>
            </w:tcBorders>
            <w:shd w:val="clear" w:color="auto" w:fill="CCEEFF"/>
          </w:tcPr>
          <w:p>
            <w:pPr>
              <w:jc w:val="right"/>
              <w:spacing w:after="0" w:line="124" w:lineRule="exact"/>
              <w:rPr>
                <w:sz w:val="20"/>
                <w:szCs w:val="20"/>
                <w:color w:val="auto"/>
              </w:rPr>
            </w:pPr>
            <w:r>
              <w:rPr>
                <w:rFonts w:ascii="Arial" w:cs="Arial" w:eastAsia="Arial" w:hAnsi="Arial"/>
                <w:sz w:val="11"/>
                <w:szCs w:val="11"/>
                <w:color w:val="auto"/>
              </w:rPr>
              <w:t>915.0</w:t>
            </w:r>
          </w:p>
        </w:tc>
        <w:tc>
          <w:tcPr>
            <w:tcW w:w="80" w:type="dxa"/>
            <w:vAlign w:val="bottom"/>
            <w:shd w:val="clear" w:color="auto" w:fill="CCEEFF"/>
          </w:tcPr>
          <w:p>
            <w:pPr>
              <w:spacing w:after="0"/>
              <w:rPr>
                <w:sz w:val="10"/>
                <w:szCs w:val="10"/>
                <w:color w:val="auto"/>
              </w:rPr>
            </w:pPr>
          </w:p>
        </w:tc>
      </w:tr>
      <w:tr>
        <w:trPr>
          <w:trHeight w:val="124"/>
        </w:trPr>
        <w:tc>
          <w:tcPr>
            <w:tcW w:w="4420" w:type="dxa"/>
            <w:vAlign w:val="bottom"/>
          </w:tcPr>
          <w:p>
            <w:pPr>
              <w:spacing w:after="0" w:line="124" w:lineRule="exact"/>
              <w:rPr>
                <w:sz w:val="20"/>
                <w:szCs w:val="20"/>
                <w:color w:val="auto"/>
              </w:rPr>
            </w:pPr>
            <w:r>
              <w:rPr>
                <w:rFonts w:ascii="Arial" w:cs="Arial" w:eastAsia="Arial" w:hAnsi="Arial"/>
                <w:sz w:val="11"/>
                <w:szCs w:val="11"/>
                <w:color w:val="auto"/>
              </w:rPr>
              <w:t>Cost of revenue:</w:t>
            </w:r>
          </w:p>
        </w:tc>
        <w:tc>
          <w:tcPr>
            <w:tcW w:w="2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r>
      <w:tr>
        <w:trPr>
          <w:trHeight w:val="126"/>
        </w:trPr>
        <w:tc>
          <w:tcPr>
            <w:tcW w:w="4420" w:type="dxa"/>
            <w:vAlign w:val="bottom"/>
            <w:shd w:val="clear" w:color="auto" w:fill="CCEEFF"/>
          </w:tcPr>
          <w:p>
            <w:pPr>
              <w:ind w:left="220"/>
              <w:spacing w:after="0"/>
              <w:rPr>
                <w:sz w:val="20"/>
                <w:szCs w:val="20"/>
                <w:color w:val="auto"/>
              </w:rPr>
            </w:pPr>
            <w:r>
              <w:rPr>
                <w:rFonts w:ascii="Arial" w:cs="Arial" w:eastAsia="Arial" w:hAnsi="Arial"/>
                <w:sz w:val="11"/>
                <w:szCs w:val="11"/>
                <w:color w:val="auto"/>
              </w:rPr>
              <w:t>Connected Fitness Products</w:t>
            </w:r>
          </w:p>
        </w:tc>
        <w:tc>
          <w:tcPr>
            <w:tcW w:w="280" w:type="dxa"/>
            <w:vAlign w:val="bottom"/>
            <w:tcBorders>
              <w:right w:val="single" w:sz="8" w:color="CCEEFF"/>
            </w:tcBorders>
            <w:shd w:val="clear" w:color="auto" w:fill="CCEEFF"/>
          </w:tcPr>
          <w:p>
            <w:pPr>
              <w:spacing w:after="0"/>
              <w:rPr>
                <w:sz w:val="10"/>
                <w:szCs w:val="10"/>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113.5</w:t>
            </w:r>
          </w:p>
        </w:tc>
        <w:tc>
          <w:tcPr>
            <w:tcW w:w="200" w:type="dxa"/>
            <w:vAlign w:val="bottom"/>
            <w:shd w:val="clear" w:color="auto" w:fill="CCEEFF"/>
          </w:tcPr>
          <w:p>
            <w:pPr>
              <w:spacing w:after="0"/>
              <w:rPr>
                <w:sz w:val="10"/>
                <w:szCs w:val="10"/>
                <w:color w:val="auto"/>
              </w:rPr>
            </w:pPr>
          </w:p>
        </w:tc>
        <w:tc>
          <w:tcPr>
            <w:tcW w:w="240" w:type="dxa"/>
            <w:vAlign w:val="bottom"/>
            <w:tcBorders>
              <w:right w:val="single" w:sz="8" w:color="CCEEFF"/>
            </w:tcBorders>
            <w:shd w:val="clear" w:color="auto" w:fill="CCEEFF"/>
          </w:tcPr>
          <w:p>
            <w:pPr>
              <w:spacing w:after="0"/>
              <w:rPr>
                <w:sz w:val="10"/>
                <w:szCs w:val="10"/>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195.0</w:t>
            </w:r>
          </w:p>
        </w:tc>
        <w:tc>
          <w:tcPr>
            <w:tcW w:w="200" w:type="dxa"/>
            <w:vAlign w:val="bottom"/>
            <w:shd w:val="clear" w:color="auto" w:fill="CCEEFF"/>
          </w:tcPr>
          <w:p>
            <w:pPr>
              <w:spacing w:after="0"/>
              <w:rPr>
                <w:sz w:val="10"/>
                <w:szCs w:val="10"/>
                <w:color w:val="auto"/>
              </w:rPr>
            </w:pPr>
          </w:p>
        </w:tc>
        <w:tc>
          <w:tcPr>
            <w:tcW w:w="240" w:type="dxa"/>
            <w:vAlign w:val="bottom"/>
            <w:tcBorders>
              <w:right w:val="single" w:sz="8" w:color="CCEEFF"/>
            </w:tcBorders>
            <w:shd w:val="clear" w:color="auto" w:fill="CCEEFF"/>
          </w:tcPr>
          <w:p>
            <w:pPr>
              <w:spacing w:after="0"/>
              <w:rPr>
                <w:sz w:val="10"/>
                <w:szCs w:val="10"/>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410.8</w:t>
            </w:r>
          </w:p>
        </w:tc>
        <w:tc>
          <w:tcPr>
            <w:tcW w:w="80" w:type="dxa"/>
            <w:vAlign w:val="bottom"/>
            <w:shd w:val="clear" w:color="auto" w:fill="CCEEFF"/>
          </w:tcPr>
          <w:p>
            <w:pPr>
              <w:spacing w:after="0"/>
              <w:rPr>
                <w:sz w:val="10"/>
                <w:szCs w:val="10"/>
                <w:color w:val="auto"/>
              </w:rPr>
            </w:pPr>
          </w:p>
        </w:tc>
      </w:tr>
      <w:tr>
        <w:trPr>
          <w:trHeight w:val="126"/>
        </w:trPr>
        <w:tc>
          <w:tcPr>
            <w:tcW w:w="4420" w:type="dxa"/>
            <w:vAlign w:val="bottom"/>
          </w:tcPr>
          <w:p>
            <w:pPr>
              <w:ind w:left="220"/>
              <w:spacing w:after="0"/>
              <w:rPr>
                <w:sz w:val="20"/>
                <w:szCs w:val="20"/>
                <w:color w:val="auto"/>
              </w:rPr>
            </w:pPr>
            <w:r>
              <w:rPr>
                <w:rFonts w:ascii="Arial" w:cs="Arial" w:eastAsia="Arial" w:hAnsi="Arial"/>
                <w:sz w:val="11"/>
                <w:szCs w:val="11"/>
                <w:color w:val="auto"/>
              </w:rPr>
              <w:t>Subscription</w:t>
            </w:r>
          </w:p>
        </w:tc>
        <w:tc>
          <w:tcPr>
            <w:tcW w:w="280" w:type="dxa"/>
            <w:vAlign w:val="bottom"/>
          </w:tcPr>
          <w:p>
            <w:pPr>
              <w:spacing w:after="0"/>
              <w:rPr>
                <w:sz w:val="10"/>
                <w:szCs w:val="10"/>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29.3</w:t>
            </w:r>
          </w:p>
        </w:tc>
        <w:tc>
          <w:tcPr>
            <w:tcW w:w="2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45.5</w:t>
            </w:r>
          </w:p>
        </w:tc>
        <w:tc>
          <w:tcPr>
            <w:tcW w:w="2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103.7</w:t>
            </w:r>
          </w:p>
        </w:tc>
        <w:tc>
          <w:tcPr>
            <w:tcW w:w="80" w:type="dxa"/>
            <w:vAlign w:val="bottom"/>
          </w:tcPr>
          <w:p>
            <w:pPr>
              <w:spacing w:after="0"/>
              <w:rPr>
                <w:sz w:val="10"/>
                <w:szCs w:val="10"/>
                <w:color w:val="auto"/>
              </w:rPr>
            </w:pPr>
          </w:p>
        </w:tc>
      </w:tr>
      <w:tr>
        <w:trPr>
          <w:trHeight w:val="126"/>
        </w:trPr>
        <w:tc>
          <w:tcPr>
            <w:tcW w:w="4420" w:type="dxa"/>
            <w:vAlign w:val="bottom"/>
            <w:shd w:val="clear" w:color="auto" w:fill="CCEEFF"/>
          </w:tcPr>
          <w:p>
            <w:pPr>
              <w:ind w:left="220"/>
              <w:spacing w:after="0"/>
              <w:rPr>
                <w:sz w:val="20"/>
                <w:szCs w:val="20"/>
                <w:color w:val="auto"/>
              </w:rPr>
            </w:pPr>
            <w:r>
              <w:rPr>
                <w:rFonts w:ascii="Arial" w:cs="Arial" w:eastAsia="Arial" w:hAnsi="Arial"/>
                <w:sz w:val="11"/>
                <w:szCs w:val="11"/>
                <w:color w:val="auto"/>
              </w:rPr>
              <w:t>Other</w:t>
            </w:r>
          </w:p>
        </w:tc>
        <w:tc>
          <w:tcPr>
            <w:tcW w:w="280" w:type="dxa"/>
            <w:vAlign w:val="bottom"/>
            <w:tcBorders>
              <w:right w:val="single" w:sz="8" w:color="CCEEFF"/>
            </w:tcBorders>
            <w:shd w:val="clear" w:color="auto" w:fill="CCEEFF"/>
          </w:tcPr>
          <w:p>
            <w:pPr>
              <w:spacing w:after="0"/>
              <w:rPr>
                <w:sz w:val="10"/>
                <w:szCs w:val="10"/>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1.9</w:t>
            </w:r>
          </w:p>
        </w:tc>
        <w:tc>
          <w:tcPr>
            <w:tcW w:w="200" w:type="dxa"/>
            <w:vAlign w:val="bottom"/>
            <w:shd w:val="clear" w:color="auto" w:fill="CCEEFF"/>
          </w:tcPr>
          <w:p>
            <w:pPr>
              <w:spacing w:after="0"/>
              <w:rPr>
                <w:sz w:val="10"/>
                <w:szCs w:val="10"/>
                <w:color w:val="auto"/>
              </w:rPr>
            </w:pPr>
          </w:p>
        </w:tc>
        <w:tc>
          <w:tcPr>
            <w:tcW w:w="240" w:type="dxa"/>
            <w:vAlign w:val="bottom"/>
            <w:tcBorders>
              <w:right w:val="single" w:sz="8" w:color="CCEEFF"/>
            </w:tcBorders>
            <w:shd w:val="clear" w:color="auto" w:fill="CCEEFF"/>
          </w:tcPr>
          <w:p>
            <w:pPr>
              <w:spacing w:after="0"/>
              <w:rPr>
                <w:sz w:val="10"/>
                <w:szCs w:val="10"/>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4.9</w:t>
            </w:r>
          </w:p>
        </w:tc>
        <w:tc>
          <w:tcPr>
            <w:tcW w:w="200" w:type="dxa"/>
            <w:vAlign w:val="bottom"/>
            <w:shd w:val="clear" w:color="auto" w:fill="CCEEFF"/>
          </w:tcPr>
          <w:p>
            <w:pPr>
              <w:spacing w:after="0"/>
              <w:rPr>
                <w:sz w:val="10"/>
                <w:szCs w:val="10"/>
                <w:color w:val="auto"/>
              </w:rPr>
            </w:pPr>
          </w:p>
        </w:tc>
        <w:tc>
          <w:tcPr>
            <w:tcW w:w="240" w:type="dxa"/>
            <w:vAlign w:val="bottom"/>
            <w:tcBorders>
              <w:right w:val="single" w:sz="8" w:color="CCEEFF"/>
            </w:tcBorders>
            <w:shd w:val="clear" w:color="auto" w:fill="CCEEFF"/>
          </w:tcPr>
          <w:p>
            <w:pPr>
              <w:spacing w:after="0"/>
              <w:rPr>
                <w:sz w:val="10"/>
                <w:szCs w:val="10"/>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17.0</w:t>
            </w:r>
          </w:p>
        </w:tc>
        <w:tc>
          <w:tcPr>
            <w:tcW w:w="80" w:type="dxa"/>
            <w:vAlign w:val="bottom"/>
            <w:shd w:val="clear" w:color="auto" w:fill="CCEEFF"/>
          </w:tcPr>
          <w:p>
            <w:pPr>
              <w:spacing w:after="0"/>
              <w:rPr>
                <w:sz w:val="10"/>
                <w:szCs w:val="10"/>
                <w:color w:val="auto"/>
              </w:rPr>
            </w:pPr>
          </w:p>
        </w:tc>
      </w:tr>
      <w:tr>
        <w:trPr>
          <w:trHeight w:val="124"/>
        </w:trPr>
        <w:tc>
          <w:tcPr>
            <w:tcW w:w="4420" w:type="dxa"/>
            <w:vAlign w:val="bottom"/>
          </w:tcPr>
          <w:p>
            <w:pPr>
              <w:ind w:left="440"/>
              <w:spacing w:after="0" w:line="124" w:lineRule="exact"/>
              <w:rPr>
                <w:sz w:val="20"/>
                <w:szCs w:val="20"/>
                <w:color w:val="auto"/>
              </w:rPr>
            </w:pPr>
            <w:r>
              <w:rPr>
                <w:rFonts w:ascii="Arial" w:cs="Arial" w:eastAsia="Arial" w:hAnsi="Arial"/>
                <w:sz w:val="11"/>
                <w:szCs w:val="11"/>
                <w:color w:val="auto"/>
              </w:rPr>
              <w:t>Total cost of revenue</w:t>
            </w:r>
          </w:p>
        </w:tc>
        <w:tc>
          <w:tcPr>
            <w:tcW w:w="280" w:type="dxa"/>
            <w:vAlign w:val="bottom"/>
          </w:tcPr>
          <w:p>
            <w:pPr>
              <w:spacing w:after="0"/>
              <w:rPr>
                <w:sz w:val="10"/>
                <w:szCs w:val="10"/>
                <w:color w:val="auto"/>
              </w:rPr>
            </w:pPr>
          </w:p>
        </w:tc>
        <w:tc>
          <w:tcPr>
            <w:tcW w:w="540" w:type="dxa"/>
            <w:vAlign w:val="bottom"/>
            <w:tcBorders>
              <w:bottom w:val="single" w:sz="8" w:color="auto"/>
            </w:tcBorders>
          </w:tcPr>
          <w:p>
            <w:pPr>
              <w:jc w:val="right"/>
              <w:spacing w:after="0" w:line="124" w:lineRule="exact"/>
              <w:rPr>
                <w:sz w:val="20"/>
                <w:szCs w:val="20"/>
                <w:color w:val="auto"/>
              </w:rPr>
            </w:pPr>
            <w:r>
              <w:rPr>
                <w:rFonts w:ascii="Arial" w:cs="Arial" w:eastAsia="Arial" w:hAnsi="Arial"/>
                <w:sz w:val="11"/>
                <w:szCs w:val="11"/>
                <w:color w:val="auto"/>
              </w:rPr>
              <w:t>144.7</w:t>
            </w:r>
          </w:p>
        </w:tc>
        <w:tc>
          <w:tcPr>
            <w:tcW w:w="2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60" w:type="dxa"/>
            <w:vAlign w:val="bottom"/>
            <w:tcBorders>
              <w:bottom w:val="single" w:sz="8" w:color="auto"/>
            </w:tcBorders>
          </w:tcPr>
          <w:p>
            <w:pPr>
              <w:jc w:val="right"/>
              <w:spacing w:after="0" w:line="124" w:lineRule="exact"/>
              <w:rPr>
                <w:sz w:val="20"/>
                <w:szCs w:val="20"/>
                <w:color w:val="auto"/>
              </w:rPr>
            </w:pPr>
            <w:r>
              <w:rPr>
                <w:rFonts w:ascii="Arial" w:cs="Arial" w:eastAsia="Arial" w:hAnsi="Arial"/>
                <w:sz w:val="11"/>
                <w:szCs w:val="11"/>
                <w:color w:val="auto"/>
              </w:rPr>
              <w:t>245.4</w:t>
            </w:r>
          </w:p>
        </w:tc>
        <w:tc>
          <w:tcPr>
            <w:tcW w:w="2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00" w:type="dxa"/>
            <w:vAlign w:val="bottom"/>
            <w:tcBorders>
              <w:bottom w:val="single" w:sz="8" w:color="auto"/>
            </w:tcBorders>
          </w:tcPr>
          <w:p>
            <w:pPr>
              <w:jc w:val="right"/>
              <w:spacing w:after="0" w:line="124" w:lineRule="exact"/>
              <w:rPr>
                <w:sz w:val="20"/>
                <w:szCs w:val="20"/>
                <w:color w:val="auto"/>
              </w:rPr>
            </w:pPr>
            <w:r>
              <w:rPr>
                <w:rFonts w:ascii="Arial" w:cs="Arial" w:eastAsia="Arial" w:hAnsi="Arial"/>
                <w:sz w:val="11"/>
                <w:szCs w:val="11"/>
                <w:color w:val="auto"/>
              </w:rPr>
              <w:t>531.4</w:t>
            </w:r>
          </w:p>
        </w:tc>
        <w:tc>
          <w:tcPr>
            <w:tcW w:w="80" w:type="dxa"/>
            <w:vAlign w:val="bottom"/>
          </w:tcPr>
          <w:p>
            <w:pPr>
              <w:spacing w:after="0"/>
              <w:rPr>
                <w:sz w:val="10"/>
                <w:szCs w:val="10"/>
                <w:color w:val="auto"/>
              </w:rPr>
            </w:pPr>
          </w:p>
        </w:tc>
      </w:tr>
      <w:tr>
        <w:trPr>
          <w:trHeight w:val="124"/>
        </w:trPr>
        <w:tc>
          <w:tcPr>
            <w:tcW w:w="4420" w:type="dxa"/>
            <w:vAlign w:val="bottom"/>
            <w:shd w:val="clear" w:color="auto" w:fill="CCEEFF"/>
          </w:tcPr>
          <w:p>
            <w:pPr>
              <w:spacing w:after="0" w:line="124" w:lineRule="exact"/>
              <w:rPr>
                <w:sz w:val="20"/>
                <w:szCs w:val="20"/>
                <w:color w:val="auto"/>
              </w:rPr>
            </w:pPr>
            <w:r>
              <w:rPr>
                <w:rFonts w:ascii="Arial" w:cs="Arial" w:eastAsia="Arial" w:hAnsi="Arial"/>
                <w:sz w:val="11"/>
                <w:szCs w:val="11"/>
                <w:color w:val="auto"/>
              </w:rPr>
              <w:t>Gross profit</w:t>
            </w:r>
          </w:p>
        </w:tc>
        <w:tc>
          <w:tcPr>
            <w:tcW w:w="280" w:type="dxa"/>
            <w:vAlign w:val="bottom"/>
            <w:tcBorders>
              <w:right w:val="single" w:sz="8" w:color="CCEEFF"/>
            </w:tcBorders>
            <w:shd w:val="clear" w:color="auto" w:fill="CCEEFF"/>
          </w:tcPr>
          <w:p>
            <w:pPr>
              <w:spacing w:after="0"/>
              <w:rPr>
                <w:sz w:val="10"/>
                <w:szCs w:val="10"/>
                <w:color w:val="auto"/>
              </w:rPr>
            </w:pPr>
          </w:p>
        </w:tc>
        <w:tc>
          <w:tcPr>
            <w:tcW w:w="540" w:type="dxa"/>
            <w:vAlign w:val="bottom"/>
            <w:shd w:val="clear" w:color="auto" w:fill="CCEEFF"/>
          </w:tcPr>
          <w:p>
            <w:pPr>
              <w:jc w:val="right"/>
              <w:spacing w:after="0" w:line="124" w:lineRule="exact"/>
              <w:rPr>
                <w:sz w:val="20"/>
                <w:szCs w:val="20"/>
                <w:color w:val="auto"/>
              </w:rPr>
            </w:pPr>
            <w:r>
              <w:rPr>
                <w:rFonts w:ascii="Arial" w:cs="Arial" w:eastAsia="Arial" w:hAnsi="Arial"/>
                <w:sz w:val="11"/>
                <w:szCs w:val="11"/>
                <w:color w:val="auto"/>
              </w:rPr>
              <w:t>73.9</w:t>
            </w:r>
          </w:p>
        </w:tc>
        <w:tc>
          <w:tcPr>
            <w:tcW w:w="200" w:type="dxa"/>
            <w:vAlign w:val="bottom"/>
            <w:shd w:val="clear" w:color="auto" w:fill="CCEEFF"/>
          </w:tcPr>
          <w:p>
            <w:pPr>
              <w:spacing w:after="0"/>
              <w:rPr>
                <w:sz w:val="10"/>
                <w:szCs w:val="10"/>
                <w:color w:val="auto"/>
              </w:rPr>
            </w:pPr>
          </w:p>
        </w:tc>
        <w:tc>
          <w:tcPr>
            <w:tcW w:w="240" w:type="dxa"/>
            <w:vAlign w:val="bottom"/>
            <w:tcBorders>
              <w:right w:val="single" w:sz="8" w:color="CCEEFF"/>
            </w:tcBorders>
            <w:shd w:val="clear" w:color="auto" w:fill="CCEEFF"/>
          </w:tcPr>
          <w:p>
            <w:pPr>
              <w:spacing w:after="0"/>
              <w:rPr>
                <w:sz w:val="10"/>
                <w:szCs w:val="10"/>
                <w:color w:val="auto"/>
              </w:rPr>
            </w:pPr>
          </w:p>
        </w:tc>
        <w:tc>
          <w:tcPr>
            <w:tcW w:w="560" w:type="dxa"/>
            <w:vAlign w:val="bottom"/>
            <w:shd w:val="clear" w:color="auto" w:fill="CCEEFF"/>
          </w:tcPr>
          <w:p>
            <w:pPr>
              <w:jc w:val="right"/>
              <w:spacing w:after="0" w:line="124" w:lineRule="exact"/>
              <w:rPr>
                <w:sz w:val="20"/>
                <w:szCs w:val="20"/>
                <w:color w:val="auto"/>
              </w:rPr>
            </w:pPr>
            <w:r>
              <w:rPr>
                <w:rFonts w:ascii="Arial" w:cs="Arial" w:eastAsia="Arial" w:hAnsi="Arial"/>
                <w:sz w:val="11"/>
                <w:szCs w:val="11"/>
                <w:color w:val="auto"/>
              </w:rPr>
              <w:t>189.6</w:t>
            </w:r>
          </w:p>
        </w:tc>
        <w:tc>
          <w:tcPr>
            <w:tcW w:w="200" w:type="dxa"/>
            <w:vAlign w:val="bottom"/>
            <w:shd w:val="clear" w:color="auto" w:fill="CCEEFF"/>
          </w:tcPr>
          <w:p>
            <w:pPr>
              <w:spacing w:after="0"/>
              <w:rPr>
                <w:sz w:val="10"/>
                <w:szCs w:val="10"/>
                <w:color w:val="auto"/>
              </w:rPr>
            </w:pPr>
          </w:p>
        </w:tc>
        <w:tc>
          <w:tcPr>
            <w:tcW w:w="240" w:type="dxa"/>
            <w:vAlign w:val="bottom"/>
            <w:tcBorders>
              <w:right w:val="single" w:sz="8" w:color="CCEEFF"/>
            </w:tcBorders>
            <w:shd w:val="clear" w:color="auto" w:fill="CCEEFF"/>
          </w:tcPr>
          <w:p>
            <w:pPr>
              <w:spacing w:after="0"/>
              <w:rPr>
                <w:sz w:val="10"/>
                <w:szCs w:val="10"/>
                <w:color w:val="auto"/>
              </w:rPr>
            </w:pPr>
          </w:p>
        </w:tc>
        <w:tc>
          <w:tcPr>
            <w:tcW w:w="600" w:type="dxa"/>
            <w:vAlign w:val="bottom"/>
            <w:shd w:val="clear" w:color="auto" w:fill="CCEEFF"/>
          </w:tcPr>
          <w:p>
            <w:pPr>
              <w:jc w:val="right"/>
              <w:spacing w:after="0" w:line="124" w:lineRule="exact"/>
              <w:rPr>
                <w:sz w:val="20"/>
                <w:szCs w:val="20"/>
                <w:color w:val="auto"/>
              </w:rPr>
            </w:pPr>
            <w:r>
              <w:rPr>
                <w:rFonts w:ascii="Arial" w:cs="Arial" w:eastAsia="Arial" w:hAnsi="Arial"/>
                <w:sz w:val="11"/>
                <w:szCs w:val="11"/>
                <w:color w:val="auto"/>
              </w:rPr>
              <w:t>383.6</w:t>
            </w:r>
          </w:p>
        </w:tc>
        <w:tc>
          <w:tcPr>
            <w:tcW w:w="80" w:type="dxa"/>
            <w:vAlign w:val="bottom"/>
            <w:shd w:val="clear" w:color="auto" w:fill="CCEEFF"/>
          </w:tcPr>
          <w:p>
            <w:pPr>
              <w:spacing w:after="0"/>
              <w:rPr>
                <w:sz w:val="10"/>
                <w:szCs w:val="10"/>
                <w:color w:val="auto"/>
              </w:rPr>
            </w:pPr>
          </w:p>
        </w:tc>
      </w:tr>
      <w:tr>
        <w:trPr>
          <w:trHeight w:val="126"/>
        </w:trPr>
        <w:tc>
          <w:tcPr>
            <w:tcW w:w="4420" w:type="dxa"/>
            <w:vAlign w:val="bottom"/>
          </w:tcPr>
          <w:p>
            <w:pPr>
              <w:spacing w:after="0"/>
              <w:rPr>
                <w:sz w:val="20"/>
                <w:szCs w:val="20"/>
                <w:color w:val="auto"/>
              </w:rPr>
            </w:pPr>
            <w:r>
              <w:rPr>
                <w:rFonts w:ascii="Arial" w:cs="Arial" w:eastAsia="Arial" w:hAnsi="Arial"/>
                <w:sz w:val="11"/>
                <w:szCs w:val="11"/>
                <w:color w:val="auto"/>
              </w:rPr>
              <w:t>Operating expenses:</w:t>
            </w:r>
          </w:p>
        </w:tc>
        <w:tc>
          <w:tcPr>
            <w:tcW w:w="2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r>
      <w:tr>
        <w:trPr>
          <w:trHeight w:val="126"/>
        </w:trPr>
        <w:tc>
          <w:tcPr>
            <w:tcW w:w="4420" w:type="dxa"/>
            <w:vAlign w:val="bottom"/>
            <w:shd w:val="clear" w:color="auto" w:fill="CCEEFF"/>
          </w:tcPr>
          <w:p>
            <w:pPr>
              <w:ind w:left="220"/>
              <w:spacing w:after="0"/>
              <w:rPr>
                <w:sz w:val="20"/>
                <w:szCs w:val="20"/>
                <w:color w:val="auto"/>
              </w:rPr>
            </w:pPr>
            <w:r>
              <w:rPr>
                <w:rFonts w:ascii="Arial" w:cs="Arial" w:eastAsia="Arial" w:hAnsi="Arial"/>
                <w:sz w:val="11"/>
                <w:szCs w:val="11"/>
                <w:color w:val="auto"/>
              </w:rPr>
              <w:t>Research and development</w:t>
            </w:r>
          </w:p>
        </w:tc>
        <w:tc>
          <w:tcPr>
            <w:tcW w:w="280" w:type="dxa"/>
            <w:vAlign w:val="bottom"/>
            <w:tcBorders>
              <w:right w:val="single" w:sz="8" w:color="CCEEFF"/>
            </w:tcBorders>
            <w:shd w:val="clear" w:color="auto" w:fill="CCEEFF"/>
          </w:tcPr>
          <w:p>
            <w:pPr>
              <w:spacing w:after="0"/>
              <w:rPr>
                <w:sz w:val="10"/>
                <w:szCs w:val="10"/>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13.0</w:t>
            </w:r>
          </w:p>
        </w:tc>
        <w:tc>
          <w:tcPr>
            <w:tcW w:w="200" w:type="dxa"/>
            <w:vAlign w:val="bottom"/>
            <w:shd w:val="clear" w:color="auto" w:fill="CCEEFF"/>
          </w:tcPr>
          <w:p>
            <w:pPr>
              <w:spacing w:after="0"/>
              <w:rPr>
                <w:sz w:val="10"/>
                <w:szCs w:val="10"/>
                <w:color w:val="auto"/>
              </w:rPr>
            </w:pPr>
          </w:p>
        </w:tc>
        <w:tc>
          <w:tcPr>
            <w:tcW w:w="240" w:type="dxa"/>
            <w:vAlign w:val="bottom"/>
            <w:tcBorders>
              <w:right w:val="single" w:sz="8" w:color="CCEEFF"/>
            </w:tcBorders>
            <w:shd w:val="clear" w:color="auto" w:fill="CCEEFF"/>
          </w:tcPr>
          <w:p>
            <w:pPr>
              <w:spacing w:after="0"/>
              <w:rPr>
                <w:sz w:val="10"/>
                <w:szCs w:val="10"/>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23.4</w:t>
            </w:r>
          </w:p>
        </w:tc>
        <w:tc>
          <w:tcPr>
            <w:tcW w:w="200" w:type="dxa"/>
            <w:vAlign w:val="bottom"/>
            <w:shd w:val="clear" w:color="auto" w:fill="CCEEFF"/>
          </w:tcPr>
          <w:p>
            <w:pPr>
              <w:spacing w:after="0"/>
              <w:rPr>
                <w:sz w:val="10"/>
                <w:szCs w:val="10"/>
                <w:color w:val="auto"/>
              </w:rPr>
            </w:pPr>
          </w:p>
        </w:tc>
        <w:tc>
          <w:tcPr>
            <w:tcW w:w="240" w:type="dxa"/>
            <w:vAlign w:val="bottom"/>
            <w:tcBorders>
              <w:right w:val="single" w:sz="8" w:color="CCEEFF"/>
            </w:tcBorders>
            <w:shd w:val="clear" w:color="auto" w:fill="CCEEFF"/>
          </w:tcPr>
          <w:p>
            <w:pPr>
              <w:spacing w:after="0"/>
              <w:rPr>
                <w:sz w:val="10"/>
                <w:szCs w:val="10"/>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54.8</w:t>
            </w:r>
          </w:p>
        </w:tc>
        <w:tc>
          <w:tcPr>
            <w:tcW w:w="80" w:type="dxa"/>
            <w:vAlign w:val="bottom"/>
            <w:shd w:val="clear" w:color="auto" w:fill="CCEEFF"/>
          </w:tcPr>
          <w:p>
            <w:pPr>
              <w:spacing w:after="0"/>
              <w:rPr>
                <w:sz w:val="10"/>
                <w:szCs w:val="10"/>
                <w:color w:val="auto"/>
              </w:rPr>
            </w:pPr>
          </w:p>
        </w:tc>
      </w:tr>
      <w:tr>
        <w:trPr>
          <w:trHeight w:val="126"/>
        </w:trPr>
        <w:tc>
          <w:tcPr>
            <w:tcW w:w="4420" w:type="dxa"/>
            <w:vAlign w:val="bottom"/>
          </w:tcPr>
          <w:p>
            <w:pPr>
              <w:ind w:left="220"/>
              <w:spacing w:after="0"/>
              <w:rPr>
                <w:sz w:val="20"/>
                <w:szCs w:val="20"/>
                <w:color w:val="auto"/>
              </w:rPr>
            </w:pPr>
            <w:r>
              <w:rPr>
                <w:rFonts w:ascii="Arial" w:cs="Arial" w:eastAsia="Arial" w:hAnsi="Arial"/>
                <w:sz w:val="11"/>
                <w:szCs w:val="11"/>
                <w:color w:val="auto"/>
              </w:rPr>
              <w:t>Sales and marketing</w:t>
            </w:r>
          </w:p>
        </w:tc>
        <w:tc>
          <w:tcPr>
            <w:tcW w:w="280" w:type="dxa"/>
            <w:vAlign w:val="bottom"/>
          </w:tcPr>
          <w:p>
            <w:pPr>
              <w:spacing w:after="0"/>
              <w:rPr>
                <w:sz w:val="10"/>
                <w:szCs w:val="10"/>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86.0</w:t>
            </w:r>
          </w:p>
        </w:tc>
        <w:tc>
          <w:tcPr>
            <w:tcW w:w="2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151.4</w:t>
            </w:r>
          </w:p>
        </w:tc>
        <w:tc>
          <w:tcPr>
            <w:tcW w:w="2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324.0</w:t>
            </w:r>
          </w:p>
        </w:tc>
        <w:tc>
          <w:tcPr>
            <w:tcW w:w="80" w:type="dxa"/>
            <w:vAlign w:val="bottom"/>
          </w:tcPr>
          <w:p>
            <w:pPr>
              <w:spacing w:after="0"/>
              <w:rPr>
                <w:sz w:val="10"/>
                <w:szCs w:val="10"/>
                <w:color w:val="auto"/>
              </w:rPr>
            </w:pPr>
          </w:p>
        </w:tc>
      </w:tr>
      <w:tr>
        <w:trPr>
          <w:trHeight w:val="126"/>
        </w:trPr>
        <w:tc>
          <w:tcPr>
            <w:tcW w:w="4420" w:type="dxa"/>
            <w:vAlign w:val="bottom"/>
            <w:shd w:val="clear" w:color="auto" w:fill="CCEEFF"/>
          </w:tcPr>
          <w:p>
            <w:pPr>
              <w:ind w:left="220"/>
              <w:spacing w:after="0"/>
              <w:rPr>
                <w:sz w:val="20"/>
                <w:szCs w:val="20"/>
                <w:color w:val="auto"/>
              </w:rPr>
            </w:pPr>
            <w:r>
              <w:rPr>
                <w:rFonts w:ascii="Arial" w:cs="Arial" w:eastAsia="Arial" w:hAnsi="Arial"/>
                <w:sz w:val="11"/>
                <w:szCs w:val="11"/>
                <w:color w:val="auto"/>
              </w:rPr>
              <w:t>General and administrative</w:t>
            </w:r>
          </w:p>
        </w:tc>
        <w:tc>
          <w:tcPr>
            <w:tcW w:w="280" w:type="dxa"/>
            <w:vAlign w:val="bottom"/>
            <w:tcBorders>
              <w:right w:val="single" w:sz="8" w:color="CCEEFF"/>
            </w:tcBorders>
            <w:shd w:val="clear" w:color="auto" w:fill="CCEEFF"/>
          </w:tcPr>
          <w:p>
            <w:pPr>
              <w:spacing w:after="0"/>
              <w:rPr>
                <w:sz w:val="10"/>
                <w:szCs w:val="10"/>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45.6</w:t>
            </w:r>
          </w:p>
        </w:tc>
        <w:tc>
          <w:tcPr>
            <w:tcW w:w="200" w:type="dxa"/>
            <w:vAlign w:val="bottom"/>
            <w:shd w:val="clear" w:color="auto" w:fill="CCEEFF"/>
          </w:tcPr>
          <w:p>
            <w:pPr>
              <w:spacing w:after="0"/>
              <w:rPr>
                <w:sz w:val="10"/>
                <w:szCs w:val="10"/>
                <w:color w:val="auto"/>
              </w:rPr>
            </w:pPr>
          </w:p>
        </w:tc>
        <w:tc>
          <w:tcPr>
            <w:tcW w:w="240" w:type="dxa"/>
            <w:vAlign w:val="bottom"/>
            <w:tcBorders>
              <w:right w:val="single" w:sz="8" w:color="CCEEFF"/>
            </w:tcBorders>
            <w:shd w:val="clear" w:color="auto" w:fill="CCEEFF"/>
          </w:tcPr>
          <w:p>
            <w:pPr>
              <w:spacing w:after="0"/>
              <w:rPr>
                <w:sz w:val="10"/>
                <w:szCs w:val="10"/>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62.4</w:t>
            </w:r>
          </w:p>
        </w:tc>
        <w:tc>
          <w:tcPr>
            <w:tcW w:w="200" w:type="dxa"/>
            <w:vAlign w:val="bottom"/>
            <w:shd w:val="clear" w:color="auto" w:fill="CCEEFF"/>
          </w:tcPr>
          <w:p>
            <w:pPr>
              <w:spacing w:after="0"/>
              <w:rPr>
                <w:sz w:val="10"/>
                <w:szCs w:val="10"/>
                <w:color w:val="auto"/>
              </w:rPr>
            </w:pPr>
          </w:p>
        </w:tc>
        <w:tc>
          <w:tcPr>
            <w:tcW w:w="240" w:type="dxa"/>
            <w:vAlign w:val="bottom"/>
            <w:tcBorders>
              <w:right w:val="single" w:sz="8" w:color="CCEEFF"/>
            </w:tcBorders>
            <w:shd w:val="clear" w:color="auto" w:fill="CCEEFF"/>
          </w:tcPr>
          <w:p>
            <w:pPr>
              <w:spacing w:after="0"/>
              <w:rPr>
                <w:sz w:val="10"/>
                <w:szCs w:val="10"/>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207.0</w:t>
            </w:r>
          </w:p>
        </w:tc>
        <w:tc>
          <w:tcPr>
            <w:tcW w:w="80" w:type="dxa"/>
            <w:vAlign w:val="bottom"/>
            <w:shd w:val="clear" w:color="auto" w:fill="CCEEFF"/>
          </w:tcPr>
          <w:p>
            <w:pPr>
              <w:spacing w:after="0"/>
              <w:rPr>
                <w:sz w:val="10"/>
                <w:szCs w:val="10"/>
                <w:color w:val="auto"/>
              </w:rPr>
            </w:pPr>
          </w:p>
        </w:tc>
      </w:tr>
      <w:tr>
        <w:trPr>
          <w:trHeight w:val="124"/>
        </w:trPr>
        <w:tc>
          <w:tcPr>
            <w:tcW w:w="4420" w:type="dxa"/>
            <w:vAlign w:val="bottom"/>
          </w:tcPr>
          <w:p>
            <w:pPr>
              <w:ind w:left="440"/>
              <w:spacing w:after="0" w:line="124" w:lineRule="exact"/>
              <w:rPr>
                <w:sz w:val="20"/>
                <w:szCs w:val="20"/>
                <w:color w:val="auto"/>
              </w:rPr>
            </w:pPr>
            <w:r>
              <w:rPr>
                <w:rFonts w:ascii="Arial" w:cs="Arial" w:eastAsia="Arial" w:hAnsi="Arial"/>
                <w:sz w:val="11"/>
                <w:szCs w:val="11"/>
                <w:color w:val="auto"/>
              </w:rPr>
              <w:t>Total operating expenses</w:t>
            </w:r>
          </w:p>
        </w:tc>
        <w:tc>
          <w:tcPr>
            <w:tcW w:w="280" w:type="dxa"/>
            <w:vAlign w:val="bottom"/>
          </w:tcPr>
          <w:p>
            <w:pPr>
              <w:spacing w:after="0"/>
              <w:rPr>
                <w:sz w:val="10"/>
                <w:szCs w:val="10"/>
                <w:color w:val="auto"/>
              </w:rPr>
            </w:pPr>
          </w:p>
        </w:tc>
        <w:tc>
          <w:tcPr>
            <w:tcW w:w="540" w:type="dxa"/>
            <w:vAlign w:val="bottom"/>
            <w:tcBorders>
              <w:bottom w:val="single" w:sz="8" w:color="auto"/>
            </w:tcBorders>
          </w:tcPr>
          <w:p>
            <w:pPr>
              <w:jc w:val="right"/>
              <w:spacing w:after="0" w:line="124" w:lineRule="exact"/>
              <w:rPr>
                <w:sz w:val="20"/>
                <w:szCs w:val="20"/>
                <w:color w:val="auto"/>
              </w:rPr>
            </w:pPr>
            <w:r>
              <w:rPr>
                <w:rFonts w:ascii="Arial" w:cs="Arial" w:eastAsia="Arial" w:hAnsi="Arial"/>
                <w:sz w:val="11"/>
                <w:szCs w:val="11"/>
                <w:color w:val="auto"/>
              </w:rPr>
              <w:t>144.7</w:t>
            </w:r>
          </w:p>
        </w:tc>
        <w:tc>
          <w:tcPr>
            <w:tcW w:w="2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60" w:type="dxa"/>
            <w:vAlign w:val="bottom"/>
            <w:tcBorders>
              <w:bottom w:val="single" w:sz="8" w:color="auto"/>
            </w:tcBorders>
          </w:tcPr>
          <w:p>
            <w:pPr>
              <w:jc w:val="right"/>
              <w:spacing w:after="0" w:line="124" w:lineRule="exact"/>
              <w:rPr>
                <w:sz w:val="20"/>
                <w:szCs w:val="20"/>
                <w:color w:val="auto"/>
              </w:rPr>
            </w:pPr>
            <w:r>
              <w:rPr>
                <w:rFonts w:ascii="Arial" w:cs="Arial" w:eastAsia="Arial" w:hAnsi="Arial"/>
                <w:sz w:val="11"/>
                <w:szCs w:val="11"/>
                <w:color w:val="auto"/>
              </w:rPr>
              <w:t>237.1</w:t>
            </w:r>
          </w:p>
        </w:tc>
        <w:tc>
          <w:tcPr>
            <w:tcW w:w="2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00" w:type="dxa"/>
            <w:vAlign w:val="bottom"/>
            <w:tcBorders>
              <w:bottom w:val="single" w:sz="8" w:color="auto"/>
            </w:tcBorders>
          </w:tcPr>
          <w:p>
            <w:pPr>
              <w:jc w:val="right"/>
              <w:spacing w:after="0" w:line="124" w:lineRule="exact"/>
              <w:rPr>
                <w:sz w:val="20"/>
                <w:szCs w:val="20"/>
                <w:color w:val="auto"/>
              </w:rPr>
            </w:pPr>
            <w:r>
              <w:rPr>
                <w:rFonts w:ascii="Arial" w:cs="Arial" w:eastAsia="Arial" w:hAnsi="Arial"/>
                <w:sz w:val="11"/>
                <w:szCs w:val="11"/>
                <w:color w:val="auto"/>
              </w:rPr>
              <w:t>585.8</w:t>
            </w:r>
          </w:p>
        </w:tc>
        <w:tc>
          <w:tcPr>
            <w:tcW w:w="80" w:type="dxa"/>
            <w:vAlign w:val="bottom"/>
          </w:tcPr>
          <w:p>
            <w:pPr>
              <w:spacing w:after="0"/>
              <w:rPr>
                <w:sz w:val="10"/>
                <w:szCs w:val="10"/>
                <w:color w:val="auto"/>
              </w:rPr>
            </w:pPr>
          </w:p>
        </w:tc>
      </w:tr>
      <w:tr>
        <w:trPr>
          <w:trHeight w:val="124"/>
        </w:trPr>
        <w:tc>
          <w:tcPr>
            <w:tcW w:w="4420" w:type="dxa"/>
            <w:vAlign w:val="bottom"/>
            <w:shd w:val="clear" w:color="auto" w:fill="CCEEFF"/>
          </w:tcPr>
          <w:p>
            <w:pPr>
              <w:spacing w:after="0" w:line="124" w:lineRule="exact"/>
              <w:rPr>
                <w:sz w:val="20"/>
                <w:szCs w:val="20"/>
                <w:color w:val="auto"/>
              </w:rPr>
            </w:pPr>
            <w:r>
              <w:rPr>
                <w:rFonts w:ascii="Arial" w:cs="Arial" w:eastAsia="Arial" w:hAnsi="Arial"/>
                <w:sz w:val="11"/>
                <w:szCs w:val="11"/>
                <w:color w:val="auto"/>
              </w:rPr>
              <w:t>Loss from operations</w:t>
            </w:r>
          </w:p>
        </w:tc>
        <w:tc>
          <w:tcPr>
            <w:tcW w:w="280" w:type="dxa"/>
            <w:vAlign w:val="bottom"/>
            <w:tcBorders>
              <w:right w:val="single" w:sz="8" w:color="CCEEFF"/>
            </w:tcBorders>
            <w:shd w:val="clear" w:color="auto" w:fill="CCEEFF"/>
          </w:tcPr>
          <w:p>
            <w:pPr>
              <w:spacing w:after="0"/>
              <w:rPr>
                <w:sz w:val="10"/>
                <w:szCs w:val="10"/>
                <w:color w:val="auto"/>
              </w:rPr>
            </w:pPr>
          </w:p>
        </w:tc>
        <w:tc>
          <w:tcPr>
            <w:tcW w:w="740" w:type="dxa"/>
            <w:vAlign w:val="bottom"/>
            <w:gridSpan w:val="2"/>
            <w:shd w:val="clear" w:color="auto" w:fill="CCEEFF"/>
          </w:tcPr>
          <w:p>
            <w:pPr>
              <w:jc w:val="right"/>
              <w:ind w:right="106"/>
              <w:spacing w:after="0" w:line="124" w:lineRule="exact"/>
              <w:rPr>
                <w:sz w:val="20"/>
                <w:szCs w:val="20"/>
                <w:color w:val="auto"/>
              </w:rPr>
            </w:pPr>
            <w:r>
              <w:rPr>
                <w:rFonts w:ascii="Arial" w:cs="Arial" w:eastAsia="Arial" w:hAnsi="Arial"/>
                <w:sz w:val="11"/>
                <w:szCs w:val="11"/>
                <w:color w:val="auto"/>
              </w:rPr>
              <w:t>(70.7)</w:t>
            </w:r>
          </w:p>
        </w:tc>
        <w:tc>
          <w:tcPr>
            <w:tcW w:w="240" w:type="dxa"/>
            <w:vAlign w:val="bottom"/>
            <w:tcBorders>
              <w:right w:val="single" w:sz="8" w:color="CCEEFF"/>
            </w:tcBorders>
            <w:shd w:val="clear" w:color="auto" w:fill="CCEEFF"/>
          </w:tcPr>
          <w:p>
            <w:pPr>
              <w:spacing w:after="0"/>
              <w:rPr>
                <w:sz w:val="10"/>
                <w:szCs w:val="10"/>
                <w:color w:val="auto"/>
              </w:rPr>
            </w:pPr>
          </w:p>
        </w:tc>
        <w:tc>
          <w:tcPr>
            <w:tcW w:w="760" w:type="dxa"/>
            <w:vAlign w:val="bottom"/>
            <w:gridSpan w:val="2"/>
            <w:shd w:val="clear" w:color="auto" w:fill="CCEEFF"/>
          </w:tcPr>
          <w:p>
            <w:pPr>
              <w:jc w:val="right"/>
              <w:ind w:right="180"/>
              <w:spacing w:after="0" w:line="124" w:lineRule="exact"/>
              <w:rPr>
                <w:sz w:val="20"/>
                <w:szCs w:val="20"/>
                <w:color w:val="auto"/>
              </w:rPr>
            </w:pPr>
            <w:r>
              <w:rPr>
                <w:rFonts w:ascii="Arial" w:cs="Arial" w:eastAsia="Arial" w:hAnsi="Arial"/>
                <w:sz w:val="11"/>
                <w:szCs w:val="11"/>
                <w:color w:val="auto"/>
              </w:rPr>
              <w:t>(47.5)</w:t>
            </w:r>
          </w:p>
        </w:tc>
        <w:tc>
          <w:tcPr>
            <w:tcW w:w="240" w:type="dxa"/>
            <w:vAlign w:val="bottom"/>
            <w:tcBorders>
              <w:right w:val="single" w:sz="8" w:color="CCEEFF"/>
            </w:tcBorders>
            <w:shd w:val="clear" w:color="auto" w:fill="CCEEFF"/>
          </w:tcPr>
          <w:p>
            <w:pPr>
              <w:spacing w:after="0"/>
              <w:rPr>
                <w:sz w:val="10"/>
                <w:szCs w:val="10"/>
                <w:color w:val="auto"/>
              </w:rPr>
            </w:pPr>
          </w:p>
        </w:tc>
        <w:tc>
          <w:tcPr>
            <w:tcW w:w="680" w:type="dxa"/>
            <w:vAlign w:val="bottom"/>
            <w:gridSpan w:val="2"/>
            <w:shd w:val="clear" w:color="auto" w:fill="CCEEFF"/>
          </w:tcPr>
          <w:p>
            <w:pPr>
              <w:jc w:val="right"/>
              <w:ind w:right="40"/>
              <w:spacing w:after="0" w:line="124" w:lineRule="exact"/>
              <w:rPr>
                <w:sz w:val="20"/>
                <w:szCs w:val="20"/>
                <w:color w:val="auto"/>
              </w:rPr>
            </w:pPr>
            <w:r>
              <w:rPr>
                <w:rFonts w:ascii="Arial" w:cs="Arial" w:eastAsia="Arial" w:hAnsi="Arial"/>
                <w:sz w:val="11"/>
                <w:szCs w:val="11"/>
                <w:color w:val="auto"/>
              </w:rPr>
              <w:t>(202.3)</w:t>
            </w:r>
          </w:p>
        </w:tc>
      </w:tr>
      <w:tr>
        <w:trPr>
          <w:trHeight w:val="126"/>
        </w:trPr>
        <w:tc>
          <w:tcPr>
            <w:tcW w:w="4420" w:type="dxa"/>
            <w:vAlign w:val="bottom"/>
          </w:tcPr>
          <w:p>
            <w:pPr>
              <w:spacing w:after="0"/>
              <w:rPr>
                <w:sz w:val="20"/>
                <w:szCs w:val="20"/>
                <w:color w:val="auto"/>
              </w:rPr>
            </w:pPr>
            <w:r>
              <w:rPr>
                <w:rFonts w:ascii="Arial" w:cs="Arial" w:eastAsia="Arial" w:hAnsi="Arial"/>
                <w:sz w:val="11"/>
                <w:szCs w:val="11"/>
                <w:color w:val="auto"/>
              </w:rPr>
              <w:t>Other (expense) income, net:</w:t>
            </w:r>
          </w:p>
        </w:tc>
        <w:tc>
          <w:tcPr>
            <w:tcW w:w="2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r>
      <w:tr>
        <w:trPr>
          <w:trHeight w:val="126"/>
        </w:trPr>
        <w:tc>
          <w:tcPr>
            <w:tcW w:w="4420" w:type="dxa"/>
            <w:vAlign w:val="bottom"/>
            <w:shd w:val="clear" w:color="auto" w:fill="CCEEFF"/>
          </w:tcPr>
          <w:p>
            <w:pPr>
              <w:ind w:left="220"/>
              <w:spacing w:after="0"/>
              <w:rPr>
                <w:sz w:val="20"/>
                <w:szCs w:val="20"/>
                <w:color w:val="auto"/>
              </w:rPr>
            </w:pPr>
            <w:r>
              <w:rPr>
                <w:rFonts w:ascii="Arial" w:cs="Arial" w:eastAsia="Arial" w:hAnsi="Arial"/>
                <w:sz w:val="11"/>
                <w:szCs w:val="11"/>
                <w:color w:val="auto"/>
              </w:rPr>
              <w:t>Interest (expense) income, net</w:t>
            </w:r>
          </w:p>
        </w:tc>
        <w:tc>
          <w:tcPr>
            <w:tcW w:w="280" w:type="dxa"/>
            <w:vAlign w:val="bottom"/>
            <w:tcBorders>
              <w:right w:val="single" w:sz="8" w:color="CCEEFF"/>
            </w:tcBorders>
            <w:shd w:val="clear" w:color="auto" w:fill="CCEEFF"/>
          </w:tcPr>
          <w:p>
            <w:pPr>
              <w:spacing w:after="0"/>
              <w:rPr>
                <w:sz w:val="10"/>
                <w:szCs w:val="10"/>
                <w:color w:val="auto"/>
              </w:rPr>
            </w:pPr>
          </w:p>
        </w:tc>
        <w:tc>
          <w:tcPr>
            <w:tcW w:w="740" w:type="dxa"/>
            <w:vAlign w:val="bottom"/>
            <w:gridSpan w:val="2"/>
            <w:shd w:val="clear" w:color="auto" w:fill="CCEEFF"/>
          </w:tcPr>
          <w:p>
            <w:pPr>
              <w:jc w:val="right"/>
              <w:ind w:right="106"/>
              <w:spacing w:after="0"/>
              <w:rPr>
                <w:sz w:val="20"/>
                <w:szCs w:val="20"/>
                <w:color w:val="auto"/>
              </w:rPr>
            </w:pPr>
            <w:r>
              <w:rPr>
                <w:rFonts w:ascii="Arial" w:cs="Arial" w:eastAsia="Arial" w:hAnsi="Arial"/>
                <w:sz w:val="11"/>
                <w:szCs w:val="11"/>
                <w:color w:val="auto"/>
              </w:rPr>
              <w:t>(0.3)</w:t>
            </w:r>
          </w:p>
        </w:tc>
        <w:tc>
          <w:tcPr>
            <w:tcW w:w="240" w:type="dxa"/>
            <w:vAlign w:val="bottom"/>
            <w:tcBorders>
              <w:right w:val="single" w:sz="8" w:color="CCEEFF"/>
            </w:tcBorders>
            <w:shd w:val="clear" w:color="auto" w:fill="CCEEFF"/>
          </w:tcPr>
          <w:p>
            <w:pPr>
              <w:spacing w:after="0"/>
              <w:rPr>
                <w:sz w:val="10"/>
                <w:szCs w:val="10"/>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1"/>
                <w:szCs w:val="11"/>
                <w:color w:val="auto"/>
              </w:rPr>
              <w:t>(0.3)</w:t>
            </w:r>
          </w:p>
        </w:tc>
        <w:tc>
          <w:tcPr>
            <w:tcW w:w="240" w:type="dxa"/>
            <w:vAlign w:val="bottom"/>
            <w:tcBorders>
              <w:right w:val="single" w:sz="8" w:color="CCEEFF"/>
            </w:tcBorders>
            <w:shd w:val="clear" w:color="auto" w:fill="CCEEFF"/>
          </w:tcPr>
          <w:p>
            <w:pPr>
              <w:spacing w:after="0"/>
              <w:rPr>
                <w:sz w:val="10"/>
                <w:szCs w:val="10"/>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7.0</w:t>
            </w:r>
          </w:p>
        </w:tc>
        <w:tc>
          <w:tcPr>
            <w:tcW w:w="80" w:type="dxa"/>
            <w:vAlign w:val="bottom"/>
            <w:shd w:val="clear" w:color="auto" w:fill="CCEEFF"/>
          </w:tcPr>
          <w:p>
            <w:pPr>
              <w:spacing w:after="0"/>
              <w:rPr>
                <w:sz w:val="10"/>
                <w:szCs w:val="10"/>
                <w:color w:val="auto"/>
              </w:rPr>
            </w:pPr>
          </w:p>
        </w:tc>
      </w:tr>
      <w:tr>
        <w:trPr>
          <w:trHeight w:val="126"/>
        </w:trPr>
        <w:tc>
          <w:tcPr>
            <w:tcW w:w="4420" w:type="dxa"/>
            <w:vAlign w:val="bottom"/>
          </w:tcPr>
          <w:p>
            <w:pPr>
              <w:ind w:left="220"/>
              <w:spacing w:after="0"/>
              <w:rPr>
                <w:sz w:val="20"/>
                <w:szCs w:val="20"/>
                <w:color w:val="auto"/>
              </w:rPr>
            </w:pPr>
            <w:r>
              <w:rPr>
                <w:rFonts w:ascii="Arial" w:cs="Arial" w:eastAsia="Arial" w:hAnsi="Arial"/>
                <w:sz w:val="11"/>
                <w:szCs w:val="11"/>
                <w:color w:val="auto"/>
              </w:rPr>
              <w:t>Other (expense) income, net</w:t>
            </w:r>
          </w:p>
        </w:tc>
        <w:tc>
          <w:tcPr>
            <w:tcW w:w="280" w:type="dxa"/>
            <w:vAlign w:val="bottom"/>
          </w:tcPr>
          <w:p>
            <w:pPr>
              <w:spacing w:after="0"/>
              <w:rPr>
                <w:sz w:val="10"/>
                <w:szCs w:val="10"/>
                <w:color w:val="auto"/>
              </w:rPr>
            </w:pPr>
          </w:p>
        </w:tc>
        <w:tc>
          <w:tcPr>
            <w:tcW w:w="740" w:type="dxa"/>
            <w:vAlign w:val="bottom"/>
            <w:gridSpan w:val="2"/>
          </w:tcPr>
          <w:p>
            <w:pPr>
              <w:jc w:val="right"/>
              <w:ind w:right="146"/>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0"/>
                <w:szCs w:val="10"/>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0"/>
                <w:szCs w:val="10"/>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1"/>
                <w:szCs w:val="11"/>
                <w:color w:val="auto"/>
              </w:rPr>
              <w:t>(0.3)</w:t>
            </w:r>
          </w:p>
        </w:tc>
      </w:tr>
      <w:tr>
        <w:trPr>
          <w:trHeight w:val="20"/>
        </w:trPr>
        <w:tc>
          <w:tcPr>
            <w:tcW w:w="4420" w:type="dxa"/>
            <w:vAlign w:val="bottom"/>
          </w:tcPr>
          <w:p>
            <w:pPr>
              <w:spacing w:after="0" w:line="20" w:lineRule="exact"/>
              <w:rPr>
                <w:sz w:val="1"/>
                <w:szCs w:val="1"/>
                <w:color w:val="auto"/>
              </w:rPr>
            </w:pPr>
          </w:p>
        </w:tc>
        <w:tc>
          <w:tcPr>
            <w:tcW w:w="280" w:type="dxa"/>
            <w:vAlign w:val="bottom"/>
            <w:tcBorders>
              <w:right w:val="single" w:sz="8" w:color="auto"/>
            </w:tcBorders>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24"/>
        </w:trPr>
        <w:tc>
          <w:tcPr>
            <w:tcW w:w="4420" w:type="dxa"/>
            <w:vAlign w:val="bottom"/>
            <w:shd w:val="clear" w:color="auto" w:fill="CCEEFF"/>
          </w:tcPr>
          <w:p>
            <w:pPr>
              <w:ind w:left="440"/>
              <w:spacing w:after="0" w:line="124" w:lineRule="exact"/>
              <w:rPr>
                <w:sz w:val="20"/>
                <w:szCs w:val="20"/>
                <w:color w:val="auto"/>
              </w:rPr>
            </w:pPr>
            <w:r>
              <w:rPr>
                <w:rFonts w:ascii="Arial" w:cs="Arial" w:eastAsia="Arial" w:hAnsi="Arial"/>
                <w:sz w:val="11"/>
                <w:szCs w:val="11"/>
                <w:color w:val="auto"/>
              </w:rPr>
              <w:t>Total other (expense) income, net</w:t>
            </w:r>
          </w:p>
        </w:tc>
        <w:tc>
          <w:tcPr>
            <w:tcW w:w="280" w:type="dxa"/>
            <w:vAlign w:val="bottom"/>
            <w:tcBorders>
              <w:right w:val="single" w:sz="8" w:color="CCEEFF"/>
            </w:tcBorders>
            <w:shd w:val="clear" w:color="auto" w:fill="CCEEFF"/>
          </w:tcPr>
          <w:p>
            <w:pPr>
              <w:spacing w:after="0"/>
              <w:rPr>
                <w:sz w:val="10"/>
                <w:szCs w:val="10"/>
                <w:color w:val="auto"/>
              </w:rPr>
            </w:pPr>
          </w:p>
        </w:tc>
        <w:tc>
          <w:tcPr>
            <w:tcW w:w="740" w:type="dxa"/>
            <w:vAlign w:val="bottom"/>
            <w:gridSpan w:val="2"/>
            <w:shd w:val="clear" w:color="auto" w:fill="CCEEFF"/>
          </w:tcPr>
          <w:p>
            <w:pPr>
              <w:jc w:val="right"/>
              <w:ind w:right="106"/>
              <w:spacing w:after="0" w:line="124" w:lineRule="exact"/>
              <w:rPr>
                <w:sz w:val="20"/>
                <w:szCs w:val="20"/>
                <w:color w:val="auto"/>
              </w:rPr>
            </w:pPr>
            <w:r>
              <w:rPr>
                <w:rFonts w:ascii="Arial" w:cs="Arial" w:eastAsia="Arial" w:hAnsi="Arial"/>
                <w:sz w:val="11"/>
                <w:szCs w:val="11"/>
                <w:color w:val="auto"/>
              </w:rPr>
              <w:t>(0.3)</w:t>
            </w:r>
          </w:p>
        </w:tc>
        <w:tc>
          <w:tcPr>
            <w:tcW w:w="240" w:type="dxa"/>
            <w:vAlign w:val="bottom"/>
            <w:tcBorders>
              <w:right w:val="single" w:sz="8" w:color="CCEEFF"/>
            </w:tcBorders>
            <w:shd w:val="clear" w:color="auto" w:fill="CCEEFF"/>
          </w:tcPr>
          <w:p>
            <w:pPr>
              <w:spacing w:after="0"/>
              <w:rPr>
                <w:sz w:val="10"/>
                <w:szCs w:val="10"/>
                <w:color w:val="auto"/>
              </w:rPr>
            </w:pPr>
          </w:p>
        </w:tc>
        <w:tc>
          <w:tcPr>
            <w:tcW w:w="760" w:type="dxa"/>
            <w:vAlign w:val="bottom"/>
            <w:gridSpan w:val="2"/>
            <w:shd w:val="clear" w:color="auto" w:fill="CCEEFF"/>
          </w:tcPr>
          <w:p>
            <w:pPr>
              <w:jc w:val="right"/>
              <w:ind w:right="180"/>
              <w:spacing w:after="0" w:line="124" w:lineRule="exact"/>
              <w:rPr>
                <w:sz w:val="20"/>
                <w:szCs w:val="20"/>
                <w:color w:val="auto"/>
              </w:rPr>
            </w:pPr>
            <w:r>
              <w:rPr>
                <w:rFonts w:ascii="Arial" w:cs="Arial" w:eastAsia="Arial" w:hAnsi="Arial"/>
                <w:sz w:val="11"/>
                <w:szCs w:val="11"/>
                <w:color w:val="auto"/>
              </w:rPr>
              <w:t>(0.3)</w:t>
            </w:r>
          </w:p>
        </w:tc>
        <w:tc>
          <w:tcPr>
            <w:tcW w:w="240" w:type="dxa"/>
            <w:vAlign w:val="bottom"/>
            <w:tcBorders>
              <w:right w:val="single" w:sz="8" w:color="CCEEFF"/>
            </w:tcBorders>
            <w:shd w:val="clear" w:color="auto" w:fill="CCEEFF"/>
          </w:tcPr>
          <w:p>
            <w:pPr>
              <w:spacing w:after="0"/>
              <w:rPr>
                <w:sz w:val="10"/>
                <w:szCs w:val="10"/>
                <w:color w:val="auto"/>
              </w:rPr>
            </w:pPr>
          </w:p>
        </w:tc>
        <w:tc>
          <w:tcPr>
            <w:tcW w:w="600" w:type="dxa"/>
            <w:vAlign w:val="bottom"/>
            <w:shd w:val="clear" w:color="auto" w:fill="CCEEFF"/>
          </w:tcPr>
          <w:p>
            <w:pPr>
              <w:jc w:val="right"/>
              <w:spacing w:after="0" w:line="124" w:lineRule="exact"/>
              <w:rPr>
                <w:sz w:val="20"/>
                <w:szCs w:val="20"/>
                <w:color w:val="auto"/>
              </w:rPr>
            </w:pPr>
            <w:r>
              <w:rPr>
                <w:rFonts w:ascii="Arial" w:cs="Arial" w:eastAsia="Arial" w:hAnsi="Arial"/>
                <w:sz w:val="11"/>
                <w:szCs w:val="11"/>
                <w:color w:val="auto"/>
              </w:rPr>
              <w:t>6.7</w:t>
            </w:r>
          </w:p>
        </w:tc>
        <w:tc>
          <w:tcPr>
            <w:tcW w:w="80" w:type="dxa"/>
            <w:vAlign w:val="bottom"/>
            <w:shd w:val="clear" w:color="auto" w:fill="CCEEFF"/>
          </w:tcPr>
          <w:p>
            <w:pPr>
              <w:spacing w:after="0"/>
              <w:rPr>
                <w:sz w:val="10"/>
                <w:szCs w:val="10"/>
                <w:color w:val="auto"/>
              </w:rPr>
            </w:pPr>
          </w:p>
        </w:tc>
      </w:tr>
      <w:tr>
        <w:trPr>
          <w:trHeight w:val="20"/>
        </w:trPr>
        <w:tc>
          <w:tcPr>
            <w:tcW w:w="4420" w:type="dxa"/>
            <w:vAlign w:val="bottom"/>
          </w:tcPr>
          <w:p>
            <w:pPr>
              <w:spacing w:after="0" w:line="20" w:lineRule="exact"/>
              <w:rPr>
                <w:sz w:val="1"/>
                <w:szCs w:val="1"/>
                <w:color w:val="auto"/>
              </w:rPr>
            </w:pPr>
          </w:p>
        </w:tc>
        <w:tc>
          <w:tcPr>
            <w:tcW w:w="280" w:type="dxa"/>
            <w:vAlign w:val="bottom"/>
            <w:tcBorders>
              <w:right w:val="single" w:sz="8" w:color="auto"/>
            </w:tcBorders>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24"/>
        </w:trPr>
        <w:tc>
          <w:tcPr>
            <w:tcW w:w="4420" w:type="dxa"/>
            <w:vAlign w:val="bottom"/>
          </w:tcPr>
          <w:p>
            <w:pPr>
              <w:spacing w:after="0" w:line="124" w:lineRule="exact"/>
              <w:rPr>
                <w:sz w:val="20"/>
                <w:szCs w:val="20"/>
                <w:color w:val="auto"/>
              </w:rPr>
            </w:pPr>
            <w:r>
              <w:rPr>
                <w:rFonts w:ascii="Arial" w:cs="Arial" w:eastAsia="Arial" w:hAnsi="Arial"/>
                <w:sz w:val="11"/>
                <w:szCs w:val="11"/>
                <w:color w:val="auto"/>
              </w:rPr>
              <w:t>Loss before provision for income taxes</w:t>
            </w:r>
          </w:p>
        </w:tc>
        <w:tc>
          <w:tcPr>
            <w:tcW w:w="280" w:type="dxa"/>
            <w:vAlign w:val="bottom"/>
          </w:tcPr>
          <w:p>
            <w:pPr>
              <w:spacing w:after="0"/>
              <w:rPr>
                <w:sz w:val="10"/>
                <w:szCs w:val="10"/>
                <w:color w:val="auto"/>
              </w:rPr>
            </w:pPr>
          </w:p>
        </w:tc>
        <w:tc>
          <w:tcPr>
            <w:tcW w:w="740" w:type="dxa"/>
            <w:vAlign w:val="bottom"/>
            <w:gridSpan w:val="2"/>
          </w:tcPr>
          <w:p>
            <w:pPr>
              <w:jc w:val="right"/>
              <w:ind w:right="106"/>
              <w:spacing w:after="0" w:line="124" w:lineRule="exact"/>
              <w:rPr>
                <w:sz w:val="20"/>
                <w:szCs w:val="20"/>
                <w:color w:val="auto"/>
              </w:rPr>
            </w:pPr>
            <w:r>
              <w:rPr>
                <w:rFonts w:ascii="Arial" w:cs="Arial" w:eastAsia="Arial" w:hAnsi="Arial"/>
                <w:sz w:val="11"/>
                <w:szCs w:val="11"/>
                <w:color w:val="auto"/>
              </w:rPr>
              <w:t>(71.1)</w:t>
            </w:r>
          </w:p>
        </w:tc>
        <w:tc>
          <w:tcPr>
            <w:tcW w:w="240" w:type="dxa"/>
            <w:vAlign w:val="bottom"/>
          </w:tcPr>
          <w:p>
            <w:pPr>
              <w:spacing w:after="0"/>
              <w:rPr>
                <w:sz w:val="10"/>
                <w:szCs w:val="10"/>
                <w:color w:val="auto"/>
              </w:rPr>
            </w:pPr>
          </w:p>
        </w:tc>
        <w:tc>
          <w:tcPr>
            <w:tcW w:w="760" w:type="dxa"/>
            <w:vAlign w:val="bottom"/>
            <w:gridSpan w:val="2"/>
          </w:tcPr>
          <w:p>
            <w:pPr>
              <w:jc w:val="right"/>
              <w:ind w:right="180"/>
              <w:spacing w:after="0" w:line="124" w:lineRule="exact"/>
              <w:rPr>
                <w:sz w:val="20"/>
                <w:szCs w:val="20"/>
                <w:color w:val="auto"/>
              </w:rPr>
            </w:pPr>
            <w:r>
              <w:rPr>
                <w:rFonts w:ascii="Arial" w:cs="Arial" w:eastAsia="Arial" w:hAnsi="Arial"/>
                <w:sz w:val="11"/>
                <w:szCs w:val="11"/>
                <w:color w:val="auto"/>
              </w:rPr>
              <w:t>(47.8)</w:t>
            </w:r>
          </w:p>
        </w:tc>
        <w:tc>
          <w:tcPr>
            <w:tcW w:w="240" w:type="dxa"/>
            <w:vAlign w:val="bottom"/>
          </w:tcPr>
          <w:p>
            <w:pPr>
              <w:spacing w:after="0"/>
              <w:rPr>
                <w:sz w:val="10"/>
                <w:szCs w:val="10"/>
                <w:color w:val="auto"/>
              </w:rPr>
            </w:pPr>
          </w:p>
        </w:tc>
        <w:tc>
          <w:tcPr>
            <w:tcW w:w="680" w:type="dxa"/>
            <w:vAlign w:val="bottom"/>
            <w:gridSpan w:val="2"/>
          </w:tcPr>
          <w:p>
            <w:pPr>
              <w:jc w:val="right"/>
              <w:ind w:right="40"/>
              <w:spacing w:after="0" w:line="124" w:lineRule="exact"/>
              <w:rPr>
                <w:sz w:val="20"/>
                <w:szCs w:val="20"/>
                <w:color w:val="auto"/>
              </w:rPr>
            </w:pPr>
            <w:r>
              <w:rPr>
                <w:rFonts w:ascii="Arial" w:cs="Arial" w:eastAsia="Arial" w:hAnsi="Arial"/>
                <w:sz w:val="11"/>
                <w:szCs w:val="11"/>
                <w:color w:val="auto"/>
              </w:rPr>
              <w:t>(195.6)</w:t>
            </w:r>
          </w:p>
        </w:tc>
      </w:tr>
      <w:tr>
        <w:trPr>
          <w:trHeight w:val="20"/>
        </w:trPr>
        <w:tc>
          <w:tcPr>
            <w:tcW w:w="4420" w:type="dxa"/>
            <w:vAlign w:val="bottom"/>
          </w:tcPr>
          <w:p>
            <w:pPr>
              <w:spacing w:after="0" w:line="20" w:lineRule="exact"/>
              <w:rPr>
                <w:sz w:val="1"/>
                <w:szCs w:val="1"/>
                <w:color w:val="auto"/>
              </w:rPr>
            </w:pPr>
          </w:p>
        </w:tc>
        <w:tc>
          <w:tcPr>
            <w:tcW w:w="280" w:type="dxa"/>
            <w:vAlign w:val="bottom"/>
            <w:tcBorders>
              <w:right w:val="single" w:sz="8" w:color="auto"/>
            </w:tcBorders>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24"/>
        </w:trPr>
        <w:tc>
          <w:tcPr>
            <w:tcW w:w="4420" w:type="dxa"/>
            <w:vAlign w:val="bottom"/>
            <w:shd w:val="clear" w:color="auto" w:fill="CCEEFF"/>
          </w:tcPr>
          <w:p>
            <w:pPr>
              <w:spacing w:after="0" w:line="124" w:lineRule="exact"/>
              <w:rPr>
                <w:sz w:val="20"/>
                <w:szCs w:val="20"/>
                <w:color w:val="auto"/>
              </w:rPr>
            </w:pPr>
            <w:r>
              <w:rPr>
                <w:rFonts w:ascii="Arial" w:cs="Arial" w:eastAsia="Arial" w:hAnsi="Arial"/>
                <w:sz w:val="11"/>
                <w:szCs w:val="11"/>
                <w:color w:val="auto"/>
              </w:rPr>
              <w:t>Provision for income taxes</w:t>
            </w:r>
          </w:p>
        </w:tc>
        <w:tc>
          <w:tcPr>
            <w:tcW w:w="280" w:type="dxa"/>
            <w:vAlign w:val="bottom"/>
            <w:tcBorders>
              <w:right w:val="single" w:sz="8" w:color="CCEEFF"/>
            </w:tcBorders>
            <w:shd w:val="clear" w:color="auto" w:fill="CCEEFF"/>
          </w:tcPr>
          <w:p>
            <w:pPr>
              <w:spacing w:after="0"/>
              <w:rPr>
                <w:sz w:val="10"/>
                <w:szCs w:val="10"/>
                <w:color w:val="auto"/>
              </w:rPr>
            </w:pPr>
          </w:p>
        </w:tc>
        <w:tc>
          <w:tcPr>
            <w:tcW w:w="740" w:type="dxa"/>
            <w:vAlign w:val="bottom"/>
            <w:gridSpan w:val="2"/>
            <w:shd w:val="clear" w:color="auto" w:fill="CCEEFF"/>
          </w:tcPr>
          <w:p>
            <w:pPr>
              <w:jc w:val="right"/>
              <w:ind w:right="146"/>
              <w:spacing w:after="0" w:line="124" w:lineRule="exact"/>
              <w:rPr>
                <w:sz w:val="20"/>
                <w:szCs w:val="20"/>
                <w:color w:val="auto"/>
              </w:rPr>
            </w:pPr>
            <w:r>
              <w:rPr>
                <w:rFonts w:ascii="Arial" w:cs="Arial" w:eastAsia="Arial" w:hAnsi="Arial"/>
                <w:sz w:val="11"/>
                <w:szCs w:val="11"/>
                <w:color w:val="auto"/>
              </w:rPr>
              <w:t>—</w:t>
            </w:r>
          </w:p>
        </w:tc>
        <w:tc>
          <w:tcPr>
            <w:tcW w:w="240" w:type="dxa"/>
            <w:vAlign w:val="bottom"/>
            <w:tcBorders>
              <w:right w:val="single" w:sz="8" w:color="CCEEFF"/>
            </w:tcBorders>
            <w:shd w:val="clear" w:color="auto" w:fill="CCEEFF"/>
          </w:tcPr>
          <w:p>
            <w:pPr>
              <w:spacing w:after="0"/>
              <w:rPr>
                <w:sz w:val="10"/>
                <w:szCs w:val="10"/>
                <w:color w:val="auto"/>
              </w:rPr>
            </w:pPr>
          </w:p>
        </w:tc>
        <w:tc>
          <w:tcPr>
            <w:tcW w:w="560" w:type="dxa"/>
            <w:vAlign w:val="bottom"/>
            <w:shd w:val="clear" w:color="auto" w:fill="CCEEFF"/>
          </w:tcPr>
          <w:p>
            <w:pPr>
              <w:jc w:val="right"/>
              <w:spacing w:after="0" w:line="124" w:lineRule="exact"/>
              <w:rPr>
                <w:sz w:val="20"/>
                <w:szCs w:val="20"/>
                <w:color w:val="auto"/>
              </w:rPr>
            </w:pPr>
            <w:r>
              <w:rPr>
                <w:rFonts w:ascii="Arial" w:cs="Arial" w:eastAsia="Arial" w:hAnsi="Arial"/>
                <w:sz w:val="11"/>
                <w:szCs w:val="11"/>
                <w:color w:val="auto"/>
              </w:rPr>
              <w:t>0.1</w:t>
            </w:r>
          </w:p>
        </w:tc>
        <w:tc>
          <w:tcPr>
            <w:tcW w:w="200" w:type="dxa"/>
            <w:vAlign w:val="bottom"/>
            <w:shd w:val="clear" w:color="auto" w:fill="CCEEFF"/>
          </w:tcPr>
          <w:p>
            <w:pPr>
              <w:spacing w:after="0"/>
              <w:rPr>
                <w:sz w:val="10"/>
                <w:szCs w:val="10"/>
                <w:color w:val="auto"/>
              </w:rPr>
            </w:pPr>
          </w:p>
        </w:tc>
        <w:tc>
          <w:tcPr>
            <w:tcW w:w="240" w:type="dxa"/>
            <w:vAlign w:val="bottom"/>
            <w:tcBorders>
              <w:right w:val="single" w:sz="8" w:color="CCEEFF"/>
            </w:tcBorders>
            <w:shd w:val="clear" w:color="auto" w:fill="CCEEFF"/>
          </w:tcPr>
          <w:p>
            <w:pPr>
              <w:spacing w:after="0"/>
              <w:rPr>
                <w:sz w:val="10"/>
                <w:szCs w:val="10"/>
                <w:color w:val="auto"/>
              </w:rPr>
            </w:pPr>
          </w:p>
        </w:tc>
        <w:tc>
          <w:tcPr>
            <w:tcW w:w="600" w:type="dxa"/>
            <w:vAlign w:val="bottom"/>
            <w:shd w:val="clear" w:color="auto" w:fill="CCEEFF"/>
          </w:tcPr>
          <w:p>
            <w:pPr>
              <w:jc w:val="right"/>
              <w:spacing w:after="0" w:line="124" w:lineRule="exact"/>
              <w:rPr>
                <w:sz w:val="20"/>
                <w:szCs w:val="20"/>
                <w:color w:val="auto"/>
              </w:rPr>
            </w:pPr>
            <w:r>
              <w:rPr>
                <w:rFonts w:ascii="Arial" w:cs="Arial" w:eastAsia="Arial" w:hAnsi="Arial"/>
                <w:sz w:val="11"/>
                <w:szCs w:val="11"/>
                <w:color w:val="auto"/>
              </w:rPr>
              <w:t>0.1</w:t>
            </w:r>
          </w:p>
        </w:tc>
        <w:tc>
          <w:tcPr>
            <w:tcW w:w="80" w:type="dxa"/>
            <w:vAlign w:val="bottom"/>
            <w:shd w:val="clear" w:color="auto" w:fill="CCEEFF"/>
          </w:tcPr>
          <w:p>
            <w:pPr>
              <w:spacing w:after="0"/>
              <w:rPr>
                <w:sz w:val="10"/>
                <w:szCs w:val="10"/>
                <w:color w:val="auto"/>
              </w:rPr>
            </w:pPr>
          </w:p>
        </w:tc>
      </w:tr>
      <w:tr>
        <w:trPr>
          <w:trHeight w:val="20"/>
        </w:trPr>
        <w:tc>
          <w:tcPr>
            <w:tcW w:w="4420" w:type="dxa"/>
            <w:vAlign w:val="bottom"/>
          </w:tcPr>
          <w:p>
            <w:pPr>
              <w:spacing w:after="0" w:line="20" w:lineRule="exact"/>
              <w:rPr>
                <w:sz w:val="1"/>
                <w:szCs w:val="1"/>
                <w:color w:val="auto"/>
              </w:rPr>
            </w:pPr>
          </w:p>
        </w:tc>
        <w:tc>
          <w:tcPr>
            <w:tcW w:w="280" w:type="dxa"/>
            <w:vAlign w:val="bottom"/>
            <w:tcBorders>
              <w:right w:val="single" w:sz="8" w:color="auto"/>
            </w:tcBorders>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24"/>
        </w:trPr>
        <w:tc>
          <w:tcPr>
            <w:tcW w:w="4420" w:type="dxa"/>
            <w:vAlign w:val="bottom"/>
          </w:tcPr>
          <w:p>
            <w:pPr>
              <w:spacing w:after="0" w:line="124" w:lineRule="exact"/>
              <w:rPr>
                <w:sz w:val="20"/>
                <w:szCs w:val="20"/>
                <w:color w:val="auto"/>
              </w:rPr>
            </w:pPr>
            <w:r>
              <w:rPr>
                <w:rFonts w:ascii="Arial" w:cs="Arial" w:eastAsia="Arial" w:hAnsi="Arial"/>
                <w:sz w:val="11"/>
                <w:szCs w:val="11"/>
                <w:color w:val="auto"/>
              </w:rPr>
              <w:t>Net loss</w:t>
            </w:r>
          </w:p>
        </w:tc>
        <w:tc>
          <w:tcPr>
            <w:tcW w:w="280" w:type="dxa"/>
            <w:vAlign w:val="bottom"/>
          </w:tcPr>
          <w:p>
            <w:pPr>
              <w:jc w:val="right"/>
              <w:spacing w:after="0" w:line="124" w:lineRule="exact"/>
              <w:rPr>
                <w:sz w:val="20"/>
                <w:szCs w:val="20"/>
                <w:color w:val="auto"/>
              </w:rPr>
            </w:pPr>
            <w:r>
              <w:rPr>
                <w:rFonts w:ascii="Arial" w:cs="Arial" w:eastAsia="Arial" w:hAnsi="Arial"/>
                <w:sz w:val="11"/>
                <w:szCs w:val="11"/>
                <w:color w:val="auto"/>
              </w:rPr>
              <w:t>$</w:t>
            </w:r>
          </w:p>
        </w:tc>
        <w:tc>
          <w:tcPr>
            <w:tcW w:w="740" w:type="dxa"/>
            <w:vAlign w:val="bottom"/>
            <w:gridSpan w:val="2"/>
          </w:tcPr>
          <w:p>
            <w:pPr>
              <w:jc w:val="right"/>
              <w:ind w:right="106"/>
              <w:spacing w:after="0" w:line="124" w:lineRule="exact"/>
              <w:rPr>
                <w:sz w:val="20"/>
                <w:szCs w:val="20"/>
                <w:color w:val="auto"/>
              </w:rPr>
            </w:pPr>
            <w:r>
              <w:rPr>
                <w:rFonts w:ascii="Arial" w:cs="Arial" w:eastAsia="Arial" w:hAnsi="Arial"/>
                <w:sz w:val="11"/>
                <w:szCs w:val="11"/>
                <w:color w:val="auto"/>
              </w:rPr>
              <w:t>(71.1)</w:t>
            </w:r>
          </w:p>
        </w:tc>
        <w:tc>
          <w:tcPr>
            <w:tcW w:w="240" w:type="dxa"/>
            <w:vAlign w:val="bottom"/>
          </w:tcPr>
          <w:p>
            <w:pPr>
              <w:jc w:val="right"/>
              <w:spacing w:after="0" w:line="124" w:lineRule="exact"/>
              <w:rPr>
                <w:sz w:val="20"/>
                <w:szCs w:val="20"/>
                <w:color w:val="auto"/>
              </w:rPr>
            </w:pPr>
            <w:r>
              <w:rPr>
                <w:rFonts w:ascii="Arial" w:cs="Arial" w:eastAsia="Arial" w:hAnsi="Arial"/>
                <w:sz w:val="11"/>
                <w:szCs w:val="11"/>
                <w:color w:val="auto"/>
              </w:rPr>
              <w:t>$</w:t>
            </w:r>
          </w:p>
        </w:tc>
        <w:tc>
          <w:tcPr>
            <w:tcW w:w="760" w:type="dxa"/>
            <w:vAlign w:val="bottom"/>
            <w:gridSpan w:val="2"/>
          </w:tcPr>
          <w:p>
            <w:pPr>
              <w:jc w:val="right"/>
              <w:ind w:right="180"/>
              <w:spacing w:after="0" w:line="124" w:lineRule="exact"/>
              <w:rPr>
                <w:sz w:val="20"/>
                <w:szCs w:val="20"/>
                <w:color w:val="auto"/>
              </w:rPr>
            </w:pPr>
            <w:r>
              <w:rPr>
                <w:rFonts w:ascii="Arial" w:cs="Arial" w:eastAsia="Arial" w:hAnsi="Arial"/>
                <w:sz w:val="11"/>
                <w:szCs w:val="11"/>
                <w:color w:val="auto"/>
              </w:rPr>
              <w:t>(47.9)</w:t>
            </w:r>
          </w:p>
        </w:tc>
        <w:tc>
          <w:tcPr>
            <w:tcW w:w="240" w:type="dxa"/>
            <w:vAlign w:val="bottom"/>
          </w:tcPr>
          <w:p>
            <w:pPr>
              <w:jc w:val="right"/>
              <w:spacing w:after="0" w:line="124" w:lineRule="exact"/>
              <w:rPr>
                <w:sz w:val="20"/>
                <w:szCs w:val="20"/>
                <w:color w:val="auto"/>
              </w:rPr>
            </w:pPr>
            <w:r>
              <w:rPr>
                <w:rFonts w:ascii="Arial" w:cs="Arial" w:eastAsia="Arial" w:hAnsi="Arial"/>
                <w:sz w:val="11"/>
                <w:szCs w:val="11"/>
                <w:color w:val="auto"/>
              </w:rPr>
              <w:t>$</w:t>
            </w:r>
          </w:p>
        </w:tc>
        <w:tc>
          <w:tcPr>
            <w:tcW w:w="680" w:type="dxa"/>
            <w:vAlign w:val="bottom"/>
            <w:gridSpan w:val="2"/>
          </w:tcPr>
          <w:p>
            <w:pPr>
              <w:jc w:val="right"/>
              <w:ind w:right="40"/>
              <w:spacing w:after="0" w:line="124" w:lineRule="exact"/>
              <w:rPr>
                <w:sz w:val="20"/>
                <w:szCs w:val="20"/>
                <w:color w:val="auto"/>
              </w:rPr>
            </w:pPr>
            <w:r>
              <w:rPr>
                <w:rFonts w:ascii="Arial" w:cs="Arial" w:eastAsia="Arial" w:hAnsi="Arial"/>
                <w:sz w:val="11"/>
                <w:szCs w:val="11"/>
                <w:color w:val="auto"/>
              </w:rPr>
              <w:t>(195.6)</w:t>
            </w:r>
          </w:p>
        </w:tc>
      </w:tr>
      <w:tr>
        <w:trPr>
          <w:trHeight w:val="32"/>
        </w:trPr>
        <w:tc>
          <w:tcPr>
            <w:tcW w:w="4420" w:type="dxa"/>
            <w:vAlign w:val="bottom"/>
          </w:tcPr>
          <w:p>
            <w:pPr>
              <w:spacing w:after="0"/>
              <w:rPr>
                <w:sz w:val="2"/>
                <w:szCs w:val="2"/>
                <w:color w:val="auto"/>
              </w:rPr>
            </w:pPr>
          </w:p>
        </w:tc>
        <w:tc>
          <w:tcPr>
            <w:tcW w:w="280" w:type="dxa"/>
            <w:vAlign w:val="bottom"/>
            <w:tcBorders>
              <w:right w:val="single" w:sz="8" w:color="auto"/>
            </w:tcBorders>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Borders>
              <w:right w:val="single" w:sz="8" w:color="auto"/>
            </w:tcBorders>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Borders>
              <w:right w:val="single" w:sz="8" w:color="auto"/>
            </w:tcBorders>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131"/>
        </w:trPr>
        <w:tc>
          <w:tcPr>
            <w:tcW w:w="4420" w:type="dxa"/>
            <w:vAlign w:val="bottom"/>
            <w:shd w:val="clear" w:color="auto" w:fill="CCEEFF"/>
          </w:tcPr>
          <w:p>
            <w:pPr>
              <w:spacing w:after="0"/>
              <w:rPr>
                <w:sz w:val="20"/>
                <w:szCs w:val="20"/>
                <w:color w:val="auto"/>
              </w:rPr>
            </w:pPr>
            <w:r>
              <w:rPr>
                <w:rFonts w:ascii="Arial" w:cs="Arial" w:eastAsia="Arial" w:hAnsi="Arial"/>
                <w:sz w:val="11"/>
                <w:szCs w:val="11"/>
                <w:color w:val="auto"/>
              </w:rPr>
              <w:t>Net loss attributable to common stockholders</w:t>
            </w:r>
          </w:p>
        </w:tc>
        <w:tc>
          <w:tcPr>
            <w:tcW w:w="2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740" w:type="dxa"/>
            <w:vAlign w:val="bottom"/>
            <w:gridSpan w:val="2"/>
            <w:shd w:val="clear" w:color="auto" w:fill="CCEEFF"/>
          </w:tcPr>
          <w:p>
            <w:pPr>
              <w:jc w:val="right"/>
              <w:ind w:right="106"/>
              <w:spacing w:after="0"/>
              <w:rPr>
                <w:sz w:val="20"/>
                <w:szCs w:val="20"/>
                <w:color w:val="auto"/>
              </w:rPr>
            </w:pPr>
            <w:r>
              <w:rPr>
                <w:rFonts w:ascii="Arial" w:cs="Arial" w:eastAsia="Arial" w:hAnsi="Arial"/>
                <w:sz w:val="11"/>
                <w:szCs w:val="11"/>
                <w:color w:val="auto"/>
              </w:rPr>
              <w:t>(163.4)</w:t>
            </w:r>
          </w:p>
        </w:tc>
        <w:tc>
          <w:tcPr>
            <w:tcW w:w="2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1"/>
                <w:szCs w:val="11"/>
                <w:color w:val="auto"/>
              </w:rPr>
              <w:t>(47.9)</w:t>
            </w:r>
          </w:p>
        </w:tc>
        <w:tc>
          <w:tcPr>
            <w:tcW w:w="2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(245.7)</w:t>
            </w:r>
          </w:p>
        </w:tc>
      </w:tr>
      <w:tr>
        <w:trPr>
          <w:trHeight w:val="27"/>
        </w:trPr>
        <w:tc>
          <w:tcPr>
            <w:tcW w:w="4420" w:type="dxa"/>
            <w:vAlign w:val="bottom"/>
          </w:tcPr>
          <w:p>
            <w:pPr>
              <w:spacing w:after="0"/>
              <w:rPr>
                <w:sz w:val="2"/>
                <w:szCs w:val="2"/>
                <w:color w:val="auto"/>
              </w:rPr>
            </w:pPr>
          </w:p>
        </w:tc>
        <w:tc>
          <w:tcPr>
            <w:tcW w:w="280" w:type="dxa"/>
            <w:vAlign w:val="bottom"/>
            <w:tcBorders>
              <w:right w:val="single" w:sz="8" w:color="auto"/>
            </w:tcBorders>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Borders>
              <w:right w:val="single" w:sz="8" w:color="auto"/>
            </w:tcBorders>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Borders>
              <w:right w:val="single" w:sz="8" w:color="auto"/>
            </w:tcBorders>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147"/>
        </w:trPr>
        <w:tc>
          <w:tcPr>
            <w:tcW w:w="4420" w:type="dxa"/>
            <w:vAlign w:val="bottom"/>
          </w:tcPr>
          <w:p>
            <w:pPr>
              <w:spacing w:after="0"/>
              <w:rPr>
                <w:sz w:val="20"/>
                <w:szCs w:val="20"/>
                <w:color w:val="auto"/>
              </w:rPr>
            </w:pPr>
            <w:r>
              <w:rPr>
                <w:rFonts w:ascii="Arial" w:cs="Arial" w:eastAsia="Arial" w:hAnsi="Arial"/>
                <w:sz w:val="11"/>
                <w:szCs w:val="11"/>
                <w:color w:val="auto"/>
              </w:rPr>
              <w:t>Net loss per share attributable to common stockholders, basic and diluted</w:t>
            </w:r>
          </w:p>
        </w:tc>
        <w:tc>
          <w:tcPr>
            <w:tcW w:w="280" w:type="dxa"/>
            <w:vAlign w:val="bottom"/>
          </w:tcPr>
          <w:p>
            <w:pPr>
              <w:jc w:val="right"/>
              <w:spacing w:after="0"/>
              <w:rPr>
                <w:sz w:val="20"/>
                <w:szCs w:val="20"/>
                <w:color w:val="auto"/>
              </w:rPr>
            </w:pPr>
            <w:r>
              <w:rPr>
                <w:rFonts w:ascii="Arial" w:cs="Arial" w:eastAsia="Arial" w:hAnsi="Arial"/>
                <w:sz w:val="11"/>
                <w:szCs w:val="11"/>
                <w:color w:val="auto"/>
              </w:rPr>
              <w:t>$</w:t>
            </w:r>
          </w:p>
        </w:tc>
        <w:tc>
          <w:tcPr>
            <w:tcW w:w="740" w:type="dxa"/>
            <w:vAlign w:val="bottom"/>
            <w:gridSpan w:val="2"/>
          </w:tcPr>
          <w:p>
            <w:pPr>
              <w:jc w:val="right"/>
              <w:ind w:right="106"/>
              <w:spacing w:after="0"/>
              <w:rPr>
                <w:sz w:val="20"/>
                <w:szCs w:val="20"/>
                <w:color w:val="auto"/>
              </w:rPr>
            </w:pPr>
            <w:r>
              <w:rPr>
                <w:rFonts w:ascii="Arial" w:cs="Arial" w:eastAsia="Arial" w:hAnsi="Arial"/>
                <w:sz w:val="11"/>
                <w:szCs w:val="11"/>
                <w:color w:val="auto"/>
              </w:rPr>
              <w:t>(5.97)</w:t>
            </w:r>
          </w:p>
        </w:tc>
        <w:tc>
          <w:tcPr>
            <w:tcW w:w="240" w:type="dxa"/>
            <w:vAlign w:val="bottom"/>
          </w:tcPr>
          <w:p>
            <w:pPr>
              <w:jc w:val="right"/>
              <w:spacing w:after="0"/>
              <w:rPr>
                <w:sz w:val="20"/>
                <w:szCs w:val="20"/>
                <w:color w:val="auto"/>
              </w:rPr>
            </w:pPr>
            <w:r>
              <w:rPr>
                <w:rFonts w:ascii="Arial" w:cs="Arial" w:eastAsia="Arial" w:hAnsi="Arial"/>
                <w:sz w:val="11"/>
                <w:szCs w:val="11"/>
                <w:color w:val="auto"/>
              </w:rPr>
              <w:t>$</w:t>
            </w:r>
          </w:p>
        </w:tc>
        <w:tc>
          <w:tcPr>
            <w:tcW w:w="760" w:type="dxa"/>
            <w:vAlign w:val="bottom"/>
            <w:gridSpan w:val="2"/>
          </w:tcPr>
          <w:p>
            <w:pPr>
              <w:jc w:val="right"/>
              <w:ind w:right="180"/>
              <w:spacing w:after="0"/>
              <w:rPr>
                <w:sz w:val="20"/>
                <w:szCs w:val="20"/>
                <w:color w:val="auto"/>
              </w:rPr>
            </w:pPr>
            <w:r>
              <w:rPr>
                <w:rFonts w:ascii="Arial" w:cs="Arial" w:eastAsia="Arial" w:hAnsi="Arial"/>
                <w:sz w:val="11"/>
                <w:szCs w:val="11"/>
                <w:color w:val="auto"/>
              </w:rPr>
              <w:t>(2.18)</w:t>
            </w:r>
          </w:p>
        </w:tc>
        <w:tc>
          <w:tcPr>
            <w:tcW w:w="240" w:type="dxa"/>
            <w:vAlign w:val="bottom"/>
          </w:tcPr>
          <w:p>
            <w:pPr>
              <w:jc w:val="right"/>
              <w:spacing w:after="0"/>
              <w:rPr>
                <w:sz w:val="20"/>
                <w:szCs w:val="20"/>
                <w:color w:val="auto"/>
              </w:rPr>
            </w:pPr>
            <w:r>
              <w:rPr>
                <w:rFonts w:ascii="Arial" w:cs="Arial" w:eastAsia="Arial" w:hAnsi="Arial"/>
                <w:sz w:val="11"/>
                <w:szCs w:val="11"/>
                <w:color w:val="auto"/>
              </w:rPr>
              <w:t>$</w:t>
            </w:r>
          </w:p>
        </w:tc>
        <w:tc>
          <w:tcPr>
            <w:tcW w:w="680" w:type="dxa"/>
            <w:vAlign w:val="bottom"/>
            <w:gridSpan w:val="2"/>
          </w:tcPr>
          <w:p>
            <w:pPr>
              <w:jc w:val="right"/>
              <w:ind w:right="40"/>
              <w:spacing w:after="0"/>
              <w:rPr>
                <w:sz w:val="20"/>
                <w:szCs w:val="20"/>
                <w:color w:val="auto"/>
              </w:rPr>
            </w:pPr>
            <w:r>
              <w:rPr>
                <w:rFonts w:ascii="Arial" w:cs="Arial" w:eastAsia="Arial" w:hAnsi="Arial"/>
                <w:sz w:val="11"/>
                <w:szCs w:val="11"/>
                <w:color w:val="auto"/>
              </w:rPr>
              <w:t>(10.72)</w:t>
            </w:r>
          </w:p>
        </w:tc>
      </w:tr>
      <w:tr>
        <w:trPr>
          <w:trHeight w:val="138"/>
        </w:trPr>
        <w:tc>
          <w:tcPr>
            <w:tcW w:w="4420" w:type="dxa"/>
            <w:vAlign w:val="bottom"/>
            <w:shd w:val="clear" w:color="auto" w:fill="CCEEFF"/>
          </w:tcPr>
          <w:p>
            <w:pPr>
              <w:spacing w:after="0"/>
              <w:rPr>
                <w:sz w:val="20"/>
                <w:szCs w:val="20"/>
                <w:color w:val="auto"/>
              </w:rPr>
            </w:pPr>
            <w:r>
              <w:rPr>
                <w:rFonts w:ascii="Arial" w:cs="Arial" w:eastAsia="Arial" w:hAnsi="Arial"/>
                <w:sz w:val="11"/>
                <w:szCs w:val="11"/>
                <w:color w:val="auto"/>
              </w:rPr>
              <w:t>Weighted-average common shares outstanding, basic and diluted</w:t>
            </w:r>
          </w:p>
        </w:tc>
        <w:tc>
          <w:tcPr>
            <w:tcW w:w="280" w:type="dxa"/>
            <w:vAlign w:val="bottom"/>
            <w:tcBorders>
              <w:right w:val="single" w:sz="8" w:color="CCEEFF"/>
            </w:tcBorders>
            <w:shd w:val="clear" w:color="auto" w:fill="CCEEFF"/>
          </w:tcPr>
          <w:p>
            <w:pPr>
              <w:spacing w:after="0"/>
              <w:rPr>
                <w:sz w:val="11"/>
                <w:szCs w:val="11"/>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4"/>
              </w:rPr>
              <w:t>27,379,789</w:t>
            </w:r>
          </w:p>
        </w:tc>
        <w:tc>
          <w:tcPr>
            <w:tcW w:w="200" w:type="dxa"/>
            <w:vAlign w:val="bottom"/>
            <w:shd w:val="clear" w:color="auto" w:fill="CCEEFF"/>
          </w:tcPr>
          <w:p>
            <w:pPr>
              <w:spacing w:after="0"/>
              <w:rPr>
                <w:sz w:val="11"/>
                <w:szCs w:val="11"/>
                <w:color w:val="auto"/>
              </w:rPr>
            </w:pPr>
          </w:p>
        </w:tc>
        <w:tc>
          <w:tcPr>
            <w:tcW w:w="240" w:type="dxa"/>
            <w:vAlign w:val="bottom"/>
            <w:tcBorders>
              <w:right w:val="single" w:sz="8" w:color="CCEEFF"/>
            </w:tcBorders>
            <w:shd w:val="clear" w:color="auto" w:fill="CCEEFF"/>
          </w:tcPr>
          <w:p>
            <w:pPr>
              <w:spacing w:after="0"/>
              <w:rPr>
                <w:sz w:val="11"/>
                <w:szCs w:val="11"/>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8"/>
              </w:rPr>
              <w:t>21,934,228</w:t>
            </w:r>
          </w:p>
        </w:tc>
        <w:tc>
          <w:tcPr>
            <w:tcW w:w="200" w:type="dxa"/>
            <w:vAlign w:val="bottom"/>
            <w:shd w:val="clear" w:color="auto" w:fill="CCEEFF"/>
          </w:tcPr>
          <w:p>
            <w:pPr>
              <w:spacing w:after="0"/>
              <w:rPr>
                <w:sz w:val="11"/>
                <w:szCs w:val="11"/>
                <w:color w:val="auto"/>
              </w:rPr>
            </w:pPr>
          </w:p>
        </w:tc>
        <w:tc>
          <w:tcPr>
            <w:tcW w:w="240" w:type="dxa"/>
            <w:vAlign w:val="bottom"/>
            <w:tcBorders>
              <w:right w:val="single" w:sz="8" w:color="CCEEFF"/>
            </w:tcBorders>
            <w:shd w:val="clear" w:color="auto" w:fill="CCEEFF"/>
          </w:tcPr>
          <w:p>
            <w:pPr>
              <w:spacing w:after="0"/>
              <w:rPr>
                <w:sz w:val="11"/>
                <w:szCs w:val="11"/>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22,911,764</w:t>
            </w:r>
          </w:p>
        </w:tc>
        <w:tc>
          <w:tcPr>
            <w:tcW w:w="80" w:type="dxa"/>
            <w:vAlign w:val="bottom"/>
            <w:shd w:val="clear" w:color="auto" w:fill="CCEEFF"/>
          </w:tcPr>
          <w:p>
            <w:pPr>
              <w:spacing w:after="0"/>
              <w:rPr>
                <w:sz w:val="11"/>
                <w:szCs w:val="11"/>
                <w:color w:val="auto"/>
              </w:rPr>
            </w:pPr>
          </w:p>
        </w:tc>
      </w:tr>
      <w:tr>
        <w:trPr>
          <w:trHeight w:val="136"/>
        </w:trPr>
        <w:tc>
          <w:tcPr>
            <w:tcW w:w="4420" w:type="dxa"/>
            <w:vAlign w:val="bottom"/>
          </w:tcPr>
          <w:p>
            <w:pPr>
              <w:spacing w:after="0"/>
              <w:rPr>
                <w:sz w:val="20"/>
                <w:szCs w:val="20"/>
                <w:color w:val="auto"/>
              </w:rPr>
            </w:pPr>
            <w:r>
              <w:rPr>
                <w:rFonts w:ascii="Arial" w:cs="Arial" w:eastAsia="Arial" w:hAnsi="Arial"/>
                <w:sz w:val="11"/>
                <w:szCs w:val="11"/>
                <w:color w:val="auto"/>
              </w:rPr>
              <w:t>Pro forma net loss per share attributable to common stockholders, basic and diluted</w:t>
            </w:r>
          </w:p>
        </w:tc>
        <w:tc>
          <w:tcPr>
            <w:tcW w:w="2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145"/>
        </w:trPr>
        <w:tc>
          <w:tcPr>
            <w:tcW w:w="4420" w:type="dxa"/>
            <w:vAlign w:val="bottom"/>
          </w:tcPr>
          <w:p>
            <w:pPr>
              <w:ind w:left="100"/>
              <w:spacing w:after="0"/>
              <w:rPr>
                <w:sz w:val="20"/>
                <w:szCs w:val="20"/>
                <w:color w:val="auto"/>
              </w:rPr>
            </w:pPr>
            <w:r>
              <w:rPr>
                <w:rFonts w:ascii="Arial" w:cs="Arial" w:eastAsia="Arial" w:hAnsi="Arial"/>
                <w:sz w:val="11"/>
                <w:szCs w:val="11"/>
                <w:color w:val="auto"/>
              </w:rPr>
              <w:t>(unaudited)</w:t>
            </w:r>
          </w:p>
        </w:tc>
        <w:tc>
          <w:tcPr>
            <w:tcW w:w="2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jc w:val="right"/>
              <w:spacing w:after="0"/>
              <w:rPr>
                <w:sz w:val="20"/>
                <w:szCs w:val="20"/>
                <w:color w:val="auto"/>
              </w:rPr>
            </w:pPr>
            <w:r>
              <w:rPr>
                <w:rFonts w:ascii="Arial" w:cs="Arial" w:eastAsia="Arial" w:hAnsi="Arial"/>
                <w:sz w:val="11"/>
                <w:szCs w:val="11"/>
                <w:color w:val="auto"/>
              </w:rPr>
              <w:t>$</w:t>
            </w:r>
          </w:p>
        </w:tc>
        <w:tc>
          <w:tcPr>
            <w:tcW w:w="680" w:type="dxa"/>
            <w:vAlign w:val="bottom"/>
            <w:gridSpan w:val="2"/>
          </w:tcPr>
          <w:p>
            <w:pPr>
              <w:jc w:val="right"/>
              <w:ind w:right="40"/>
              <w:spacing w:after="0"/>
              <w:rPr>
                <w:sz w:val="20"/>
                <w:szCs w:val="20"/>
                <w:color w:val="auto"/>
              </w:rPr>
            </w:pPr>
            <w:r>
              <w:rPr>
                <w:rFonts w:ascii="Arial" w:cs="Arial" w:eastAsia="Arial" w:hAnsi="Arial"/>
                <w:sz w:val="11"/>
                <w:szCs w:val="11"/>
                <w:color w:val="auto"/>
              </w:rPr>
              <w:t>(0.84)</w:t>
            </w:r>
          </w:p>
        </w:tc>
      </w:tr>
      <w:tr>
        <w:trPr>
          <w:trHeight w:val="138"/>
        </w:trPr>
        <w:tc>
          <w:tcPr>
            <w:tcW w:w="4420" w:type="dxa"/>
            <w:vAlign w:val="bottom"/>
            <w:shd w:val="clear" w:color="auto" w:fill="CCEEFF"/>
          </w:tcPr>
          <w:p>
            <w:pPr>
              <w:spacing w:after="0"/>
              <w:rPr>
                <w:sz w:val="20"/>
                <w:szCs w:val="20"/>
                <w:color w:val="auto"/>
              </w:rPr>
            </w:pPr>
            <w:r>
              <w:rPr>
                <w:rFonts w:ascii="Arial" w:cs="Arial" w:eastAsia="Arial" w:hAnsi="Arial"/>
                <w:sz w:val="11"/>
                <w:szCs w:val="11"/>
                <w:color w:val="auto"/>
              </w:rPr>
              <w:t>Pro forma weighted-average common shares outstanding, basic and diluted (unaudited)</w:t>
            </w:r>
          </w:p>
        </w:tc>
        <w:tc>
          <w:tcPr>
            <w:tcW w:w="280" w:type="dxa"/>
            <w:vAlign w:val="bottom"/>
            <w:tcBorders>
              <w:right w:val="single" w:sz="8" w:color="CCEEFF"/>
            </w:tcBorders>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40" w:type="dxa"/>
            <w:vAlign w:val="bottom"/>
            <w:tcBorders>
              <w:right w:val="single" w:sz="8" w:color="CCEEFF"/>
            </w:tcBorders>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40" w:type="dxa"/>
            <w:vAlign w:val="bottom"/>
            <w:tcBorders>
              <w:right w:val="single" w:sz="8" w:color="CCEEFF"/>
            </w:tcBorders>
            <w:shd w:val="clear" w:color="auto" w:fill="CCEEFF"/>
          </w:tcPr>
          <w:p>
            <w:pPr>
              <w:spacing w:after="0"/>
              <w:rPr>
                <w:sz w:val="11"/>
                <w:szCs w:val="11"/>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4"/>
              </w:rPr>
              <w:t>233,552,393</w:t>
            </w:r>
          </w:p>
        </w:tc>
        <w:tc>
          <w:tcPr>
            <w:tcW w:w="80" w:type="dxa"/>
            <w:vAlign w:val="bottom"/>
            <w:shd w:val="clear" w:color="auto" w:fill="CCEEFF"/>
          </w:tcPr>
          <w:p>
            <w:pPr>
              <w:spacing w:after="0"/>
              <w:rPr>
                <w:sz w:val="11"/>
                <w:szCs w:val="11"/>
                <w:color w:val="auto"/>
              </w:rPr>
            </w:pPr>
          </w:p>
        </w:tc>
      </w:tr>
      <w:tr>
        <w:trPr>
          <w:trHeight w:val="135"/>
        </w:trPr>
        <w:tc>
          <w:tcPr>
            <w:tcW w:w="4420" w:type="dxa"/>
            <w:vAlign w:val="bottom"/>
          </w:tcPr>
          <w:p>
            <w:pPr>
              <w:spacing w:after="0"/>
              <w:rPr>
                <w:sz w:val="20"/>
                <w:szCs w:val="20"/>
                <w:color w:val="auto"/>
              </w:rPr>
            </w:pPr>
            <w:r>
              <w:rPr>
                <w:rFonts w:ascii="Arial" w:cs="Arial" w:eastAsia="Arial" w:hAnsi="Arial"/>
                <w:sz w:val="11"/>
                <w:szCs w:val="11"/>
                <w:color w:val="auto"/>
              </w:rPr>
              <w:t>Other comprehensive income:</w:t>
            </w:r>
          </w:p>
        </w:tc>
        <w:tc>
          <w:tcPr>
            <w:tcW w:w="2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126"/>
        </w:trPr>
        <w:tc>
          <w:tcPr>
            <w:tcW w:w="4420" w:type="dxa"/>
            <w:vAlign w:val="bottom"/>
            <w:shd w:val="clear" w:color="auto" w:fill="CCEEFF"/>
          </w:tcPr>
          <w:p>
            <w:pPr>
              <w:ind w:left="220"/>
              <w:spacing w:after="0"/>
              <w:rPr>
                <w:sz w:val="20"/>
                <w:szCs w:val="20"/>
                <w:color w:val="auto"/>
              </w:rPr>
            </w:pPr>
            <w:r>
              <w:rPr>
                <w:rFonts w:ascii="Arial" w:cs="Arial" w:eastAsia="Arial" w:hAnsi="Arial"/>
                <w:sz w:val="11"/>
                <w:szCs w:val="11"/>
                <w:color w:val="auto"/>
              </w:rPr>
              <w:t>Change in unrealized gain (loss) on marketable securities</w:t>
            </w:r>
          </w:p>
        </w:tc>
        <w:tc>
          <w:tcPr>
            <w:tcW w:w="2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740" w:type="dxa"/>
            <w:vAlign w:val="bottom"/>
            <w:gridSpan w:val="2"/>
            <w:shd w:val="clear" w:color="auto" w:fill="CCEEFF"/>
          </w:tcPr>
          <w:p>
            <w:pPr>
              <w:jc w:val="right"/>
              <w:ind w:right="146"/>
              <w:spacing w:after="0"/>
              <w:rPr>
                <w:sz w:val="20"/>
                <w:szCs w:val="20"/>
                <w:color w:val="auto"/>
              </w:rPr>
            </w:pPr>
            <w:r>
              <w:rPr>
                <w:rFonts w:ascii="Arial" w:cs="Arial" w:eastAsia="Arial" w:hAnsi="Arial"/>
                <w:sz w:val="11"/>
                <w:szCs w:val="11"/>
                <w:color w:val="auto"/>
              </w:rPr>
              <w:t>—</w:t>
            </w:r>
          </w:p>
        </w:tc>
        <w:tc>
          <w:tcPr>
            <w:tcW w:w="2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2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0.2</w:t>
            </w:r>
          </w:p>
        </w:tc>
        <w:tc>
          <w:tcPr>
            <w:tcW w:w="80" w:type="dxa"/>
            <w:vAlign w:val="bottom"/>
            <w:shd w:val="clear" w:color="auto" w:fill="CCEEFF"/>
          </w:tcPr>
          <w:p>
            <w:pPr>
              <w:spacing w:after="0"/>
              <w:rPr>
                <w:sz w:val="10"/>
                <w:szCs w:val="10"/>
                <w:color w:val="auto"/>
              </w:rPr>
            </w:pPr>
          </w:p>
        </w:tc>
      </w:tr>
      <w:tr>
        <w:trPr>
          <w:trHeight w:val="20"/>
        </w:trPr>
        <w:tc>
          <w:tcPr>
            <w:tcW w:w="4420" w:type="dxa"/>
            <w:vAlign w:val="bottom"/>
          </w:tcPr>
          <w:p>
            <w:pPr>
              <w:spacing w:after="0" w:line="20" w:lineRule="exact"/>
              <w:rPr>
                <w:sz w:val="1"/>
                <w:szCs w:val="1"/>
                <w:color w:val="auto"/>
              </w:rPr>
            </w:pPr>
          </w:p>
        </w:tc>
        <w:tc>
          <w:tcPr>
            <w:tcW w:w="280" w:type="dxa"/>
            <w:vAlign w:val="bottom"/>
            <w:tcBorders>
              <w:right w:val="single" w:sz="8" w:color="auto"/>
            </w:tcBorders>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24"/>
        </w:trPr>
        <w:tc>
          <w:tcPr>
            <w:tcW w:w="4420" w:type="dxa"/>
            <w:vAlign w:val="bottom"/>
          </w:tcPr>
          <w:p>
            <w:pPr>
              <w:spacing w:after="0" w:line="124" w:lineRule="exact"/>
              <w:rPr>
                <w:sz w:val="20"/>
                <w:szCs w:val="20"/>
                <w:color w:val="auto"/>
              </w:rPr>
            </w:pPr>
            <w:r>
              <w:rPr>
                <w:rFonts w:ascii="Arial" w:cs="Arial" w:eastAsia="Arial" w:hAnsi="Arial"/>
                <w:sz w:val="11"/>
                <w:szCs w:val="11"/>
                <w:color w:val="auto"/>
              </w:rPr>
              <w:t>Total other comprehensive income</w:t>
            </w:r>
          </w:p>
        </w:tc>
        <w:tc>
          <w:tcPr>
            <w:tcW w:w="280" w:type="dxa"/>
            <w:vAlign w:val="bottom"/>
          </w:tcPr>
          <w:p>
            <w:pPr>
              <w:spacing w:after="0"/>
              <w:rPr>
                <w:sz w:val="10"/>
                <w:szCs w:val="10"/>
                <w:color w:val="auto"/>
              </w:rPr>
            </w:pPr>
          </w:p>
        </w:tc>
        <w:tc>
          <w:tcPr>
            <w:tcW w:w="740" w:type="dxa"/>
            <w:vAlign w:val="bottom"/>
            <w:gridSpan w:val="2"/>
          </w:tcPr>
          <w:p>
            <w:pPr>
              <w:jc w:val="right"/>
              <w:ind w:right="146"/>
              <w:spacing w:after="0" w:line="124" w:lineRule="exact"/>
              <w:rPr>
                <w:sz w:val="20"/>
                <w:szCs w:val="20"/>
                <w:color w:val="auto"/>
              </w:rPr>
            </w:pPr>
            <w:r>
              <w:rPr>
                <w:rFonts w:ascii="Arial" w:cs="Arial" w:eastAsia="Arial" w:hAnsi="Arial"/>
                <w:sz w:val="11"/>
                <w:szCs w:val="11"/>
                <w:color w:val="auto"/>
              </w:rPr>
              <w:t>—</w:t>
            </w:r>
          </w:p>
        </w:tc>
        <w:tc>
          <w:tcPr>
            <w:tcW w:w="240" w:type="dxa"/>
            <w:vAlign w:val="bottom"/>
          </w:tcPr>
          <w:p>
            <w:pPr>
              <w:spacing w:after="0"/>
              <w:rPr>
                <w:sz w:val="10"/>
                <w:szCs w:val="10"/>
                <w:color w:val="auto"/>
              </w:rPr>
            </w:pPr>
          </w:p>
        </w:tc>
        <w:tc>
          <w:tcPr>
            <w:tcW w:w="760" w:type="dxa"/>
            <w:vAlign w:val="bottom"/>
            <w:gridSpan w:val="2"/>
          </w:tcPr>
          <w:p>
            <w:pPr>
              <w:jc w:val="right"/>
              <w:ind w:right="200"/>
              <w:spacing w:after="0" w:line="124" w:lineRule="exact"/>
              <w:rPr>
                <w:sz w:val="20"/>
                <w:szCs w:val="20"/>
                <w:color w:val="auto"/>
              </w:rPr>
            </w:pPr>
            <w:r>
              <w:rPr>
                <w:rFonts w:ascii="Arial" w:cs="Arial" w:eastAsia="Arial" w:hAnsi="Arial"/>
                <w:sz w:val="11"/>
                <w:szCs w:val="11"/>
                <w:color w:val="auto"/>
              </w:rPr>
              <w:t>—</w:t>
            </w:r>
          </w:p>
        </w:tc>
        <w:tc>
          <w:tcPr>
            <w:tcW w:w="240" w:type="dxa"/>
            <w:vAlign w:val="bottom"/>
          </w:tcPr>
          <w:p>
            <w:pPr>
              <w:spacing w:after="0"/>
              <w:rPr>
                <w:sz w:val="10"/>
                <w:szCs w:val="10"/>
                <w:color w:val="auto"/>
              </w:rPr>
            </w:pPr>
          </w:p>
        </w:tc>
        <w:tc>
          <w:tcPr>
            <w:tcW w:w="600" w:type="dxa"/>
            <w:vAlign w:val="bottom"/>
          </w:tcPr>
          <w:p>
            <w:pPr>
              <w:jc w:val="right"/>
              <w:spacing w:after="0" w:line="124" w:lineRule="exact"/>
              <w:rPr>
                <w:sz w:val="20"/>
                <w:szCs w:val="20"/>
                <w:color w:val="auto"/>
              </w:rPr>
            </w:pPr>
            <w:r>
              <w:rPr>
                <w:rFonts w:ascii="Arial" w:cs="Arial" w:eastAsia="Arial" w:hAnsi="Arial"/>
                <w:sz w:val="11"/>
                <w:szCs w:val="11"/>
                <w:color w:val="auto"/>
              </w:rPr>
              <w:t>0.2</w:t>
            </w:r>
          </w:p>
        </w:tc>
        <w:tc>
          <w:tcPr>
            <w:tcW w:w="80" w:type="dxa"/>
            <w:vAlign w:val="bottom"/>
          </w:tcPr>
          <w:p>
            <w:pPr>
              <w:spacing w:after="0"/>
              <w:rPr>
                <w:sz w:val="10"/>
                <w:szCs w:val="10"/>
                <w:color w:val="auto"/>
              </w:rPr>
            </w:pPr>
          </w:p>
        </w:tc>
      </w:tr>
      <w:tr>
        <w:trPr>
          <w:trHeight w:val="20"/>
        </w:trPr>
        <w:tc>
          <w:tcPr>
            <w:tcW w:w="4420" w:type="dxa"/>
            <w:vAlign w:val="bottom"/>
          </w:tcPr>
          <w:p>
            <w:pPr>
              <w:spacing w:after="0" w:line="20" w:lineRule="exact"/>
              <w:rPr>
                <w:sz w:val="1"/>
                <w:szCs w:val="1"/>
                <w:color w:val="auto"/>
              </w:rPr>
            </w:pPr>
          </w:p>
        </w:tc>
        <w:tc>
          <w:tcPr>
            <w:tcW w:w="280" w:type="dxa"/>
            <w:vAlign w:val="bottom"/>
            <w:tcBorders>
              <w:right w:val="single" w:sz="8" w:color="auto"/>
            </w:tcBorders>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24"/>
        </w:trPr>
        <w:tc>
          <w:tcPr>
            <w:tcW w:w="4420" w:type="dxa"/>
            <w:vAlign w:val="bottom"/>
            <w:shd w:val="clear" w:color="auto" w:fill="CCEEFF"/>
          </w:tcPr>
          <w:p>
            <w:pPr>
              <w:spacing w:after="0" w:line="124" w:lineRule="exact"/>
              <w:rPr>
                <w:sz w:val="20"/>
                <w:szCs w:val="20"/>
                <w:color w:val="auto"/>
              </w:rPr>
            </w:pPr>
            <w:r>
              <w:rPr>
                <w:rFonts w:ascii="Arial" w:cs="Arial" w:eastAsia="Arial" w:hAnsi="Arial"/>
                <w:sz w:val="11"/>
                <w:szCs w:val="11"/>
                <w:color w:val="auto"/>
              </w:rPr>
              <w:t>Comprehensive loss</w:t>
            </w:r>
          </w:p>
        </w:tc>
        <w:tc>
          <w:tcPr>
            <w:tcW w:w="280" w:type="dxa"/>
            <w:vAlign w:val="bottom"/>
            <w:tcBorders>
              <w:right w:val="single" w:sz="8" w:color="CCEEFF"/>
            </w:tcBorders>
            <w:shd w:val="clear" w:color="auto" w:fill="CCEEFF"/>
          </w:tcPr>
          <w:p>
            <w:pPr>
              <w:jc w:val="right"/>
              <w:spacing w:after="0" w:line="124" w:lineRule="exact"/>
              <w:rPr>
                <w:sz w:val="20"/>
                <w:szCs w:val="20"/>
                <w:color w:val="auto"/>
              </w:rPr>
            </w:pPr>
            <w:r>
              <w:rPr>
                <w:rFonts w:ascii="Arial" w:cs="Arial" w:eastAsia="Arial" w:hAnsi="Arial"/>
                <w:sz w:val="11"/>
                <w:szCs w:val="11"/>
                <w:color w:val="auto"/>
              </w:rPr>
              <w:t>$</w:t>
            </w:r>
          </w:p>
        </w:tc>
        <w:tc>
          <w:tcPr>
            <w:tcW w:w="740" w:type="dxa"/>
            <w:vAlign w:val="bottom"/>
            <w:gridSpan w:val="2"/>
            <w:shd w:val="clear" w:color="auto" w:fill="CCEEFF"/>
          </w:tcPr>
          <w:p>
            <w:pPr>
              <w:jc w:val="right"/>
              <w:ind w:right="106"/>
              <w:spacing w:after="0" w:line="124" w:lineRule="exact"/>
              <w:rPr>
                <w:sz w:val="20"/>
                <w:szCs w:val="20"/>
                <w:color w:val="auto"/>
              </w:rPr>
            </w:pPr>
            <w:r>
              <w:rPr>
                <w:rFonts w:ascii="Arial" w:cs="Arial" w:eastAsia="Arial" w:hAnsi="Arial"/>
                <w:sz w:val="11"/>
                <w:szCs w:val="11"/>
                <w:color w:val="auto"/>
              </w:rPr>
              <w:t>(71.1)</w:t>
            </w:r>
          </w:p>
        </w:tc>
        <w:tc>
          <w:tcPr>
            <w:tcW w:w="240" w:type="dxa"/>
            <w:vAlign w:val="bottom"/>
            <w:tcBorders>
              <w:right w:val="single" w:sz="8" w:color="CCEEFF"/>
            </w:tcBorders>
            <w:shd w:val="clear" w:color="auto" w:fill="CCEEFF"/>
          </w:tcPr>
          <w:p>
            <w:pPr>
              <w:jc w:val="right"/>
              <w:spacing w:after="0" w:line="124" w:lineRule="exact"/>
              <w:rPr>
                <w:sz w:val="20"/>
                <w:szCs w:val="20"/>
                <w:color w:val="auto"/>
              </w:rPr>
            </w:pPr>
            <w:r>
              <w:rPr>
                <w:rFonts w:ascii="Arial" w:cs="Arial" w:eastAsia="Arial" w:hAnsi="Arial"/>
                <w:sz w:val="11"/>
                <w:szCs w:val="11"/>
                <w:color w:val="auto"/>
              </w:rPr>
              <w:t>$</w:t>
            </w:r>
          </w:p>
        </w:tc>
        <w:tc>
          <w:tcPr>
            <w:tcW w:w="760" w:type="dxa"/>
            <w:vAlign w:val="bottom"/>
            <w:gridSpan w:val="2"/>
            <w:shd w:val="clear" w:color="auto" w:fill="CCEEFF"/>
          </w:tcPr>
          <w:p>
            <w:pPr>
              <w:jc w:val="right"/>
              <w:ind w:right="180"/>
              <w:spacing w:after="0" w:line="124" w:lineRule="exact"/>
              <w:rPr>
                <w:sz w:val="20"/>
                <w:szCs w:val="20"/>
                <w:color w:val="auto"/>
              </w:rPr>
            </w:pPr>
            <w:r>
              <w:rPr>
                <w:rFonts w:ascii="Arial" w:cs="Arial" w:eastAsia="Arial" w:hAnsi="Arial"/>
                <w:sz w:val="11"/>
                <w:szCs w:val="11"/>
                <w:color w:val="auto"/>
              </w:rPr>
              <w:t>(47.9)</w:t>
            </w:r>
          </w:p>
        </w:tc>
        <w:tc>
          <w:tcPr>
            <w:tcW w:w="240" w:type="dxa"/>
            <w:vAlign w:val="bottom"/>
            <w:tcBorders>
              <w:right w:val="single" w:sz="8" w:color="CCEEFF"/>
            </w:tcBorders>
            <w:shd w:val="clear" w:color="auto" w:fill="CCEEFF"/>
          </w:tcPr>
          <w:p>
            <w:pPr>
              <w:jc w:val="right"/>
              <w:spacing w:after="0" w:line="124" w:lineRule="exact"/>
              <w:rPr>
                <w:sz w:val="20"/>
                <w:szCs w:val="20"/>
                <w:color w:val="auto"/>
              </w:rPr>
            </w:pPr>
            <w:r>
              <w:rPr>
                <w:rFonts w:ascii="Arial" w:cs="Arial" w:eastAsia="Arial" w:hAnsi="Arial"/>
                <w:sz w:val="11"/>
                <w:szCs w:val="11"/>
                <w:color w:val="auto"/>
              </w:rPr>
              <w:t>$</w:t>
            </w:r>
          </w:p>
        </w:tc>
        <w:tc>
          <w:tcPr>
            <w:tcW w:w="680" w:type="dxa"/>
            <w:vAlign w:val="bottom"/>
            <w:gridSpan w:val="2"/>
            <w:shd w:val="clear" w:color="auto" w:fill="CCEEFF"/>
          </w:tcPr>
          <w:p>
            <w:pPr>
              <w:jc w:val="right"/>
              <w:ind w:right="40"/>
              <w:spacing w:after="0" w:line="124" w:lineRule="exact"/>
              <w:rPr>
                <w:sz w:val="20"/>
                <w:szCs w:val="20"/>
                <w:color w:val="auto"/>
              </w:rPr>
            </w:pPr>
            <w:r>
              <w:rPr>
                <w:rFonts w:ascii="Arial" w:cs="Arial" w:eastAsia="Arial" w:hAnsi="Arial"/>
                <w:sz w:val="11"/>
                <w:szCs w:val="11"/>
                <w:color w:val="auto"/>
              </w:rPr>
              <w:t>(195.4)</w:t>
            </w:r>
          </w:p>
        </w:tc>
      </w:tr>
      <w:tr>
        <w:trPr>
          <w:trHeight w:val="27"/>
        </w:trPr>
        <w:tc>
          <w:tcPr>
            <w:tcW w:w="4420" w:type="dxa"/>
            <w:vAlign w:val="bottom"/>
          </w:tcPr>
          <w:p>
            <w:pPr>
              <w:spacing w:after="0"/>
              <w:rPr>
                <w:sz w:val="2"/>
                <w:szCs w:val="2"/>
                <w:color w:val="auto"/>
              </w:rPr>
            </w:pPr>
          </w:p>
        </w:tc>
        <w:tc>
          <w:tcPr>
            <w:tcW w:w="280" w:type="dxa"/>
            <w:vAlign w:val="bottom"/>
            <w:tcBorders>
              <w:right w:val="single" w:sz="8" w:color="auto"/>
            </w:tcBorders>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Borders>
              <w:right w:val="single" w:sz="8" w:color="auto"/>
            </w:tcBorders>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Borders>
              <w:right w:val="single" w:sz="8" w:color="auto"/>
            </w:tcBorders>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bl>
    <w:p>
      <w:pPr>
        <w:spacing w:after="0" w:line="154" w:lineRule="exact"/>
        <w:rPr>
          <w:sz w:val="20"/>
          <w:szCs w:val="20"/>
          <w:color w:val="auto"/>
        </w:rPr>
      </w:pPr>
    </w:p>
    <w:p>
      <w:pPr>
        <w:jc w:val="center"/>
        <w:ind w:right="-1220"/>
        <w:spacing w:after="0"/>
        <w:rPr>
          <w:sz w:val="20"/>
          <w:szCs w:val="20"/>
          <w:color w:val="auto"/>
        </w:rPr>
      </w:pPr>
      <w:r>
        <w:rPr>
          <w:rFonts w:ascii="Arial" w:cs="Arial" w:eastAsia="Arial" w:hAnsi="Arial"/>
          <w:sz w:val="11"/>
          <w:szCs w:val="11"/>
          <w:color w:val="auto"/>
        </w:rPr>
        <w:t>See accompanying notes to these consolidated financial statements.</w:t>
      </w:r>
    </w:p>
    <w:p>
      <w:pPr>
        <w:spacing w:after="0" w:line="99" w:lineRule="exact"/>
        <w:rPr>
          <w:sz w:val="20"/>
          <w:szCs w:val="20"/>
          <w:color w:val="auto"/>
        </w:rPr>
      </w:pPr>
    </w:p>
    <w:p>
      <w:pPr>
        <w:jc w:val="center"/>
        <w:ind w:right="-1220"/>
        <w:spacing w:after="0"/>
        <w:rPr>
          <w:sz w:val="20"/>
          <w:szCs w:val="20"/>
          <w:color w:val="auto"/>
        </w:rPr>
      </w:pPr>
      <w:r>
        <w:rPr>
          <w:rFonts w:ascii="Arial" w:cs="Arial" w:eastAsia="Arial" w:hAnsi="Arial"/>
          <w:sz w:val="11"/>
          <w:szCs w:val="11"/>
          <w:color w:val="auto"/>
        </w:rPr>
        <w:t>F-4</w:t>
      </w:r>
    </w:p>
    <w:p>
      <w:pPr>
        <w:sectPr>
          <w:pgSz w:w="11900" w:h="16838" w:orient="portrait"/>
          <w:cols w:equalWidth="0" w:num="1">
            <w:col w:w="10239"/>
          </w:cols>
          <w:pgMar w:left="220" w:top="354" w:right="1440" w:bottom="1440" w:gutter="0" w:footer="0" w:header="0"/>
        </w:sectPr>
      </w:pPr>
    </w:p>
    <w:bookmarkStart w:id="168" w:name="page169"/>
    <w:bookmarkEnd w:id="168"/>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hyperlink w:anchor="page5">
        <w:r>
          <w:rPr>
            <w:rFonts w:ascii="Arial" w:cs="Arial" w:eastAsia="Arial" w:hAnsi="Arial"/>
            <w:sz w:val="12"/>
            <w:szCs w:val="12"/>
            <w:b w:val="1"/>
            <w:bCs w:val="1"/>
            <w:u w:val="single" w:color="auto"/>
            <w:color w:val="0000EE"/>
          </w:rPr>
          <w:t>Table of Contents</w:t>
        </w:r>
      </w:hyperlink>
    </w:p>
    <w:p>
      <w:pPr>
        <w:spacing w:after="0" w:line="200" w:lineRule="exact"/>
        <w:rPr>
          <w:sz w:val="20"/>
          <w:szCs w:val="20"/>
          <w:color w:val="auto"/>
        </w:rPr>
      </w:pPr>
    </w:p>
    <w:p>
      <w:pPr>
        <w:jc w:val="center"/>
        <w:ind w:right="-1220"/>
        <w:spacing w:after="0"/>
        <w:rPr>
          <w:sz w:val="20"/>
          <w:szCs w:val="20"/>
          <w:color w:val="auto"/>
        </w:rPr>
      </w:pPr>
      <w:r>
        <w:rPr>
          <w:rFonts w:ascii="Arial" w:cs="Arial" w:eastAsia="Arial" w:hAnsi="Arial"/>
          <w:sz w:val="12"/>
          <w:szCs w:val="12"/>
          <w:b w:val="1"/>
          <w:bCs w:val="1"/>
          <w:color w:val="auto"/>
        </w:rPr>
        <w:t>PELOTON INTERACTIVE, INC.</w:t>
      </w:r>
    </w:p>
    <w:p>
      <w:pPr>
        <w:spacing w:after="0" w:line="10" w:lineRule="exact"/>
        <w:rPr>
          <w:sz w:val="20"/>
          <w:szCs w:val="20"/>
          <w:color w:val="auto"/>
        </w:rPr>
      </w:pPr>
    </w:p>
    <w:p>
      <w:pPr>
        <w:jc w:val="center"/>
        <w:ind w:right="-1220"/>
        <w:spacing w:after="0"/>
        <w:rPr>
          <w:sz w:val="20"/>
          <w:szCs w:val="20"/>
          <w:color w:val="auto"/>
        </w:rPr>
      </w:pPr>
      <w:r>
        <w:rPr>
          <w:rFonts w:ascii="Arial" w:cs="Arial" w:eastAsia="Arial" w:hAnsi="Arial"/>
          <w:sz w:val="12"/>
          <w:szCs w:val="12"/>
          <w:b w:val="1"/>
          <w:bCs w:val="1"/>
          <w:color w:val="auto"/>
        </w:rPr>
        <w:t>CONSOLIDATED STATEMENTS OF CASH FLOWS</w:t>
      </w:r>
    </w:p>
    <w:p>
      <w:pPr>
        <w:ind w:left="5440"/>
        <w:spacing w:after="0"/>
        <w:rPr>
          <w:sz w:val="20"/>
          <w:szCs w:val="20"/>
          <w:color w:val="auto"/>
        </w:rPr>
      </w:pPr>
      <w:r>
        <w:rPr>
          <w:rFonts w:ascii="Arial" w:cs="Arial" w:eastAsia="Arial" w:hAnsi="Arial"/>
          <w:sz w:val="11"/>
          <w:szCs w:val="11"/>
          <w:b w:val="1"/>
          <w:bCs w:val="1"/>
          <w:color w:val="auto"/>
        </w:rPr>
        <w:t>(in millions)</w:t>
      </w:r>
    </w:p>
    <w:p>
      <w:pPr>
        <w:spacing w:after="0" w:line="149" w:lineRule="exact"/>
        <w:rPr>
          <w:sz w:val="20"/>
          <w:szCs w:val="20"/>
          <w:color w:val="auto"/>
        </w:rPr>
      </w:pPr>
    </w:p>
    <w:tbl>
      <w:tblPr>
        <w:tblLayout w:type="fixed"/>
        <w:tblInd w:w="2060" w:type="dxa"/>
        <w:tblCellMar>
          <w:top w:w="0" w:type="dxa"/>
          <w:left w:w="0" w:type="dxa"/>
          <w:bottom w:w="0" w:type="dxa"/>
          <w:right w:w="0" w:type="dxa"/>
        </w:tblCellMar>
      </w:tblPr>
      <w:tr>
        <w:trPr>
          <w:trHeight w:val="126"/>
        </w:trPr>
        <w:tc>
          <w:tcPr>
            <w:tcW w:w="5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960" w:type="dxa"/>
            <w:vAlign w:val="bottom"/>
            <w:gridSpan w:val="4"/>
          </w:tcPr>
          <w:p>
            <w:pPr>
              <w:jc w:val="center"/>
              <w:spacing w:after="0"/>
              <w:rPr>
                <w:sz w:val="20"/>
                <w:szCs w:val="20"/>
                <w:color w:val="auto"/>
              </w:rPr>
            </w:pPr>
            <w:r>
              <w:rPr>
                <w:rFonts w:ascii="Arial" w:cs="Arial" w:eastAsia="Arial" w:hAnsi="Arial"/>
                <w:sz w:val="11"/>
                <w:szCs w:val="11"/>
                <w:b w:val="1"/>
                <w:bCs w:val="1"/>
                <w:color w:val="auto"/>
                <w:w w:val="97"/>
              </w:rPr>
              <w:t>Fiscal Year Ended</w:t>
            </w: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r>
      <w:tr>
        <w:trPr>
          <w:trHeight w:val="137"/>
        </w:trPr>
        <w:tc>
          <w:tcPr>
            <w:tcW w:w="528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gridSpan w:val="3"/>
          </w:tcPr>
          <w:p>
            <w:pPr>
              <w:jc w:val="center"/>
              <w:ind w:right="240"/>
              <w:spacing w:after="0"/>
              <w:rPr>
                <w:sz w:val="20"/>
                <w:szCs w:val="20"/>
                <w:color w:val="auto"/>
              </w:rPr>
            </w:pPr>
            <w:r>
              <w:rPr>
                <w:rFonts w:ascii="Arial" w:cs="Arial" w:eastAsia="Arial" w:hAnsi="Arial"/>
                <w:sz w:val="11"/>
                <w:szCs w:val="11"/>
                <w:b w:val="1"/>
                <w:bCs w:val="1"/>
                <w:color w:val="auto"/>
                <w:w w:val="99"/>
              </w:rPr>
              <w:t>June 30,</w:t>
            </w:r>
          </w:p>
        </w:tc>
        <w:tc>
          <w:tcPr>
            <w:tcW w:w="4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r>
      <w:tr>
        <w:trPr>
          <w:trHeight w:val="115"/>
        </w:trPr>
        <w:tc>
          <w:tcPr>
            <w:tcW w:w="5280" w:type="dxa"/>
            <w:vAlign w:val="bottom"/>
            <w:tcBorders>
              <w:bottom w:val="single" w:sz="8" w:color="CCEEFF"/>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jc w:val="right"/>
              <w:ind w:right="66"/>
              <w:spacing w:after="0" w:line="115" w:lineRule="exact"/>
              <w:rPr>
                <w:sz w:val="20"/>
                <w:szCs w:val="20"/>
                <w:color w:val="auto"/>
              </w:rPr>
            </w:pPr>
            <w:r>
              <w:rPr>
                <w:rFonts w:ascii="Arial" w:cs="Arial" w:eastAsia="Arial" w:hAnsi="Arial"/>
                <w:sz w:val="11"/>
                <w:szCs w:val="11"/>
                <w:b w:val="1"/>
                <w:bCs w:val="1"/>
                <w:color w:val="auto"/>
              </w:rPr>
              <w:t>2017</w:t>
            </w:r>
          </w:p>
        </w:tc>
        <w:tc>
          <w:tcPr>
            <w:tcW w:w="40" w:type="dxa"/>
            <w:vAlign w:val="bottom"/>
            <w:tcBorders>
              <w:bottom w:val="single" w:sz="8" w:color="CCEEFF"/>
            </w:tcBorders>
          </w:tcPr>
          <w:p>
            <w:pPr>
              <w:spacing w:after="0"/>
              <w:rPr>
                <w:sz w:val="10"/>
                <w:szCs w:val="10"/>
                <w:color w:val="auto"/>
              </w:rPr>
            </w:pPr>
          </w:p>
        </w:tc>
        <w:tc>
          <w:tcPr>
            <w:tcW w:w="240" w:type="dxa"/>
            <w:vAlign w:val="bottom"/>
            <w:tcBorders>
              <w:bottom w:val="single" w:sz="8" w:color="CCEEFF"/>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jc w:val="center"/>
              <w:ind w:right="26"/>
              <w:spacing w:after="0" w:line="115" w:lineRule="exact"/>
              <w:rPr>
                <w:sz w:val="20"/>
                <w:szCs w:val="20"/>
                <w:color w:val="auto"/>
              </w:rPr>
            </w:pPr>
            <w:r>
              <w:rPr>
                <w:rFonts w:ascii="Arial" w:cs="Arial" w:eastAsia="Arial" w:hAnsi="Arial"/>
                <w:sz w:val="11"/>
                <w:szCs w:val="11"/>
                <w:b w:val="1"/>
                <w:bCs w:val="1"/>
                <w:color w:val="auto"/>
                <w:w w:val="97"/>
              </w:rPr>
              <w:t>2018</w:t>
            </w:r>
          </w:p>
        </w:tc>
        <w:tc>
          <w:tcPr>
            <w:tcW w:w="240" w:type="dxa"/>
            <w:vAlign w:val="bottom"/>
            <w:tcBorders>
              <w:bottom w:val="single" w:sz="8" w:color="CCEEFF"/>
            </w:tcBorders>
          </w:tcPr>
          <w:p>
            <w:pPr>
              <w:spacing w:after="0"/>
              <w:rPr>
                <w:sz w:val="10"/>
                <w:szCs w:val="10"/>
                <w:color w:val="auto"/>
              </w:rPr>
            </w:pPr>
          </w:p>
        </w:tc>
        <w:tc>
          <w:tcPr>
            <w:tcW w:w="40" w:type="dxa"/>
            <w:vAlign w:val="bottom"/>
            <w:tcBorders>
              <w:bottom w:val="single" w:sz="8" w:color="CCEEFF"/>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jc w:val="right"/>
              <w:ind w:right="66"/>
              <w:spacing w:after="0" w:line="115" w:lineRule="exact"/>
              <w:rPr>
                <w:sz w:val="20"/>
                <w:szCs w:val="20"/>
                <w:color w:val="auto"/>
              </w:rPr>
            </w:pPr>
            <w:r>
              <w:rPr>
                <w:rFonts w:ascii="Arial" w:cs="Arial" w:eastAsia="Arial" w:hAnsi="Arial"/>
                <w:sz w:val="11"/>
                <w:szCs w:val="11"/>
                <w:b w:val="1"/>
                <w:bCs w:val="1"/>
                <w:color w:val="auto"/>
              </w:rPr>
              <w:t>2019</w:t>
            </w:r>
          </w:p>
        </w:tc>
        <w:tc>
          <w:tcPr>
            <w:tcW w:w="80" w:type="dxa"/>
            <w:vAlign w:val="bottom"/>
            <w:tcBorders>
              <w:bottom w:val="single" w:sz="8" w:color="CCEEFF"/>
            </w:tcBorders>
          </w:tcPr>
          <w:p>
            <w:pPr>
              <w:spacing w:after="0"/>
              <w:rPr>
                <w:sz w:val="10"/>
                <w:szCs w:val="10"/>
                <w:color w:val="auto"/>
              </w:rPr>
            </w:pPr>
          </w:p>
        </w:tc>
      </w:tr>
      <w:tr>
        <w:trPr>
          <w:trHeight w:val="106"/>
        </w:trPr>
        <w:tc>
          <w:tcPr>
            <w:tcW w:w="5280" w:type="dxa"/>
            <w:vAlign w:val="bottom"/>
            <w:shd w:val="clear" w:color="auto" w:fill="CCEEFF"/>
          </w:tcPr>
          <w:p>
            <w:pPr>
              <w:spacing w:after="0" w:line="106" w:lineRule="exact"/>
              <w:rPr>
                <w:sz w:val="20"/>
                <w:szCs w:val="20"/>
                <w:color w:val="auto"/>
              </w:rPr>
            </w:pPr>
            <w:r>
              <w:rPr>
                <w:rFonts w:ascii="Arial" w:cs="Arial" w:eastAsia="Arial" w:hAnsi="Arial"/>
                <w:sz w:val="11"/>
                <w:szCs w:val="11"/>
                <w:color w:val="auto"/>
              </w:rPr>
              <w:t>Cash Flows from Operating Activities:</w:t>
            </w:r>
          </w:p>
        </w:tc>
        <w:tc>
          <w:tcPr>
            <w:tcW w:w="8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r>
      <w:tr>
        <w:trPr>
          <w:trHeight w:val="126"/>
        </w:trPr>
        <w:tc>
          <w:tcPr>
            <w:tcW w:w="5280" w:type="dxa"/>
            <w:vAlign w:val="bottom"/>
          </w:tcPr>
          <w:p>
            <w:pPr>
              <w:ind w:left="220"/>
              <w:spacing w:after="0"/>
              <w:rPr>
                <w:sz w:val="20"/>
                <w:szCs w:val="20"/>
                <w:color w:val="auto"/>
              </w:rPr>
            </w:pPr>
            <w:r>
              <w:rPr>
                <w:rFonts w:ascii="Arial" w:cs="Arial" w:eastAsia="Arial" w:hAnsi="Arial"/>
                <w:sz w:val="11"/>
                <w:szCs w:val="11"/>
                <w:color w:val="auto"/>
              </w:rPr>
              <w:t>Net loss</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40" w:type="dxa"/>
            <w:vAlign w:val="bottom"/>
            <w:gridSpan w:val="2"/>
          </w:tcPr>
          <w:p>
            <w:pPr>
              <w:jc w:val="right"/>
              <w:spacing w:after="0"/>
              <w:rPr>
                <w:sz w:val="20"/>
                <w:szCs w:val="20"/>
                <w:color w:val="auto"/>
              </w:rPr>
            </w:pPr>
            <w:r>
              <w:rPr>
                <w:rFonts w:ascii="Arial" w:cs="Arial" w:eastAsia="Arial" w:hAnsi="Arial"/>
                <w:sz w:val="11"/>
                <w:szCs w:val="11"/>
                <w:color w:val="auto"/>
              </w:rPr>
              <w:t>(71.1)</w:t>
            </w:r>
          </w:p>
        </w:tc>
        <w:tc>
          <w:tcPr>
            <w:tcW w:w="32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640" w:type="dxa"/>
            <w:vAlign w:val="bottom"/>
            <w:gridSpan w:val="2"/>
          </w:tcPr>
          <w:p>
            <w:pPr>
              <w:jc w:val="right"/>
              <w:ind w:right="200"/>
              <w:spacing w:after="0"/>
              <w:rPr>
                <w:sz w:val="20"/>
                <w:szCs w:val="20"/>
                <w:color w:val="auto"/>
              </w:rPr>
            </w:pPr>
            <w:r>
              <w:rPr>
                <w:rFonts w:ascii="Arial" w:cs="Arial" w:eastAsia="Arial" w:hAnsi="Arial"/>
                <w:sz w:val="11"/>
                <w:szCs w:val="11"/>
                <w:color w:val="auto"/>
              </w:rPr>
              <w:t>(47.9)</w:t>
            </w:r>
          </w:p>
        </w:tc>
        <w:tc>
          <w:tcPr>
            <w:tcW w:w="120" w:type="dxa"/>
            <w:vAlign w:val="bottom"/>
            <w:gridSpan w:val="2"/>
          </w:tcPr>
          <w:p>
            <w:pPr>
              <w:jc w:val="right"/>
              <w:ind w:right="20"/>
              <w:spacing w:after="0"/>
              <w:rPr>
                <w:sz w:val="20"/>
                <w:szCs w:val="20"/>
                <w:color w:val="auto"/>
              </w:rPr>
            </w:pPr>
            <w:r>
              <w:rPr>
                <w:rFonts w:ascii="Arial" w:cs="Arial" w:eastAsia="Arial" w:hAnsi="Arial"/>
                <w:sz w:val="11"/>
                <w:szCs w:val="11"/>
                <w:color w:val="auto"/>
              </w:rPr>
              <w:t>$</w:t>
            </w:r>
          </w:p>
        </w:tc>
        <w:tc>
          <w:tcPr>
            <w:tcW w:w="480" w:type="dxa"/>
            <w:vAlign w:val="bottom"/>
            <w:gridSpan w:val="2"/>
          </w:tcPr>
          <w:p>
            <w:pPr>
              <w:jc w:val="right"/>
              <w:ind w:right="40"/>
              <w:spacing w:after="0"/>
              <w:rPr>
                <w:sz w:val="20"/>
                <w:szCs w:val="20"/>
                <w:color w:val="auto"/>
              </w:rPr>
            </w:pPr>
            <w:r>
              <w:rPr>
                <w:rFonts w:ascii="Arial" w:cs="Arial" w:eastAsia="Arial" w:hAnsi="Arial"/>
                <w:sz w:val="11"/>
                <w:szCs w:val="11"/>
                <w:color w:val="auto"/>
              </w:rPr>
              <w:t>(195.6)</w:t>
            </w:r>
          </w:p>
        </w:tc>
      </w:tr>
      <w:tr>
        <w:trPr>
          <w:trHeight w:val="126"/>
        </w:trPr>
        <w:tc>
          <w:tcPr>
            <w:tcW w:w="5280" w:type="dxa"/>
            <w:vAlign w:val="bottom"/>
            <w:shd w:val="clear" w:color="auto" w:fill="CCEEFF"/>
          </w:tcPr>
          <w:p>
            <w:pPr>
              <w:ind w:left="220"/>
              <w:spacing w:after="0"/>
              <w:rPr>
                <w:sz w:val="20"/>
                <w:szCs w:val="20"/>
                <w:color w:val="auto"/>
              </w:rPr>
            </w:pPr>
            <w:r>
              <w:rPr>
                <w:rFonts w:ascii="Arial" w:cs="Arial" w:eastAsia="Arial" w:hAnsi="Arial"/>
                <w:sz w:val="11"/>
                <w:szCs w:val="11"/>
                <w:color w:val="auto"/>
              </w:rPr>
              <w:t>Adjustments to reconcile net loss to net cash provided by (used in) operating activities:</w:t>
            </w: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r>
      <w:tr>
        <w:trPr>
          <w:trHeight w:val="126"/>
        </w:trPr>
        <w:tc>
          <w:tcPr>
            <w:tcW w:w="5280" w:type="dxa"/>
            <w:vAlign w:val="bottom"/>
          </w:tcPr>
          <w:p>
            <w:pPr>
              <w:ind w:left="440"/>
              <w:spacing w:after="0"/>
              <w:rPr>
                <w:sz w:val="20"/>
                <w:szCs w:val="20"/>
                <w:color w:val="auto"/>
              </w:rPr>
            </w:pPr>
            <w:r>
              <w:rPr>
                <w:rFonts w:ascii="Arial" w:cs="Arial" w:eastAsia="Arial" w:hAnsi="Arial"/>
                <w:sz w:val="11"/>
                <w:szCs w:val="11"/>
                <w:color w:val="auto"/>
              </w:rPr>
              <w:t>Depreciation and amortization expense</w:t>
            </w:r>
          </w:p>
        </w:tc>
        <w:tc>
          <w:tcPr>
            <w:tcW w:w="80" w:type="dxa"/>
            <w:vAlign w:val="bottom"/>
          </w:tcPr>
          <w:p>
            <w:pPr>
              <w:spacing w:after="0"/>
              <w:rPr>
                <w:sz w:val="10"/>
                <w:szCs w:val="10"/>
                <w:color w:val="auto"/>
              </w:rPr>
            </w:pPr>
          </w:p>
        </w:tc>
        <w:tc>
          <w:tcPr>
            <w:tcW w:w="400" w:type="dxa"/>
            <w:vAlign w:val="bottom"/>
          </w:tcPr>
          <w:p>
            <w:pPr>
              <w:jc w:val="right"/>
              <w:spacing w:after="0"/>
              <w:rPr>
                <w:sz w:val="20"/>
                <w:szCs w:val="20"/>
                <w:color w:val="auto"/>
              </w:rPr>
            </w:pPr>
            <w:r>
              <w:rPr>
                <w:rFonts w:ascii="Arial" w:cs="Arial" w:eastAsia="Arial" w:hAnsi="Arial"/>
                <w:sz w:val="11"/>
                <w:szCs w:val="11"/>
                <w:color w:val="auto"/>
              </w:rPr>
              <w:t>3.7</w:t>
            </w:r>
          </w:p>
        </w:tc>
        <w:tc>
          <w:tcPr>
            <w:tcW w:w="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jc w:val="right"/>
              <w:spacing w:after="0"/>
              <w:rPr>
                <w:sz w:val="20"/>
                <w:szCs w:val="20"/>
                <w:color w:val="auto"/>
              </w:rPr>
            </w:pPr>
            <w:r>
              <w:rPr>
                <w:rFonts w:ascii="Arial" w:cs="Arial" w:eastAsia="Arial" w:hAnsi="Arial"/>
                <w:sz w:val="11"/>
                <w:szCs w:val="11"/>
                <w:color w:val="auto"/>
              </w:rPr>
              <w:t>6.6</w:t>
            </w:r>
          </w:p>
        </w:tc>
        <w:tc>
          <w:tcPr>
            <w:tcW w:w="2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jc w:val="right"/>
              <w:spacing w:after="0"/>
              <w:rPr>
                <w:sz w:val="20"/>
                <w:szCs w:val="20"/>
                <w:color w:val="auto"/>
              </w:rPr>
            </w:pPr>
            <w:r>
              <w:rPr>
                <w:rFonts w:ascii="Arial" w:cs="Arial" w:eastAsia="Arial" w:hAnsi="Arial"/>
                <w:sz w:val="11"/>
                <w:szCs w:val="11"/>
                <w:color w:val="auto"/>
              </w:rPr>
              <w:t>21.7</w:t>
            </w:r>
          </w:p>
        </w:tc>
        <w:tc>
          <w:tcPr>
            <w:tcW w:w="80" w:type="dxa"/>
            <w:vAlign w:val="bottom"/>
          </w:tcPr>
          <w:p>
            <w:pPr>
              <w:spacing w:after="0"/>
              <w:rPr>
                <w:sz w:val="10"/>
                <w:szCs w:val="10"/>
                <w:color w:val="auto"/>
              </w:rPr>
            </w:pPr>
          </w:p>
        </w:tc>
      </w:tr>
      <w:tr>
        <w:trPr>
          <w:trHeight w:val="126"/>
        </w:trPr>
        <w:tc>
          <w:tcPr>
            <w:tcW w:w="5280" w:type="dxa"/>
            <w:vAlign w:val="bottom"/>
            <w:shd w:val="clear" w:color="auto" w:fill="CCEEFF"/>
          </w:tcPr>
          <w:p>
            <w:pPr>
              <w:ind w:left="440"/>
              <w:spacing w:after="0"/>
              <w:rPr>
                <w:sz w:val="20"/>
                <w:szCs w:val="20"/>
                <w:color w:val="auto"/>
              </w:rPr>
            </w:pPr>
            <w:r>
              <w:rPr>
                <w:rFonts w:ascii="Arial" w:cs="Arial" w:eastAsia="Arial" w:hAnsi="Arial"/>
                <w:sz w:val="11"/>
                <w:szCs w:val="11"/>
                <w:color w:val="auto"/>
              </w:rPr>
              <w:t>Stock-based compensation expense</w:t>
            </w: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10.3</w:t>
            </w:r>
          </w:p>
        </w:tc>
        <w:tc>
          <w:tcPr>
            <w:tcW w:w="4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8.5</w:t>
            </w:r>
          </w:p>
        </w:tc>
        <w:tc>
          <w:tcPr>
            <w:tcW w:w="2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89.5</w:t>
            </w:r>
          </w:p>
        </w:tc>
        <w:tc>
          <w:tcPr>
            <w:tcW w:w="80" w:type="dxa"/>
            <w:vAlign w:val="bottom"/>
            <w:shd w:val="clear" w:color="auto" w:fill="CCEEFF"/>
          </w:tcPr>
          <w:p>
            <w:pPr>
              <w:spacing w:after="0"/>
              <w:rPr>
                <w:sz w:val="10"/>
                <w:szCs w:val="10"/>
                <w:color w:val="auto"/>
              </w:rPr>
            </w:pPr>
          </w:p>
        </w:tc>
      </w:tr>
      <w:tr>
        <w:trPr>
          <w:trHeight w:val="126"/>
        </w:trPr>
        <w:tc>
          <w:tcPr>
            <w:tcW w:w="5280" w:type="dxa"/>
            <w:vAlign w:val="bottom"/>
          </w:tcPr>
          <w:p>
            <w:pPr>
              <w:ind w:left="440"/>
              <w:spacing w:after="0"/>
              <w:rPr>
                <w:sz w:val="20"/>
                <w:szCs w:val="20"/>
                <w:color w:val="auto"/>
              </w:rPr>
            </w:pPr>
            <w:r>
              <w:rPr>
                <w:rFonts w:ascii="Arial" w:cs="Arial" w:eastAsia="Arial" w:hAnsi="Arial"/>
                <w:sz w:val="11"/>
                <w:szCs w:val="11"/>
                <w:color w:val="auto"/>
              </w:rPr>
              <w:t>Impairment of long-lived assets</w:t>
            </w:r>
          </w:p>
        </w:tc>
        <w:tc>
          <w:tcPr>
            <w:tcW w:w="80" w:type="dxa"/>
            <w:vAlign w:val="bottom"/>
          </w:tcPr>
          <w:p>
            <w:pPr>
              <w:spacing w:after="0"/>
              <w:rPr>
                <w:sz w:val="10"/>
                <w:szCs w:val="10"/>
                <w:color w:val="auto"/>
              </w:rPr>
            </w:pPr>
          </w:p>
        </w:tc>
        <w:tc>
          <w:tcPr>
            <w:tcW w:w="400" w:type="dxa"/>
            <w:vAlign w:val="bottom"/>
          </w:tcPr>
          <w:p>
            <w:pPr>
              <w:jc w:val="right"/>
              <w:spacing w:after="0"/>
              <w:rPr>
                <w:sz w:val="20"/>
                <w:szCs w:val="20"/>
                <w:color w:val="auto"/>
              </w:rPr>
            </w:pPr>
            <w:r>
              <w:rPr>
                <w:rFonts w:ascii="Arial" w:cs="Arial" w:eastAsia="Arial" w:hAnsi="Arial"/>
                <w:sz w:val="11"/>
                <w:szCs w:val="11"/>
                <w:color w:val="auto"/>
              </w:rPr>
              <w:t>0.2</w:t>
            </w:r>
          </w:p>
        </w:tc>
        <w:tc>
          <w:tcPr>
            <w:tcW w:w="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jc w:val="right"/>
              <w:spacing w:after="0"/>
              <w:rPr>
                <w:sz w:val="20"/>
                <w:szCs w:val="20"/>
                <w:color w:val="auto"/>
              </w:rPr>
            </w:pPr>
            <w:r>
              <w:rPr>
                <w:rFonts w:ascii="Arial" w:cs="Arial" w:eastAsia="Arial" w:hAnsi="Arial"/>
                <w:sz w:val="11"/>
                <w:szCs w:val="11"/>
                <w:color w:val="auto"/>
              </w:rPr>
              <w:t>0.7</w:t>
            </w:r>
          </w:p>
        </w:tc>
        <w:tc>
          <w:tcPr>
            <w:tcW w:w="2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jc w:val="right"/>
              <w:spacing w:after="0"/>
              <w:rPr>
                <w:sz w:val="20"/>
                <w:szCs w:val="20"/>
                <w:color w:val="auto"/>
              </w:rPr>
            </w:pPr>
            <w:r>
              <w:rPr>
                <w:rFonts w:ascii="Arial" w:cs="Arial" w:eastAsia="Arial" w:hAnsi="Arial"/>
                <w:sz w:val="11"/>
                <w:szCs w:val="11"/>
                <w:color w:val="auto"/>
              </w:rPr>
              <w:t>0.5</w:t>
            </w:r>
          </w:p>
        </w:tc>
        <w:tc>
          <w:tcPr>
            <w:tcW w:w="80" w:type="dxa"/>
            <w:vAlign w:val="bottom"/>
          </w:tcPr>
          <w:p>
            <w:pPr>
              <w:spacing w:after="0"/>
              <w:rPr>
                <w:sz w:val="10"/>
                <w:szCs w:val="10"/>
                <w:color w:val="auto"/>
              </w:rPr>
            </w:pPr>
          </w:p>
        </w:tc>
      </w:tr>
      <w:tr>
        <w:trPr>
          <w:trHeight w:val="126"/>
        </w:trPr>
        <w:tc>
          <w:tcPr>
            <w:tcW w:w="5280" w:type="dxa"/>
            <w:vAlign w:val="bottom"/>
            <w:shd w:val="clear" w:color="auto" w:fill="CCEEFF"/>
          </w:tcPr>
          <w:p>
            <w:pPr>
              <w:ind w:left="440"/>
              <w:spacing w:after="0"/>
              <w:rPr>
                <w:sz w:val="20"/>
                <w:szCs w:val="20"/>
                <w:color w:val="auto"/>
              </w:rPr>
            </w:pPr>
            <w:r>
              <w:rPr>
                <w:rFonts w:ascii="Arial" w:cs="Arial" w:eastAsia="Arial" w:hAnsi="Arial"/>
                <w:sz w:val="11"/>
                <w:szCs w:val="11"/>
                <w:color w:val="auto"/>
              </w:rPr>
              <w:t>Amortization of debt issuance costs</w:t>
            </w: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0.1</w:t>
            </w:r>
          </w:p>
        </w:tc>
        <w:tc>
          <w:tcPr>
            <w:tcW w:w="4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0.3</w:t>
            </w:r>
          </w:p>
        </w:tc>
        <w:tc>
          <w:tcPr>
            <w:tcW w:w="2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0.3</w:t>
            </w:r>
          </w:p>
        </w:tc>
        <w:tc>
          <w:tcPr>
            <w:tcW w:w="80" w:type="dxa"/>
            <w:vAlign w:val="bottom"/>
            <w:shd w:val="clear" w:color="auto" w:fill="CCEEFF"/>
          </w:tcPr>
          <w:p>
            <w:pPr>
              <w:spacing w:after="0"/>
              <w:rPr>
                <w:sz w:val="10"/>
                <w:szCs w:val="10"/>
                <w:color w:val="auto"/>
              </w:rPr>
            </w:pPr>
          </w:p>
        </w:tc>
      </w:tr>
      <w:tr>
        <w:trPr>
          <w:trHeight w:val="126"/>
        </w:trPr>
        <w:tc>
          <w:tcPr>
            <w:tcW w:w="5280" w:type="dxa"/>
            <w:vAlign w:val="bottom"/>
          </w:tcPr>
          <w:p>
            <w:pPr>
              <w:ind w:left="440"/>
              <w:spacing w:after="0"/>
              <w:rPr>
                <w:sz w:val="20"/>
                <w:szCs w:val="20"/>
                <w:color w:val="auto"/>
              </w:rPr>
            </w:pPr>
            <w:r>
              <w:rPr>
                <w:rFonts w:ascii="Arial" w:cs="Arial" w:eastAsia="Arial" w:hAnsi="Arial"/>
                <w:sz w:val="11"/>
                <w:szCs w:val="11"/>
                <w:color w:val="auto"/>
              </w:rPr>
              <w:t>Amortization of (discount) on marketable securities</w:t>
            </w:r>
          </w:p>
        </w:tc>
        <w:tc>
          <w:tcPr>
            <w:tcW w:w="80" w:type="dxa"/>
            <w:vAlign w:val="bottom"/>
          </w:tcPr>
          <w:p>
            <w:pPr>
              <w:spacing w:after="0"/>
              <w:rPr>
                <w:sz w:val="10"/>
                <w:szCs w:val="10"/>
                <w:color w:val="auto"/>
              </w:rPr>
            </w:pPr>
          </w:p>
        </w:tc>
        <w:tc>
          <w:tcPr>
            <w:tcW w:w="440" w:type="dxa"/>
            <w:vAlign w:val="bottom"/>
            <w:gridSpan w:val="2"/>
          </w:tcPr>
          <w:p>
            <w:pPr>
              <w:jc w:val="right"/>
              <w:ind w:right="40"/>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gridSpan w:val="2"/>
          </w:tcPr>
          <w:p>
            <w:pPr>
              <w:jc w:val="right"/>
              <w:ind w:right="40"/>
              <w:spacing w:after="0"/>
              <w:rPr>
                <w:sz w:val="20"/>
                <w:szCs w:val="20"/>
                <w:color w:val="auto"/>
              </w:rPr>
            </w:pPr>
            <w:r>
              <w:rPr>
                <w:rFonts w:ascii="Arial" w:cs="Arial" w:eastAsia="Arial" w:hAnsi="Arial"/>
                <w:sz w:val="11"/>
                <w:szCs w:val="11"/>
                <w:color w:val="auto"/>
              </w:rPr>
              <w:t>(2.2)</w:t>
            </w:r>
          </w:p>
        </w:tc>
      </w:tr>
      <w:tr>
        <w:trPr>
          <w:trHeight w:val="126"/>
        </w:trPr>
        <w:tc>
          <w:tcPr>
            <w:tcW w:w="5280" w:type="dxa"/>
            <w:vAlign w:val="bottom"/>
            <w:shd w:val="clear" w:color="auto" w:fill="CCEEFF"/>
          </w:tcPr>
          <w:p>
            <w:pPr>
              <w:ind w:left="220"/>
              <w:spacing w:after="0"/>
              <w:rPr>
                <w:sz w:val="20"/>
                <w:szCs w:val="20"/>
                <w:color w:val="auto"/>
              </w:rPr>
            </w:pPr>
            <w:r>
              <w:rPr>
                <w:rFonts w:ascii="Arial" w:cs="Arial" w:eastAsia="Arial" w:hAnsi="Arial"/>
                <w:sz w:val="11"/>
                <w:szCs w:val="11"/>
                <w:color w:val="auto"/>
              </w:rPr>
              <w:t>Changes in operating assets and liabilities:</w:t>
            </w: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r>
      <w:tr>
        <w:trPr>
          <w:trHeight w:val="126"/>
        </w:trPr>
        <w:tc>
          <w:tcPr>
            <w:tcW w:w="5280" w:type="dxa"/>
            <w:vAlign w:val="bottom"/>
          </w:tcPr>
          <w:p>
            <w:pPr>
              <w:ind w:left="440"/>
              <w:spacing w:after="0"/>
              <w:rPr>
                <w:sz w:val="20"/>
                <w:szCs w:val="20"/>
                <w:color w:val="auto"/>
              </w:rPr>
            </w:pPr>
            <w:r>
              <w:rPr>
                <w:rFonts w:ascii="Arial" w:cs="Arial" w:eastAsia="Arial" w:hAnsi="Arial"/>
                <w:sz w:val="11"/>
                <w:szCs w:val="11"/>
                <w:color w:val="auto"/>
              </w:rPr>
              <w:t>Accounts receivable</w:t>
            </w:r>
          </w:p>
        </w:tc>
        <w:tc>
          <w:tcPr>
            <w:tcW w:w="80" w:type="dxa"/>
            <w:vAlign w:val="bottom"/>
          </w:tcPr>
          <w:p>
            <w:pPr>
              <w:spacing w:after="0"/>
              <w:rPr>
                <w:sz w:val="10"/>
                <w:szCs w:val="10"/>
                <w:color w:val="auto"/>
              </w:rPr>
            </w:pPr>
          </w:p>
        </w:tc>
        <w:tc>
          <w:tcPr>
            <w:tcW w:w="440" w:type="dxa"/>
            <w:vAlign w:val="bottom"/>
            <w:gridSpan w:val="2"/>
          </w:tcPr>
          <w:p>
            <w:pPr>
              <w:jc w:val="right"/>
              <w:spacing w:after="0"/>
              <w:rPr>
                <w:sz w:val="20"/>
                <w:szCs w:val="20"/>
                <w:color w:val="auto"/>
              </w:rPr>
            </w:pPr>
            <w:r>
              <w:rPr>
                <w:rFonts w:ascii="Arial" w:cs="Arial" w:eastAsia="Arial" w:hAnsi="Arial"/>
                <w:sz w:val="11"/>
                <w:szCs w:val="11"/>
                <w:color w:val="auto"/>
              </w:rPr>
              <w:t>(3.6)</w:t>
            </w: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1"/>
                <w:szCs w:val="11"/>
                <w:color w:val="auto"/>
              </w:rPr>
              <w:t>(4.1)</w:t>
            </w: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gridSpan w:val="2"/>
          </w:tcPr>
          <w:p>
            <w:pPr>
              <w:jc w:val="right"/>
              <w:ind w:right="40"/>
              <w:spacing w:after="0"/>
              <w:rPr>
                <w:sz w:val="20"/>
                <w:szCs w:val="20"/>
                <w:color w:val="auto"/>
              </w:rPr>
            </w:pPr>
            <w:r>
              <w:rPr>
                <w:rFonts w:ascii="Arial" w:cs="Arial" w:eastAsia="Arial" w:hAnsi="Arial"/>
                <w:sz w:val="11"/>
                <w:szCs w:val="11"/>
                <w:color w:val="auto"/>
              </w:rPr>
              <w:t>(9.1)</w:t>
            </w:r>
          </w:p>
        </w:tc>
      </w:tr>
      <w:tr>
        <w:trPr>
          <w:trHeight w:val="126"/>
        </w:trPr>
        <w:tc>
          <w:tcPr>
            <w:tcW w:w="5280" w:type="dxa"/>
            <w:vAlign w:val="bottom"/>
            <w:shd w:val="clear" w:color="auto" w:fill="CCEEFF"/>
          </w:tcPr>
          <w:p>
            <w:pPr>
              <w:ind w:left="440"/>
              <w:spacing w:after="0"/>
              <w:rPr>
                <w:sz w:val="20"/>
                <w:szCs w:val="20"/>
                <w:color w:val="auto"/>
              </w:rPr>
            </w:pPr>
            <w:r>
              <w:rPr>
                <w:rFonts w:ascii="Arial" w:cs="Arial" w:eastAsia="Arial" w:hAnsi="Arial"/>
                <w:sz w:val="11"/>
                <w:szCs w:val="11"/>
                <w:color w:val="auto"/>
              </w:rPr>
              <w:t>Inventories</w:t>
            </w:r>
          </w:p>
        </w:tc>
        <w:tc>
          <w:tcPr>
            <w:tcW w:w="80" w:type="dxa"/>
            <w:vAlign w:val="bottom"/>
            <w:shd w:val="clear" w:color="auto" w:fill="CCEEFF"/>
          </w:tcPr>
          <w:p>
            <w:pPr>
              <w:spacing w:after="0"/>
              <w:rPr>
                <w:sz w:val="10"/>
                <w:szCs w:val="10"/>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(5.0)</w:t>
            </w:r>
          </w:p>
        </w:tc>
        <w:tc>
          <w:tcPr>
            <w:tcW w:w="2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(9.6)</w:t>
            </w: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(111.3)</w:t>
            </w:r>
          </w:p>
        </w:tc>
      </w:tr>
      <w:tr>
        <w:trPr>
          <w:trHeight w:val="126"/>
        </w:trPr>
        <w:tc>
          <w:tcPr>
            <w:tcW w:w="5280" w:type="dxa"/>
            <w:vAlign w:val="bottom"/>
          </w:tcPr>
          <w:p>
            <w:pPr>
              <w:ind w:left="440"/>
              <w:spacing w:after="0"/>
              <w:rPr>
                <w:sz w:val="20"/>
                <w:szCs w:val="20"/>
                <w:color w:val="auto"/>
              </w:rPr>
            </w:pPr>
            <w:r>
              <w:rPr>
                <w:rFonts w:ascii="Arial" w:cs="Arial" w:eastAsia="Arial" w:hAnsi="Arial"/>
                <w:sz w:val="11"/>
                <w:szCs w:val="11"/>
                <w:color w:val="auto"/>
              </w:rPr>
              <w:t>Prepaid expenses and other current assets</w:t>
            </w:r>
          </w:p>
        </w:tc>
        <w:tc>
          <w:tcPr>
            <w:tcW w:w="80" w:type="dxa"/>
            <w:vAlign w:val="bottom"/>
          </w:tcPr>
          <w:p>
            <w:pPr>
              <w:spacing w:after="0"/>
              <w:rPr>
                <w:sz w:val="10"/>
                <w:szCs w:val="10"/>
                <w:color w:val="auto"/>
              </w:rPr>
            </w:pPr>
          </w:p>
        </w:tc>
        <w:tc>
          <w:tcPr>
            <w:tcW w:w="440" w:type="dxa"/>
            <w:vAlign w:val="bottom"/>
            <w:gridSpan w:val="2"/>
          </w:tcPr>
          <w:p>
            <w:pPr>
              <w:jc w:val="right"/>
              <w:spacing w:after="0"/>
              <w:rPr>
                <w:sz w:val="20"/>
                <w:szCs w:val="20"/>
                <w:color w:val="auto"/>
              </w:rPr>
            </w:pPr>
            <w:r>
              <w:rPr>
                <w:rFonts w:ascii="Arial" w:cs="Arial" w:eastAsia="Arial" w:hAnsi="Arial"/>
                <w:sz w:val="11"/>
                <w:szCs w:val="11"/>
                <w:color w:val="auto"/>
              </w:rPr>
              <w:t>(1.0)</w:t>
            </w: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1"/>
                <w:szCs w:val="11"/>
                <w:color w:val="auto"/>
              </w:rPr>
              <w:t>(12.1)</w:t>
            </w: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gridSpan w:val="2"/>
          </w:tcPr>
          <w:p>
            <w:pPr>
              <w:jc w:val="right"/>
              <w:ind w:right="40"/>
              <w:spacing w:after="0"/>
              <w:rPr>
                <w:sz w:val="20"/>
                <w:szCs w:val="20"/>
                <w:color w:val="auto"/>
              </w:rPr>
            </w:pPr>
            <w:r>
              <w:rPr>
                <w:rFonts w:ascii="Arial" w:cs="Arial" w:eastAsia="Arial" w:hAnsi="Arial"/>
                <w:sz w:val="11"/>
                <w:szCs w:val="11"/>
                <w:color w:val="auto"/>
              </w:rPr>
              <w:t>(30.3)</w:t>
            </w:r>
          </w:p>
        </w:tc>
      </w:tr>
      <w:tr>
        <w:trPr>
          <w:trHeight w:val="126"/>
        </w:trPr>
        <w:tc>
          <w:tcPr>
            <w:tcW w:w="5280" w:type="dxa"/>
            <w:vAlign w:val="bottom"/>
            <w:shd w:val="clear" w:color="auto" w:fill="CCEEFF"/>
          </w:tcPr>
          <w:p>
            <w:pPr>
              <w:ind w:left="440"/>
              <w:spacing w:after="0"/>
              <w:rPr>
                <w:sz w:val="20"/>
                <w:szCs w:val="20"/>
                <w:color w:val="auto"/>
              </w:rPr>
            </w:pPr>
            <w:r>
              <w:rPr>
                <w:rFonts w:ascii="Arial" w:cs="Arial" w:eastAsia="Arial" w:hAnsi="Arial"/>
                <w:sz w:val="11"/>
                <w:szCs w:val="11"/>
                <w:color w:val="auto"/>
              </w:rPr>
              <w:t>Other assets</w:t>
            </w:r>
          </w:p>
        </w:tc>
        <w:tc>
          <w:tcPr>
            <w:tcW w:w="80" w:type="dxa"/>
            <w:vAlign w:val="bottom"/>
            <w:shd w:val="clear" w:color="auto" w:fill="CCEEFF"/>
          </w:tcPr>
          <w:p>
            <w:pPr>
              <w:spacing w:after="0"/>
              <w:rPr>
                <w:sz w:val="10"/>
                <w:szCs w:val="10"/>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(1.1)</w:t>
            </w:r>
          </w:p>
        </w:tc>
        <w:tc>
          <w:tcPr>
            <w:tcW w:w="2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1.4</w:t>
            </w:r>
          </w:p>
        </w:tc>
        <w:tc>
          <w:tcPr>
            <w:tcW w:w="2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(5.5)</w:t>
            </w:r>
          </w:p>
        </w:tc>
      </w:tr>
      <w:tr>
        <w:trPr>
          <w:trHeight w:val="126"/>
        </w:trPr>
        <w:tc>
          <w:tcPr>
            <w:tcW w:w="5280" w:type="dxa"/>
            <w:vAlign w:val="bottom"/>
          </w:tcPr>
          <w:p>
            <w:pPr>
              <w:ind w:left="440"/>
              <w:spacing w:after="0"/>
              <w:rPr>
                <w:sz w:val="20"/>
                <w:szCs w:val="20"/>
                <w:color w:val="auto"/>
              </w:rPr>
            </w:pPr>
            <w:r>
              <w:rPr>
                <w:rFonts w:ascii="Arial" w:cs="Arial" w:eastAsia="Arial" w:hAnsi="Arial"/>
                <w:sz w:val="11"/>
                <w:szCs w:val="11"/>
                <w:color w:val="auto"/>
              </w:rPr>
              <w:t>Accounts payable and accrued expenses</w:t>
            </w:r>
          </w:p>
        </w:tc>
        <w:tc>
          <w:tcPr>
            <w:tcW w:w="80" w:type="dxa"/>
            <w:vAlign w:val="bottom"/>
          </w:tcPr>
          <w:p>
            <w:pPr>
              <w:spacing w:after="0"/>
              <w:rPr>
                <w:sz w:val="10"/>
                <w:szCs w:val="10"/>
                <w:color w:val="auto"/>
              </w:rPr>
            </w:pPr>
          </w:p>
        </w:tc>
        <w:tc>
          <w:tcPr>
            <w:tcW w:w="400" w:type="dxa"/>
            <w:vAlign w:val="bottom"/>
          </w:tcPr>
          <w:p>
            <w:pPr>
              <w:jc w:val="right"/>
              <w:spacing w:after="0"/>
              <w:rPr>
                <w:sz w:val="20"/>
                <w:szCs w:val="20"/>
                <w:color w:val="auto"/>
              </w:rPr>
            </w:pPr>
            <w:r>
              <w:rPr>
                <w:rFonts w:ascii="Arial" w:cs="Arial" w:eastAsia="Arial" w:hAnsi="Arial"/>
                <w:sz w:val="11"/>
                <w:szCs w:val="11"/>
                <w:color w:val="auto"/>
              </w:rPr>
              <w:t>22.1</w:t>
            </w:r>
          </w:p>
        </w:tc>
        <w:tc>
          <w:tcPr>
            <w:tcW w:w="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jc w:val="right"/>
              <w:spacing w:after="0"/>
              <w:rPr>
                <w:sz w:val="20"/>
                <w:szCs w:val="20"/>
                <w:color w:val="auto"/>
              </w:rPr>
            </w:pPr>
            <w:r>
              <w:rPr>
                <w:rFonts w:ascii="Arial" w:cs="Arial" w:eastAsia="Arial" w:hAnsi="Arial"/>
                <w:sz w:val="11"/>
                <w:szCs w:val="11"/>
                <w:color w:val="auto"/>
              </w:rPr>
              <w:t>41.0</w:t>
            </w:r>
          </w:p>
        </w:tc>
        <w:tc>
          <w:tcPr>
            <w:tcW w:w="2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jc w:val="right"/>
              <w:spacing w:after="0"/>
              <w:rPr>
                <w:sz w:val="20"/>
                <w:szCs w:val="20"/>
                <w:color w:val="auto"/>
              </w:rPr>
            </w:pPr>
            <w:r>
              <w:rPr>
                <w:rFonts w:ascii="Arial" w:cs="Arial" w:eastAsia="Arial" w:hAnsi="Arial"/>
                <w:sz w:val="11"/>
                <w:szCs w:val="11"/>
                <w:color w:val="auto"/>
              </w:rPr>
              <w:t>117.3</w:t>
            </w:r>
          </w:p>
        </w:tc>
        <w:tc>
          <w:tcPr>
            <w:tcW w:w="80" w:type="dxa"/>
            <w:vAlign w:val="bottom"/>
          </w:tcPr>
          <w:p>
            <w:pPr>
              <w:spacing w:after="0"/>
              <w:rPr>
                <w:sz w:val="10"/>
                <w:szCs w:val="10"/>
                <w:color w:val="auto"/>
              </w:rPr>
            </w:pPr>
          </w:p>
        </w:tc>
      </w:tr>
      <w:tr>
        <w:trPr>
          <w:trHeight w:val="126"/>
        </w:trPr>
        <w:tc>
          <w:tcPr>
            <w:tcW w:w="5280" w:type="dxa"/>
            <w:vAlign w:val="bottom"/>
            <w:shd w:val="clear" w:color="auto" w:fill="CCEEFF"/>
          </w:tcPr>
          <w:p>
            <w:pPr>
              <w:ind w:left="440"/>
              <w:spacing w:after="0"/>
              <w:rPr>
                <w:sz w:val="20"/>
                <w:szCs w:val="20"/>
                <w:color w:val="auto"/>
              </w:rPr>
            </w:pPr>
            <w:r>
              <w:rPr>
                <w:rFonts w:ascii="Arial" w:cs="Arial" w:eastAsia="Arial" w:hAnsi="Arial"/>
                <w:sz w:val="11"/>
                <w:szCs w:val="11"/>
                <w:color w:val="auto"/>
              </w:rPr>
              <w:t>Customer deposits and deferred revenue</w:t>
            </w: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19.0</w:t>
            </w:r>
          </w:p>
        </w:tc>
        <w:tc>
          <w:tcPr>
            <w:tcW w:w="4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63.0</w:t>
            </w:r>
          </w:p>
        </w:tc>
        <w:tc>
          <w:tcPr>
            <w:tcW w:w="2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2.2</w:t>
            </w:r>
          </w:p>
        </w:tc>
        <w:tc>
          <w:tcPr>
            <w:tcW w:w="80" w:type="dxa"/>
            <w:vAlign w:val="bottom"/>
            <w:shd w:val="clear" w:color="auto" w:fill="CCEEFF"/>
          </w:tcPr>
          <w:p>
            <w:pPr>
              <w:spacing w:after="0"/>
              <w:rPr>
                <w:sz w:val="10"/>
                <w:szCs w:val="10"/>
                <w:color w:val="auto"/>
              </w:rPr>
            </w:pPr>
          </w:p>
        </w:tc>
      </w:tr>
      <w:tr>
        <w:trPr>
          <w:trHeight w:val="126"/>
        </w:trPr>
        <w:tc>
          <w:tcPr>
            <w:tcW w:w="5280" w:type="dxa"/>
            <w:vAlign w:val="bottom"/>
          </w:tcPr>
          <w:p>
            <w:pPr>
              <w:ind w:left="440"/>
              <w:spacing w:after="0"/>
              <w:rPr>
                <w:sz w:val="20"/>
                <w:szCs w:val="20"/>
                <w:color w:val="auto"/>
              </w:rPr>
            </w:pPr>
            <w:r>
              <w:rPr>
                <w:rFonts w:ascii="Arial" w:cs="Arial" w:eastAsia="Arial" w:hAnsi="Arial"/>
                <w:sz w:val="11"/>
                <w:szCs w:val="11"/>
                <w:color w:val="auto"/>
              </w:rPr>
              <w:t>Other liabilities</w:t>
            </w:r>
          </w:p>
        </w:tc>
        <w:tc>
          <w:tcPr>
            <w:tcW w:w="8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7.8</w:t>
            </w:r>
          </w:p>
        </w:tc>
        <w:tc>
          <w:tcPr>
            <w:tcW w:w="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1.9</w:t>
            </w:r>
          </w:p>
        </w:tc>
        <w:tc>
          <w:tcPr>
            <w:tcW w:w="2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13.8</w:t>
            </w:r>
          </w:p>
        </w:tc>
        <w:tc>
          <w:tcPr>
            <w:tcW w:w="80" w:type="dxa"/>
            <w:vAlign w:val="bottom"/>
          </w:tcPr>
          <w:p>
            <w:pPr>
              <w:spacing w:after="0"/>
              <w:rPr>
                <w:sz w:val="10"/>
                <w:szCs w:val="10"/>
                <w:color w:val="auto"/>
              </w:rPr>
            </w:pPr>
          </w:p>
        </w:tc>
      </w:tr>
      <w:tr>
        <w:trPr>
          <w:trHeight w:val="124"/>
        </w:trPr>
        <w:tc>
          <w:tcPr>
            <w:tcW w:w="5280" w:type="dxa"/>
            <w:vAlign w:val="bottom"/>
            <w:shd w:val="clear" w:color="auto" w:fill="CCEEFF"/>
          </w:tcPr>
          <w:p>
            <w:pPr>
              <w:ind w:left="760"/>
              <w:spacing w:after="0" w:line="124" w:lineRule="exact"/>
              <w:rPr>
                <w:sz w:val="20"/>
                <w:szCs w:val="20"/>
                <w:color w:val="auto"/>
              </w:rPr>
            </w:pPr>
            <w:r>
              <w:rPr>
                <w:rFonts w:ascii="Arial" w:cs="Arial" w:eastAsia="Arial" w:hAnsi="Arial"/>
                <w:sz w:val="11"/>
                <w:szCs w:val="11"/>
                <w:color w:val="auto"/>
              </w:rPr>
              <w:t>Net cash (used in) provided by operating activities</w:t>
            </w:r>
          </w:p>
        </w:tc>
        <w:tc>
          <w:tcPr>
            <w:tcW w:w="80" w:type="dxa"/>
            <w:vAlign w:val="bottom"/>
            <w:shd w:val="clear" w:color="auto" w:fill="CCEEFF"/>
          </w:tcPr>
          <w:p>
            <w:pPr>
              <w:spacing w:after="0"/>
              <w:rPr>
                <w:sz w:val="10"/>
                <w:szCs w:val="10"/>
                <w:color w:val="auto"/>
              </w:rPr>
            </w:pPr>
          </w:p>
        </w:tc>
        <w:tc>
          <w:tcPr>
            <w:tcW w:w="440" w:type="dxa"/>
            <w:vAlign w:val="bottom"/>
            <w:gridSpan w:val="2"/>
            <w:shd w:val="clear" w:color="auto" w:fill="CCEEFF"/>
          </w:tcPr>
          <w:p>
            <w:pPr>
              <w:jc w:val="right"/>
              <w:spacing w:after="0" w:line="124" w:lineRule="exact"/>
              <w:rPr>
                <w:sz w:val="20"/>
                <w:szCs w:val="20"/>
                <w:color w:val="auto"/>
              </w:rPr>
            </w:pPr>
            <w:r>
              <w:rPr>
                <w:rFonts w:ascii="Arial" w:cs="Arial" w:eastAsia="Arial" w:hAnsi="Arial"/>
                <w:sz w:val="11"/>
                <w:szCs w:val="11"/>
                <w:color w:val="auto"/>
              </w:rPr>
              <w:t>(18.6)</w:t>
            </w:r>
          </w:p>
        </w:tc>
        <w:tc>
          <w:tcPr>
            <w:tcW w:w="2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jc w:val="right"/>
              <w:spacing w:after="0" w:line="124" w:lineRule="exact"/>
              <w:rPr>
                <w:sz w:val="20"/>
                <w:szCs w:val="20"/>
                <w:color w:val="auto"/>
              </w:rPr>
            </w:pPr>
            <w:r>
              <w:rPr>
                <w:rFonts w:ascii="Arial" w:cs="Arial" w:eastAsia="Arial" w:hAnsi="Arial"/>
                <w:sz w:val="11"/>
                <w:szCs w:val="11"/>
                <w:color w:val="auto"/>
              </w:rPr>
              <w:t>49.7</w:t>
            </w:r>
          </w:p>
        </w:tc>
        <w:tc>
          <w:tcPr>
            <w:tcW w:w="2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80" w:type="dxa"/>
            <w:vAlign w:val="bottom"/>
            <w:gridSpan w:val="2"/>
            <w:shd w:val="clear" w:color="auto" w:fill="CCEEFF"/>
          </w:tcPr>
          <w:p>
            <w:pPr>
              <w:jc w:val="right"/>
              <w:ind w:right="40"/>
              <w:spacing w:after="0" w:line="124" w:lineRule="exact"/>
              <w:rPr>
                <w:sz w:val="20"/>
                <w:szCs w:val="20"/>
                <w:color w:val="auto"/>
              </w:rPr>
            </w:pPr>
            <w:r>
              <w:rPr>
                <w:rFonts w:ascii="Arial" w:cs="Arial" w:eastAsia="Arial" w:hAnsi="Arial"/>
                <w:sz w:val="11"/>
                <w:szCs w:val="11"/>
                <w:color w:val="auto"/>
              </w:rPr>
              <w:t>(108.6)</w:t>
            </w:r>
          </w:p>
        </w:tc>
      </w:tr>
      <w:tr>
        <w:trPr>
          <w:trHeight w:val="124"/>
        </w:trPr>
        <w:tc>
          <w:tcPr>
            <w:tcW w:w="5280" w:type="dxa"/>
            <w:vAlign w:val="bottom"/>
          </w:tcPr>
          <w:p>
            <w:pPr>
              <w:spacing w:after="0" w:line="124" w:lineRule="exact"/>
              <w:rPr>
                <w:sz w:val="20"/>
                <w:szCs w:val="20"/>
                <w:color w:val="auto"/>
              </w:rPr>
            </w:pPr>
            <w:r>
              <w:rPr>
                <w:rFonts w:ascii="Arial" w:cs="Arial" w:eastAsia="Arial" w:hAnsi="Arial"/>
                <w:sz w:val="11"/>
                <w:szCs w:val="11"/>
                <w:color w:val="auto"/>
              </w:rPr>
              <w:t>Cash Flows from Investing Activities:</w:t>
            </w:r>
          </w:p>
        </w:tc>
        <w:tc>
          <w:tcPr>
            <w:tcW w:w="80" w:type="dxa"/>
            <w:vAlign w:val="bottom"/>
            <w:tcBorders>
              <w:top w:val="single" w:sz="8" w:color="auto"/>
            </w:tcBorders>
          </w:tcPr>
          <w:p>
            <w:pPr>
              <w:spacing w:after="0"/>
              <w:rPr>
                <w:sz w:val="10"/>
                <w:szCs w:val="10"/>
                <w:color w:val="auto"/>
              </w:rPr>
            </w:pPr>
          </w:p>
        </w:tc>
        <w:tc>
          <w:tcPr>
            <w:tcW w:w="400" w:type="dxa"/>
            <w:vAlign w:val="bottom"/>
            <w:tcBorders>
              <w:top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400" w:type="dxa"/>
            <w:vAlign w:val="bottom"/>
            <w:tcBorders>
              <w:top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40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r>
      <w:tr>
        <w:trPr>
          <w:trHeight w:val="126"/>
        </w:trPr>
        <w:tc>
          <w:tcPr>
            <w:tcW w:w="5280" w:type="dxa"/>
            <w:vAlign w:val="bottom"/>
            <w:shd w:val="clear" w:color="auto" w:fill="CCEEFF"/>
          </w:tcPr>
          <w:p>
            <w:pPr>
              <w:ind w:left="220"/>
              <w:spacing w:after="0"/>
              <w:rPr>
                <w:sz w:val="20"/>
                <w:szCs w:val="20"/>
                <w:color w:val="auto"/>
              </w:rPr>
            </w:pPr>
            <w:r>
              <w:rPr>
                <w:rFonts w:ascii="Arial" w:cs="Arial" w:eastAsia="Arial" w:hAnsi="Arial"/>
                <w:sz w:val="11"/>
                <w:szCs w:val="11"/>
                <w:color w:val="auto"/>
              </w:rPr>
              <w:t>Purchases of marketable securities</w:t>
            </w:r>
          </w:p>
        </w:tc>
        <w:tc>
          <w:tcPr>
            <w:tcW w:w="80" w:type="dxa"/>
            <w:vAlign w:val="bottom"/>
            <w:shd w:val="clear" w:color="auto" w:fill="CCEEFF"/>
          </w:tcPr>
          <w:p>
            <w:pPr>
              <w:spacing w:after="0"/>
              <w:rPr>
                <w:sz w:val="10"/>
                <w:szCs w:val="10"/>
                <w:color w:val="auto"/>
              </w:rPr>
            </w:pP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w:t>
            </w:r>
          </w:p>
        </w:tc>
        <w:tc>
          <w:tcPr>
            <w:tcW w:w="2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(249.8)</w:t>
            </w:r>
          </w:p>
        </w:tc>
      </w:tr>
      <w:tr>
        <w:trPr>
          <w:trHeight w:val="126"/>
        </w:trPr>
        <w:tc>
          <w:tcPr>
            <w:tcW w:w="5280" w:type="dxa"/>
            <w:vAlign w:val="bottom"/>
          </w:tcPr>
          <w:p>
            <w:pPr>
              <w:ind w:left="220"/>
              <w:spacing w:after="0"/>
              <w:rPr>
                <w:sz w:val="20"/>
                <w:szCs w:val="20"/>
                <w:color w:val="auto"/>
              </w:rPr>
            </w:pPr>
            <w:r>
              <w:rPr>
                <w:rFonts w:ascii="Arial" w:cs="Arial" w:eastAsia="Arial" w:hAnsi="Arial"/>
                <w:sz w:val="11"/>
                <w:szCs w:val="11"/>
                <w:color w:val="auto"/>
              </w:rPr>
              <w:t>Maturities of marketable securities</w:t>
            </w:r>
          </w:p>
        </w:tc>
        <w:tc>
          <w:tcPr>
            <w:tcW w:w="80" w:type="dxa"/>
            <w:vAlign w:val="bottom"/>
          </w:tcPr>
          <w:p>
            <w:pPr>
              <w:spacing w:after="0"/>
              <w:rPr>
                <w:sz w:val="10"/>
                <w:szCs w:val="10"/>
                <w:color w:val="auto"/>
              </w:rPr>
            </w:pPr>
          </w:p>
        </w:tc>
        <w:tc>
          <w:tcPr>
            <w:tcW w:w="440" w:type="dxa"/>
            <w:vAlign w:val="bottom"/>
            <w:gridSpan w:val="2"/>
          </w:tcPr>
          <w:p>
            <w:pPr>
              <w:jc w:val="right"/>
              <w:ind w:right="40"/>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jc w:val="right"/>
              <w:spacing w:after="0"/>
              <w:rPr>
                <w:sz w:val="20"/>
                <w:szCs w:val="20"/>
                <w:color w:val="auto"/>
              </w:rPr>
            </w:pPr>
            <w:r>
              <w:rPr>
                <w:rFonts w:ascii="Arial" w:cs="Arial" w:eastAsia="Arial" w:hAnsi="Arial"/>
                <w:sz w:val="11"/>
                <w:szCs w:val="11"/>
                <w:color w:val="auto"/>
              </w:rPr>
              <w:t>36.0</w:t>
            </w:r>
          </w:p>
        </w:tc>
        <w:tc>
          <w:tcPr>
            <w:tcW w:w="80" w:type="dxa"/>
            <w:vAlign w:val="bottom"/>
          </w:tcPr>
          <w:p>
            <w:pPr>
              <w:spacing w:after="0"/>
              <w:rPr>
                <w:sz w:val="10"/>
                <w:szCs w:val="10"/>
                <w:color w:val="auto"/>
              </w:rPr>
            </w:pPr>
          </w:p>
        </w:tc>
      </w:tr>
      <w:tr>
        <w:trPr>
          <w:trHeight w:val="126"/>
        </w:trPr>
        <w:tc>
          <w:tcPr>
            <w:tcW w:w="5280" w:type="dxa"/>
            <w:vAlign w:val="bottom"/>
            <w:shd w:val="clear" w:color="auto" w:fill="CCEEFF"/>
          </w:tcPr>
          <w:p>
            <w:pPr>
              <w:ind w:left="220"/>
              <w:spacing w:after="0"/>
              <w:rPr>
                <w:sz w:val="20"/>
                <w:szCs w:val="20"/>
                <w:color w:val="auto"/>
              </w:rPr>
            </w:pPr>
            <w:r>
              <w:rPr>
                <w:rFonts w:ascii="Arial" w:cs="Arial" w:eastAsia="Arial" w:hAnsi="Arial"/>
                <w:sz w:val="11"/>
                <w:szCs w:val="11"/>
                <w:color w:val="auto"/>
              </w:rPr>
              <w:t>Cash paid for cost method investment</w:t>
            </w:r>
          </w:p>
        </w:tc>
        <w:tc>
          <w:tcPr>
            <w:tcW w:w="80" w:type="dxa"/>
            <w:vAlign w:val="bottom"/>
            <w:shd w:val="clear" w:color="auto" w:fill="CCEEFF"/>
          </w:tcPr>
          <w:p>
            <w:pPr>
              <w:spacing w:after="0"/>
              <w:rPr>
                <w:sz w:val="10"/>
                <w:szCs w:val="10"/>
                <w:color w:val="auto"/>
              </w:rPr>
            </w:pP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w:t>
            </w:r>
          </w:p>
        </w:tc>
        <w:tc>
          <w:tcPr>
            <w:tcW w:w="2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(0.6)</w:t>
            </w:r>
          </w:p>
        </w:tc>
      </w:tr>
      <w:tr>
        <w:trPr>
          <w:trHeight w:val="126"/>
        </w:trPr>
        <w:tc>
          <w:tcPr>
            <w:tcW w:w="5280" w:type="dxa"/>
            <w:vAlign w:val="bottom"/>
          </w:tcPr>
          <w:p>
            <w:pPr>
              <w:ind w:left="220"/>
              <w:spacing w:after="0"/>
              <w:rPr>
                <w:sz w:val="20"/>
                <w:szCs w:val="20"/>
                <w:color w:val="auto"/>
              </w:rPr>
            </w:pPr>
            <w:r>
              <w:rPr>
                <w:rFonts w:ascii="Arial" w:cs="Arial" w:eastAsia="Arial" w:hAnsi="Arial"/>
                <w:sz w:val="11"/>
                <w:szCs w:val="11"/>
                <w:color w:val="auto"/>
              </w:rPr>
              <w:t>Purchases of property and equipment</w:t>
            </w:r>
          </w:p>
        </w:tc>
        <w:tc>
          <w:tcPr>
            <w:tcW w:w="80" w:type="dxa"/>
            <w:vAlign w:val="bottom"/>
          </w:tcPr>
          <w:p>
            <w:pPr>
              <w:spacing w:after="0"/>
              <w:rPr>
                <w:sz w:val="10"/>
                <w:szCs w:val="10"/>
                <w:color w:val="auto"/>
              </w:rPr>
            </w:pPr>
          </w:p>
        </w:tc>
        <w:tc>
          <w:tcPr>
            <w:tcW w:w="440" w:type="dxa"/>
            <w:vAlign w:val="bottom"/>
            <w:gridSpan w:val="2"/>
          </w:tcPr>
          <w:p>
            <w:pPr>
              <w:jc w:val="right"/>
              <w:spacing w:after="0"/>
              <w:rPr>
                <w:sz w:val="20"/>
                <w:szCs w:val="20"/>
                <w:color w:val="auto"/>
              </w:rPr>
            </w:pPr>
            <w:r>
              <w:rPr>
                <w:rFonts w:ascii="Arial" w:cs="Arial" w:eastAsia="Arial" w:hAnsi="Arial"/>
                <w:sz w:val="11"/>
                <w:szCs w:val="11"/>
                <w:color w:val="auto"/>
              </w:rPr>
              <w:t>(10.2)</w:t>
            </w: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1"/>
                <w:szCs w:val="11"/>
                <w:color w:val="auto"/>
              </w:rPr>
              <w:t>(28.0)</w:t>
            </w: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gridSpan w:val="2"/>
          </w:tcPr>
          <w:p>
            <w:pPr>
              <w:jc w:val="right"/>
              <w:ind w:right="40"/>
              <w:spacing w:after="0"/>
              <w:rPr>
                <w:sz w:val="20"/>
                <w:szCs w:val="20"/>
                <w:color w:val="auto"/>
              </w:rPr>
            </w:pPr>
            <w:r>
              <w:rPr>
                <w:rFonts w:ascii="Arial" w:cs="Arial" w:eastAsia="Arial" w:hAnsi="Arial"/>
                <w:sz w:val="11"/>
                <w:szCs w:val="11"/>
                <w:color w:val="auto"/>
              </w:rPr>
              <w:t>(83.0)</w:t>
            </w:r>
          </w:p>
        </w:tc>
      </w:tr>
      <w:tr>
        <w:trPr>
          <w:trHeight w:val="126"/>
        </w:trPr>
        <w:tc>
          <w:tcPr>
            <w:tcW w:w="5280" w:type="dxa"/>
            <w:vAlign w:val="bottom"/>
            <w:shd w:val="clear" w:color="auto" w:fill="CCEEFF"/>
          </w:tcPr>
          <w:p>
            <w:pPr>
              <w:ind w:left="220"/>
              <w:spacing w:after="0"/>
              <w:rPr>
                <w:sz w:val="20"/>
                <w:szCs w:val="20"/>
                <w:color w:val="auto"/>
              </w:rPr>
            </w:pPr>
            <w:r>
              <w:rPr>
                <w:rFonts w:ascii="Arial" w:cs="Arial" w:eastAsia="Arial" w:hAnsi="Arial"/>
                <w:sz w:val="11"/>
                <w:szCs w:val="11"/>
                <w:color w:val="auto"/>
              </w:rPr>
              <w:t>Acquisition of business, net of cash acquired</w:t>
            </w:r>
          </w:p>
        </w:tc>
        <w:tc>
          <w:tcPr>
            <w:tcW w:w="80" w:type="dxa"/>
            <w:vAlign w:val="bottom"/>
            <w:shd w:val="clear" w:color="auto" w:fill="CCEEFF"/>
          </w:tcPr>
          <w:p>
            <w:pPr>
              <w:spacing w:after="0"/>
              <w:rPr>
                <w:sz w:val="10"/>
                <w:szCs w:val="10"/>
                <w:color w:val="auto"/>
              </w:rPr>
            </w:pP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w:t>
            </w:r>
          </w:p>
        </w:tc>
        <w:tc>
          <w:tcPr>
            <w:tcW w:w="2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(28.7)</w:t>
            </w: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(0.1)</w:t>
            </w:r>
          </w:p>
        </w:tc>
      </w:tr>
      <w:tr>
        <w:trPr>
          <w:trHeight w:val="20"/>
        </w:trPr>
        <w:tc>
          <w:tcPr>
            <w:tcW w:w="5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24"/>
        </w:trPr>
        <w:tc>
          <w:tcPr>
            <w:tcW w:w="5280" w:type="dxa"/>
            <w:vAlign w:val="bottom"/>
          </w:tcPr>
          <w:p>
            <w:pPr>
              <w:ind w:left="760"/>
              <w:spacing w:after="0" w:line="124" w:lineRule="exact"/>
              <w:rPr>
                <w:sz w:val="20"/>
                <w:szCs w:val="20"/>
                <w:color w:val="auto"/>
              </w:rPr>
            </w:pPr>
            <w:r>
              <w:rPr>
                <w:rFonts w:ascii="Arial" w:cs="Arial" w:eastAsia="Arial" w:hAnsi="Arial"/>
                <w:sz w:val="11"/>
                <w:szCs w:val="11"/>
                <w:color w:val="auto"/>
              </w:rPr>
              <w:t>Net cash used in investing activities</w:t>
            </w:r>
          </w:p>
        </w:tc>
        <w:tc>
          <w:tcPr>
            <w:tcW w:w="80" w:type="dxa"/>
            <w:vAlign w:val="bottom"/>
          </w:tcPr>
          <w:p>
            <w:pPr>
              <w:spacing w:after="0"/>
              <w:rPr>
                <w:sz w:val="10"/>
                <w:szCs w:val="10"/>
                <w:color w:val="auto"/>
              </w:rPr>
            </w:pPr>
          </w:p>
        </w:tc>
        <w:tc>
          <w:tcPr>
            <w:tcW w:w="440" w:type="dxa"/>
            <w:vAlign w:val="bottom"/>
            <w:gridSpan w:val="2"/>
          </w:tcPr>
          <w:p>
            <w:pPr>
              <w:jc w:val="right"/>
              <w:spacing w:after="0" w:line="124" w:lineRule="exact"/>
              <w:rPr>
                <w:sz w:val="20"/>
                <w:szCs w:val="20"/>
                <w:color w:val="auto"/>
              </w:rPr>
            </w:pPr>
            <w:r>
              <w:rPr>
                <w:rFonts w:ascii="Arial" w:cs="Arial" w:eastAsia="Arial" w:hAnsi="Arial"/>
                <w:sz w:val="11"/>
                <w:szCs w:val="11"/>
                <w:color w:val="auto"/>
              </w:rPr>
              <w:t>(10.2)</w:t>
            </w: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gridSpan w:val="2"/>
          </w:tcPr>
          <w:p>
            <w:pPr>
              <w:jc w:val="right"/>
              <w:ind w:right="200"/>
              <w:spacing w:after="0" w:line="124" w:lineRule="exact"/>
              <w:rPr>
                <w:sz w:val="20"/>
                <w:szCs w:val="20"/>
                <w:color w:val="auto"/>
              </w:rPr>
            </w:pPr>
            <w:r>
              <w:rPr>
                <w:rFonts w:ascii="Arial" w:cs="Arial" w:eastAsia="Arial" w:hAnsi="Arial"/>
                <w:sz w:val="11"/>
                <w:szCs w:val="11"/>
                <w:color w:val="auto"/>
              </w:rPr>
              <w:t>(56.7)</w:t>
            </w: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gridSpan w:val="2"/>
          </w:tcPr>
          <w:p>
            <w:pPr>
              <w:jc w:val="right"/>
              <w:ind w:right="40"/>
              <w:spacing w:after="0" w:line="124" w:lineRule="exact"/>
              <w:rPr>
                <w:sz w:val="20"/>
                <w:szCs w:val="20"/>
                <w:color w:val="auto"/>
              </w:rPr>
            </w:pPr>
            <w:r>
              <w:rPr>
                <w:rFonts w:ascii="Arial" w:cs="Arial" w:eastAsia="Arial" w:hAnsi="Arial"/>
                <w:sz w:val="11"/>
                <w:szCs w:val="11"/>
                <w:color w:val="auto"/>
              </w:rPr>
              <w:t>(297.5)</w:t>
            </w:r>
          </w:p>
        </w:tc>
      </w:tr>
      <w:tr>
        <w:trPr>
          <w:trHeight w:val="124"/>
        </w:trPr>
        <w:tc>
          <w:tcPr>
            <w:tcW w:w="5280" w:type="dxa"/>
            <w:vAlign w:val="bottom"/>
            <w:shd w:val="clear" w:color="auto" w:fill="CCEEFF"/>
          </w:tcPr>
          <w:p>
            <w:pPr>
              <w:spacing w:after="0" w:line="124" w:lineRule="exact"/>
              <w:rPr>
                <w:sz w:val="20"/>
                <w:szCs w:val="20"/>
                <w:color w:val="auto"/>
              </w:rPr>
            </w:pPr>
            <w:r>
              <w:rPr>
                <w:rFonts w:ascii="Arial" w:cs="Arial" w:eastAsia="Arial" w:hAnsi="Arial"/>
                <w:sz w:val="11"/>
                <w:szCs w:val="11"/>
                <w:color w:val="auto"/>
              </w:rPr>
              <w:t>Cash Flows from Financing Activities:</w:t>
            </w:r>
          </w:p>
        </w:tc>
        <w:tc>
          <w:tcPr>
            <w:tcW w:w="80" w:type="dxa"/>
            <w:vAlign w:val="bottom"/>
            <w:tcBorders>
              <w:top w:val="single" w:sz="8" w:color="auto"/>
            </w:tcBorders>
            <w:shd w:val="clear" w:color="auto" w:fill="CCEEFF"/>
          </w:tcPr>
          <w:p>
            <w:pPr>
              <w:spacing w:after="0"/>
              <w:rPr>
                <w:sz w:val="10"/>
                <w:szCs w:val="10"/>
                <w:color w:val="auto"/>
              </w:rPr>
            </w:pPr>
          </w:p>
        </w:tc>
        <w:tc>
          <w:tcPr>
            <w:tcW w:w="400" w:type="dxa"/>
            <w:vAlign w:val="bottom"/>
            <w:tcBorders>
              <w:top w:val="single" w:sz="8" w:color="auto"/>
            </w:tcBorders>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400" w:type="dxa"/>
            <w:vAlign w:val="bottom"/>
            <w:tcBorders>
              <w:top w:val="single" w:sz="8" w:color="auto"/>
            </w:tcBorders>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400" w:type="dxa"/>
            <w:vAlign w:val="bottom"/>
            <w:tcBorders>
              <w:top w:val="single" w:sz="8" w:color="auto"/>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r>
      <w:tr>
        <w:trPr>
          <w:trHeight w:val="126"/>
        </w:trPr>
        <w:tc>
          <w:tcPr>
            <w:tcW w:w="5280" w:type="dxa"/>
            <w:vAlign w:val="bottom"/>
          </w:tcPr>
          <w:p>
            <w:pPr>
              <w:ind w:left="220"/>
              <w:spacing w:after="0"/>
              <w:rPr>
                <w:sz w:val="20"/>
                <w:szCs w:val="20"/>
                <w:color w:val="auto"/>
              </w:rPr>
            </w:pPr>
            <w:r>
              <w:rPr>
                <w:rFonts w:ascii="Arial" w:cs="Arial" w:eastAsia="Arial" w:hAnsi="Arial"/>
                <w:sz w:val="11"/>
                <w:szCs w:val="11"/>
                <w:color w:val="auto"/>
              </w:rPr>
              <w:t>Proceeds from issuance of redeemable convertible preferred stock, net of issuance costs</w:t>
            </w:r>
          </w:p>
        </w:tc>
        <w:tc>
          <w:tcPr>
            <w:tcW w:w="80" w:type="dxa"/>
            <w:vAlign w:val="bottom"/>
          </w:tcPr>
          <w:p>
            <w:pPr>
              <w:spacing w:after="0"/>
              <w:rPr>
                <w:sz w:val="10"/>
                <w:szCs w:val="10"/>
                <w:color w:val="auto"/>
              </w:rPr>
            </w:pPr>
          </w:p>
        </w:tc>
        <w:tc>
          <w:tcPr>
            <w:tcW w:w="400" w:type="dxa"/>
            <w:vAlign w:val="bottom"/>
          </w:tcPr>
          <w:p>
            <w:pPr>
              <w:jc w:val="right"/>
              <w:spacing w:after="0"/>
              <w:rPr>
                <w:sz w:val="20"/>
                <w:szCs w:val="20"/>
                <w:color w:val="auto"/>
              </w:rPr>
            </w:pPr>
            <w:r>
              <w:rPr>
                <w:rFonts w:ascii="Arial" w:cs="Arial" w:eastAsia="Arial" w:hAnsi="Arial"/>
                <w:sz w:val="11"/>
                <w:szCs w:val="11"/>
                <w:color w:val="auto"/>
              </w:rPr>
              <w:t>315.6</w:t>
            </w:r>
          </w:p>
        </w:tc>
        <w:tc>
          <w:tcPr>
            <w:tcW w:w="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jc w:val="right"/>
              <w:spacing w:after="0"/>
              <w:rPr>
                <w:sz w:val="20"/>
                <w:szCs w:val="20"/>
                <w:color w:val="auto"/>
              </w:rPr>
            </w:pPr>
            <w:r>
              <w:rPr>
                <w:rFonts w:ascii="Arial" w:cs="Arial" w:eastAsia="Arial" w:hAnsi="Arial"/>
                <w:sz w:val="11"/>
                <w:szCs w:val="11"/>
                <w:color w:val="auto"/>
              </w:rPr>
              <w:t>539.1</w:t>
            </w:r>
          </w:p>
        </w:tc>
        <w:tc>
          <w:tcPr>
            <w:tcW w:w="80" w:type="dxa"/>
            <w:vAlign w:val="bottom"/>
          </w:tcPr>
          <w:p>
            <w:pPr>
              <w:spacing w:after="0"/>
              <w:rPr>
                <w:sz w:val="10"/>
                <w:szCs w:val="10"/>
                <w:color w:val="auto"/>
              </w:rPr>
            </w:pPr>
          </w:p>
        </w:tc>
      </w:tr>
      <w:tr>
        <w:trPr>
          <w:trHeight w:val="126"/>
        </w:trPr>
        <w:tc>
          <w:tcPr>
            <w:tcW w:w="5280" w:type="dxa"/>
            <w:vAlign w:val="bottom"/>
            <w:shd w:val="clear" w:color="auto" w:fill="CCEEFF"/>
          </w:tcPr>
          <w:p>
            <w:pPr>
              <w:ind w:left="220"/>
              <w:spacing w:after="0"/>
              <w:rPr>
                <w:sz w:val="20"/>
                <w:szCs w:val="20"/>
                <w:color w:val="auto"/>
              </w:rPr>
            </w:pPr>
            <w:r>
              <w:rPr>
                <w:rFonts w:ascii="Arial" w:cs="Arial" w:eastAsia="Arial" w:hAnsi="Arial"/>
                <w:sz w:val="11"/>
                <w:szCs w:val="11"/>
                <w:color w:val="auto"/>
              </w:rPr>
              <w:t>Repurchase of common and redeemable convertible preferred stock, including issuance costs</w:t>
            </w:r>
          </w:p>
        </w:tc>
        <w:tc>
          <w:tcPr>
            <w:tcW w:w="80" w:type="dxa"/>
            <w:vAlign w:val="bottom"/>
            <w:shd w:val="clear" w:color="auto" w:fill="CCEEFF"/>
          </w:tcPr>
          <w:p>
            <w:pPr>
              <w:spacing w:after="0"/>
              <w:rPr>
                <w:sz w:val="10"/>
                <w:szCs w:val="10"/>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(170.0)</w:t>
            </w:r>
          </w:p>
        </w:tc>
        <w:tc>
          <w:tcPr>
            <w:tcW w:w="2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(130.3)</w:t>
            </w:r>
          </w:p>
        </w:tc>
      </w:tr>
      <w:tr>
        <w:trPr>
          <w:trHeight w:val="126"/>
        </w:trPr>
        <w:tc>
          <w:tcPr>
            <w:tcW w:w="5280" w:type="dxa"/>
            <w:vAlign w:val="bottom"/>
          </w:tcPr>
          <w:p>
            <w:pPr>
              <w:ind w:left="220"/>
              <w:spacing w:after="0"/>
              <w:rPr>
                <w:sz w:val="20"/>
                <w:szCs w:val="20"/>
                <w:color w:val="auto"/>
              </w:rPr>
            </w:pPr>
            <w:r>
              <w:rPr>
                <w:rFonts w:ascii="Arial" w:cs="Arial" w:eastAsia="Arial" w:hAnsi="Arial"/>
                <w:sz w:val="11"/>
                <w:szCs w:val="11"/>
                <w:color w:val="auto"/>
              </w:rPr>
              <w:t>Proceeds from borrowings under credit facility</w:t>
            </w:r>
          </w:p>
        </w:tc>
        <w:tc>
          <w:tcPr>
            <w:tcW w:w="80" w:type="dxa"/>
            <w:vAlign w:val="bottom"/>
          </w:tcPr>
          <w:p>
            <w:pPr>
              <w:spacing w:after="0"/>
              <w:rPr>
                <w:sz w:val="10"/>
                <w:szCs w:val="10"/>
                <w:color w:val="auto"/>
              </w:rPr>
            </w:pPr>
          </w:p>
        </w:tc>
        <w:tc>
          <w:tcPr>
            <w:tcW w:w="400" w:type="dxa"/>
            <w:vAlign w:val="bottom"/>
          </w:tcPr>
          <w:p>
            <w:pPr>
              <w:jc w:val="right"/>
              <w:spacing w:after="0"/>
              <w:rPr>
                <w:sz w:val="20"/>
                <w:szCs w:val="20"/>
                <w:color w:val="auto"/>
              </w:rPr>
            </w:pPr>
            <w:r>
              <w:rPr>
                <w:rFonts w:ascii="Arial" w:cs="Arial" w:eastAsia="Arial" w:hAnsi="Arial"/>
                <w:sz w:val="11"/>
                <w:szCs w:val="11"/>
                <w:color w:val="auto"/>
              </w:rPr>
              <w:t>10.5</w:t>
            </w:r>
          </w:p>
        </w:tc>
        <w:tc>
          <w:tcPr>
            <w:tcW w:w="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gridSpan w:val="2"/>
          </w:tcPr>
          <w:p>
            <w:pPr>
              <w:jc w:val="right"/>
              <w:ind w:right="80"/>
              <w:spacing w:after="0"/>
              <w:rPr>
                <w:sz w:val="20"/>
                <w:szCs w:val="20"/>
                <w:color w:val="auto"/>
              </w:rPr>
            </w:pPr>
            <w:r>
              <w:rPr>
                <w:rFonts w:ascii="Arial" w:cs="Arial" w:eastAsia="Arial" w:hAnsi="Arial"/>
                <w:sz w:val="11"/>
                <w:szCs w:val="11"/>
                <w:color w:val="auto"/>
              </w:rPr>
              <w:t>—</w:t>
            </w:r>
          </w:p>
        </w:tc>
      </w:tr>
      <w:tr>
        <w:trPr>
          <w:trHeight w:val="126"/>
        </w:trPr>
        <w:tc>
          <w:tcPr>
            <w:tcW w:w="5280" w:type="dxa"/>
            <w:vAlign w:val="bottom"/>
            <w:shd w:val="clear" w:color="auto" w:fill="CCEEFF"/>
          </w:tcPr>
          <w:p>
            <w:pPr>
              <w:ind w:left="220"/>
              <w:spacing w:after="0"/>
              <w:rPr>
                <w:sz w:val="20"/>
                <w:szCs w:val="20"/>
                <w:color w:val="auto"/>
              </w:rPr>
            </w:pPr>
            <w:r>
              <w:rPr>
                <w:rFonts w:ascii="Arial" w:cs="Arial" w:eastAsia="Arial" w:hAnsi="Arial"/>
                <w:sz w:val="11"/>
                <w:szCs w:val="11"/>
                <w:color w:val="auto"/>
              </w:rPr>
              <w:t>Debt repayments</w:t>
            </w:r>
          </w:p>
        </w:tc>
        <w:tc>
          <w:tcPr>
            <w:tcW w:w="80" w:type="dxa"/>
            <w:vAlign w:val="bottom"/>
            <w:shd w:val="clear" w:color="auto" w:fill="CCEEFF"/>
          </w:tcPr>
          <w:p>
            <w:pPr>
              <w:spacing w:after="0"/>
              <w:rPr>
                <w:sz w:val="10"/>
                <w:szCs w:val="10"/>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(13.0)</w:t>
            </w:r>
          </w:p>
        </w:tc>
        <w:tc>
          <w:tcPr>
            <w:tcW w:w="2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(3.1)</w:t>
            </w: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8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auto"/>
              </w:rPr>
              <w:t>—</w:t>
            </w:r>
          </w:p>
        </w:tc>
      </w:tr>
      <w:tr>
        <w:trPr>
          <w:trHeight w:val="126"/>
        </w:trPr>
        <w:tc>
          <w:tcPr>
            <w:tcW w:w="5280" w:type="dxa"/>
            <w:vAlign w:val="bottom"/>
          </w:tcPr>
          <w:p>
            <w:pPr>
              <w:ind w:left="220"/>
              <w:spacing w:after="0"/>
              <w:rPr>
                <w:sz w:val="20"/>
                <w:szCs w:val="20"/>
                <w:color w:val="auto"/>
              </w:rPr>
            </w:pPr>
            <w:r>
              <w:rPr>
                <w:rFonts w:ascii="Arial" w:cs="Arial" w:eastAsia="Arial" w:hAnsi="Arial"/>
                <w:sz w:val="11"/>
                <w:szCs w:val="11"/>
                <w:color w:val="auto"/>
              </w:rPr>
              <w:t>Debt issuance costs</w:t>
            </w:r>
          </w:p>
        </w:tc>
        <w:tc>
          <w:tcPr>
            <w:tcW w:w="80" w:type="dxa"/>
            <w:vAlign w:val="bottom"/>
          </w:tcPr>
          <w:p>
            <w:pPr>
              <w:spacing w:after="0"/>
              <w:rPr>
                <w:sz w:val="10"/>
                <w:szCs w:val="10"/>
                <w:color w:val="auto"/>
              </w:rPr>
            </w:pPr>
          </w:p>
        </w:tc>
        <w:tc>
          <w:tcPr>
            <w:tcW w:w="440" w:type="dxa"/>
            <w:vAlign w:val="bottom"/>
            <w:gridSpan w:val="2"/>
          </w:tcPr>
          <w:p>
            <w:pPr>
              <w:jc w:val="right"/>
              <w:spacing w:after="0"/>
              <w:rPr>
                <w:sz w:val="20"/>
                <w:szCs w:val="20"/>
                <w:color w:val="auto"/>
              </w:rPr>
            </w:pPr>
            <w:r>
              <w:rPr>
                <w:rFonts w:ascii="Arial" w:cs="Arial" w:eastAsia="Arial" w:hAnsi="Arial"/>
                <w:sz w:val="11"/>
                <w:szCs w:val="11"/>
                <w:color w:val="auto"/>
              </w:rPr>
              <w:t>(0.2)</w:t>
            </w: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1"/>
                <w:szCs w:val="11"/>
                <w:color w:val="auto"/>
              </w:rPr>
              <w:t>(1.2)</w:t>
            </w: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gridSpan w:val="2"/>
          </w:tcPr>
          <w:p>
            <w:pPr>
              <w:jc w:val="right"/>
              <w:ind w:right="40"/>
              <w:spacing w:after="0"/>
              <w:rPr>
                <w:sz w:val="20"/>
                <w:szCs w:val="20"/>
                <w:color w:val="auto"/>
              </w:rPr>
            </w:pPr>
            <w:r>
              <w:rPr>
                <w:rFonts w:ascii="Arial" w:cs="Arial" w:eastAsia="Arial" w:hAnsi="Arial"/>
                <w:sz w:val="11"/>
                <w:szCs w:val="11"/>
                <w:color w:val="auto"/>
              </w:rPr>
              <w:t>(0.9)</w:t>
            </w:r>
          </w:p>
        </w:tc>
      </w:tr>
      <w:tr>
        <w:trPr>
          <w:trHeight w:val="126"/>
        </w:trPr>
        <w:tc>
          <w:tcPr>
            <w:tcW w:w="5280" w:type="dxa"/>
            <w:vAlign w:val="bottom"/>
            <w:shd w:val="clear" w:color="auto" w:fill="CCEEFF"/>
          </w:tcPr>
          <w:p>
            <w:pPr>
              <w:ind w:left="220"/>
              <w:spacing w:after="0"/>
              <w:rPr>
                <w:sz w:val="20"/>
                <w:szCs w:val="20"/>
                <w:color w:val="auto"/>
              </w:rPr>
            </w:pPr>
            <w:r>
              <w:rPr>
                <w:rFonts w:ascii="Arial" w:cs="Arial" w:eastAsia="Arial" w:hAnsi="Arial"/>
                <w:sz w:val="11"/>
                <w:szCs w:val="11"/>
                <w:color w:val="auto"/>
              </w:rPr>
              <w:t>Proceeds from exercise of stock options</w:t>
            </w:r>
          </w:p>
        </w:tc>
        <w:tc>
          <w:tcPr>
            <w:tcW w:w="80" w:type="dxa"/>
            <w:vAlign w:val="bottom"/>
            <w:tcBorders>
              <w:bottom w:val="single" w:sz="8" w:color="auto"/>
            </w:tcBorders>
            <w:shd w:val="clear" w:color="auto" w:fill="CCEEFF"/>
          </w:tcPr>
          <w:p>
            <w:pPr>
              <w:spacing w:after="0"/>
              <w:rPr>
                <w:sz w:val="10"/>
                <w:szCs w:val="10"/>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0.7</w:t>
            </w:r>
          </w:p>
        </w:tc>
        <w:tc>
          <w:tcPr>
            <w:tcW w:w="4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80" w:type="dxa"/>
            <w:vAlign w:val="bottom"/>
            <w:tcBorders>
              <w:bottom w:val="single" w:sz="8" w:color="auto"/>
            </w:tcBorders>
            <w:shd w:val="clear" w:color="auto" w:fill="CCEEFF"/>
          </w:tcPr>
          <w:p>
            <w:pPr>
              <w:spacing w:after="0"/>
              <w:rPr>
                <w:sz w:val="10"/>
                <w:szCs w:val="10"/>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7.4</w:t>
            </w:r>
          </w:p>
        </w:tc>
        <w:tc>
          <w:tcPr>
            <w:tcW w:w="2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tcBorders>
              <w:bottom w:val="single" w:sz="8" w:color="auto"/>
            </w:tcBorders>
            <w:shd w:val="clear" w:color="auto" w:fill="CCEEFF"/>
          </w:tcPr>
          <w:p>
            <w:pPr>
              <w:spacing w:after="0"/>
              <w:rPr>
                <w:sz w:val="10"/>
                <w:szCs w:val="10"/>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9.3</w:t>
            </w:r>
          </w:p>
        </w:tc>
        <w:tc>
          <w:tcPr>
            <w:tcW w:w="80" w:type="dxa"/>
            <w:vAlign w:val="bottom"/>
            <w:shd w:val="clear" w:color="auto" w:fill="CCEEFF"/>
          </w:tcPr>
          <w:p>
            <w:pPr>
              <w:spacing w:after="0"/>
              <w:rPr>
                <w:sz w:val="10"/>
                <w:szCs w:val="10"/>
                <w:color w:val="auto"/>
              </w:rPr>
            </w:pPr>
          </w:p>
        </w:tc>
      </w:tr>
      <w:tr>
        <w:trPr>
          <w:trHeight w:val="124"/>
        </w:trPr>
        <w:tc>
          <w:tcPr>
            <w:tcW w:w="5280" w:type="dxa"/>
            <w:vAlign w:val="bottom"/>
          </w:tcPr>
          <w:p>
            <w:pPr>
              <w:ind w:left="760"/>
              <w:spacing w:after="0" w:line="124" w:lineRule="exact"/>
              <w:rPr>
                <w:sz w:val="20"/>
                <w:szCs w:val="20"/>
                <w:color w:val="auto"/>
              </w:rPr>
            </w:pPr>
            <w:r>
              <w:rPr>
                <w:rFonts w:ascii="Arial" w:cs="Arial" w:eastAsia="Arial" w:hAnsi="Arial"/>
                <w:sz w:val="11"/>
                <w:szCs w:val="11"/>
                <w:color w:val="auto"/>
              </w:rPr>
              <w:t>Net cash provided by financing activities</w:t>
            </w:r>
          </w:p>
        </w:tc>
        <w:tc>
          <w:tcPr>
            <w:tcW w:w="8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jc w:val="right"/>
              <w:spacing w:after="0" w:line="124" w:lineRule="exact"/>
              <w:rPr>
                <w:sz w:val="20"/>
                <w:szCs w:val="20"/>
                <w:color w:val="auto"/>
              </w:rPr>
            </w:pPr>
            <w:r>
              <w:rPr>
                <w:rFonts w:ascii="Arial" w:cs="Arial" w:eastAsia="Arial" w:hAnsi="Arial"/>
                <w:sz w:val="11"/>
                <w:szCs w:val="11"/>
                <w:color w:val="auto"/>
              </w:rPr>
              <w:t>143.6</w:t>
            </w:r>
          </w:p>
        </w:tc>
        <w:tc>
          <w:tcPr>
            <w:tcW w:w="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jc w:val="right"/>
              <w:spacing w:after="0" w:line="124" w:lineRule="exact"/>
              <w:rPr>
                <w:sz w:val="20"/>
                <w:szCs w:val="20"/>
                <w:color w:val="auto"/>
              </w:rPr>
            </w:pPr>
            <w:r>
              <w:rPr>
                <w:rFonts w:ascii="Arial" w:cs="Arial" w:eastAsia="Arial" w:hAnsi="Arial"/>
                <w:sz w:val="11"/>
                <w:szCs w:val="11"/>
                <w:color w:val="auto"/>
              </w:rPr>
              <w:t>3.1</w:t>
            </w:r>
          </w:p>
        </w:tc>
        <w:tc>
          <w:tcPr>
            <w:tcW w:w="2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jc w:val="right"/>
              <w:spacing w:after="0" w:line="124" w:lineRule="exact"/>
              <w:rPr>
                <w:sz w:val="20"/>
                <w:szCs w:val="20"/>
                <w:color w:val="auto"/>
              </w:rPr>
            </w:pPr>
            <w:r>
              <w:rPr>
                <w:rFonts w:ascii="Arial" w:cs="Arial" w:eastAsia="Arial" w:hAnsi="Arial"/>
                <w:sz w:val="11"/>
                <w:szCs w:val="11"/>
                <w:color w:val="auto"/>
              </w:rPr>
              <w:t>417.2</w:t>
            </w:r>
          </w:p>
        </w:tc>
        <w:tc>
          <w:tcPr>
            <w:tcW w:w="80" w:type="dxa"/>
            <w:vAlign w:val="bottom"/>
          </w:tcPr>
          <w:p>
            <w:pPr>
              <w:spacing w:after="0"/>
              <w:rPr>
                <w:sz w:val="10"/>
                <w:szCs w:val="10"/>
                <w:color w:val="auto"/>
              </w:rPr>
            </w:pPr>
          </w:p>
        </w:tc>
      </w:tr>
      <w:tr>
        <w:trPr>
          <w:trHeight w:val="124"/>
        </w:trPr>
        <w:tc>
          <w:tcPr>
            <w:tcW w:w="5280" w:type="dxa"/>
            <w:vAlign w:val="bottom"/>
            <w:shd w:val="clear" w:color="auto" w:fill="CCEEFF"/>
          </w:tcPr>
          <w:p>
            <w:pPr>
              <w:spacing w:after="0" w:line="124" w:lineRule="exact"/>
              <w:rPr>
                <w:sz w:val="20"/>
                <w:szCs w:val="20"/>
                <w:color w:val="auto"/>
              </w:rPr>
            </w:pPr>
            <w:r>
              <w:rPr>
                <w:rFonts w:ascii="Arial" w:cs="Arial" w:eastAsia="Arial" w:hAnsi="Arial"/>
                <w:sz w:val="11"/>
                <w:szCs w:val="11"/>
                <w:color w:val="auto"/>
              </w:rPr>
              <w:t>Effect of exchange rate changes</w:t>
            </w:r>
          </w:p>
        </w:tc>
        <w:tc>
          <w:tcPr>
            <w:tcW w:w="80" w:type="dxa"/>
            <w:vAlign w:val="bottom"/>
            <w:shd w:val="clear" w:color="auto" w:fill="CCEEFF"/>
          </w:tcPr>
          <w:p>
            <w:pPr>
              <w:spacing w:after="0"/>
              <w:rPr>
                <w:sz w:val="10"/>
                <w:szCs w:val="10"/>
                <w:color w:val="auto"/>
              </w:rPr>
            </w:pPr>
          </w:p>
        </w:tc>
        <w:tc>
          <w:tcPr>
            <w:tcW w:w="440" w:type="dxa"/>
            <w:vAlign w:val="bottom"/>
            <w:gridSpan w:val="2"/>
            <w:shd w:val="clear" w:color="auto" w:fill="CCEEFF"/>
          </w:tcPr>
          <w:p>
            <w:pPr>
              <w:jc w:val="right"/>
              <w:ind w:right="40"/>
              <w:spacing w:after="0" w:line="124" w:lineRule="exact"/>
              <w:rPr>
                <w:sz w:val="20"/>
                <w:szCs w:val="20"/>
                <w:color w:val="auto"/>
              </w:rPr>
            </w:pPr>
            <w:r>
              <w:rPr>
                <w:rFonts w:ascii="Arial" w:cs="Arial" w:eastAsia="Arial" w:hAnsi="Arial"/>
                <w:sz w:val="11"/>
                <w:szCs w:val="11"/>
                <w:color w:val="auto"/>
              </w:rPr>
              <w:t>—</w:t>
            </w:r>
          </w:p>
        </w:tc>
        <w:tc>
          <w:tcPr>
            <w:tcW w:w="2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gridSpan w:val="2"/>
            <w:shd w:val="clear" w:color="auto" w:fill="CCEEFF"/>
          </w:tcPr>
          <w:p>
            <w:pPr>
              <w:jc w:val="right"/>
              <w:ind w:right="240"/>
              <w:spacing w:after="0" w:line="124" w:lineRule="exact"/>
              <w:rPr>
                <w:sz w:val="20"/>
                <w:szCs w:val="20"/>
                <w:color w:val="auto"/>
              </w:rPr>
            </w:pPr>
            <w:r>
              <w:rPr>
                <w:rFonts w:ascii="Arial" w:cs="Arial" w:eastAsia="Arial" w:hAnsi="Arial"/>
                <w:sz w:val="11"/>
                <w:szCs w:val="11"/>
                <w:color w:val="auto"/>
              </w:rPr>
              <w:t>—</w:t>
            </w: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jc w:val="right"/>
              <w:spacing w:after="0" w:line="124" w:lineRule="exact"/>
              <w:rPr>
                <w:sz w:val="20"/>
                <w:szCs w:val="20"/>
                <w:color w:val="auto"/>
              </w:rPr>
            </w:pPr>
            <w:r>
              <w:rPr>
                <w:rFonts w:ascii="Arial" w:cs="Arial" w:eastAsia="Arial" w:hAnsi="Arial"/>
                <w:sz w:val="11"/>
                <w:szCs w:val="11"/>
                <w:color w:val="auto"/>
              </w:rPr>
              <w:t>0.2</w:t>
            </w:r>
          </w:p>
        </w:tc>
        <w:tc>
          <w:tcPr>
            <w:tcW w:w="80" w:type="dxa"/>
            <w:vAlign w:val="bottom"/>
            <w:shd w:val="clear" w:color="auto" w:fill="CCEEFF"/>
          </w:tcPr>
          <w:p>
            <w:pPr>
              <w:spacing w:after="0"/>
              <w:rPr>
                <w:sz w:val="10"/>
                <w:szCs w:val="10"/>
                <w:color w:val="auto"/>
              </w:rPr>
            </w:pPr>
          </w:p>
        </w:tc>
      </w:tr>
      <w:tr>
        <w:trPr>
          <w:trHeight w:val="126"/>
        </w:trPr>
        <w:tc>
          <w:tcPr>
            <w:tcW w:w="5280" w:type="dxa"/>
            <w:vAlign w:val="bottom"/>
          </w:tcPr>
          <w:p>
            <w:pPr>
              <w:spacing w:after="0"/>
              <w:rPr>
                <w:sz w:val="20"/>
                <w:szCs w:val="20"/>
                <w:color w:val="auto"/>
              </w:rPr>
            </w:pPr>
            <w:r>
              <w:rPr>
                <w:rFonts w:ascii="Arial" w:cs="Arial" w:eastAsia="Arial" w:hAnsi="Arial"/>
                <w:sz w:val="11"/>
                <w:szCs w:val="11"/>
                <w:color w:val="auto"/>
              </w:rPr>
              <w:t>Net change in cash</w:t>
            </w:r>
          </w:p>
        </w:tc>
        <w:tc>
          <w:tcPr>
            <w:tcW w:w="80" w:type="dxa"/>
            <w:vAlign w:val="bottom"/>
          </w:tcPr>
          <w:p>
            <w:pPr>
              <w:spacing w:after="0"/>
              <w:rPr>
                <w:sz w:val="10"/>
                <w:szCs w:val="10"/>
                <w:color w:val="auto"/>
              </w:rPr>
            </w:pPr>
          </w:p>
        </w:tc>
        <w:tc>
          <w:tcPr>
            <w:tcW w:w="400" w:type="dxa"/>
            <w:vAlign w:val="bottom"/>
          </w:tcPr>
          <w:p>
            <w:pPr>
              <w:jc w:val="right"/>
              <w:spacing w:after="0"/>
              <w:rPr>
                <w:sz w:val="20"/>
                <w:szCs w:val="20"/>
                <w:color w:val="auto"/>
              </w:rPr>
            </w:pPr>
            <w:r>
              <w:rPr>
                <w:rFonts w:ascii="Arial" w:cs="Arial" w:eastAsia="Arial" w:hAnsi="Arial"/>
                <w:sz w:val="11"/>
                <w:szCs w:val="11"/>
                <w:color w:val="auto"/>
              </w:rPr>
              <w:t>114.8</w:t>
            </w:r>
          </w:p>
        </w:tc>
        <w:tc>
          <w:tcPr>
            <w:tcW w:w="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1"/>
                <w:szCs w:val="11"/>
                <w:color w:val="auto"/>
              </w:rPr>
              <w:t>(3.9)</w:t>
            </w: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jc w:val="right"/>
              <w:spacing w:after="0"/>
              <w:rPr>
                <w:sz w:val="20"/>
                <w:szCs w:val="20"/>
                <w:color w:val="auto"/>
              </w:rPr>
            </w:pPr>
            <w:r>
              <w:rPr>
                <w:rFonts w:ascii="Arial" w:cs="Arial" w:eastAsia="Arial" w:hAnsi="Arial"/>
                <w:sz w:val="11"/>
                <w:szCs w:val="11"/>
                <w:color w:val="auto"/>
              </w:rPr>
              <w:t>11.3</w:t>
            </w:r>
          </w:p>
        </w:tc>
        <w:tc>
          <w:tcPr>
            <w:tcW w:w="80" w:type="dxa"/>
            <w:vAlign w:val="bottom"/>
          </w:tcPr>
          <w:p>
            <w:pPr>
              <w:spacing w:after="0"/>
              <w:rPr>
                <w:sz w:val="10"/>
                <w:szCs w:val="10"/>
                <w:color w:val="auto"/>
              </w:rPr>
            </w:pPr>
          </w:p>
        </w:tc>
      </w:tr>
      <w:tr>
        <w:trPr>
          <w:trHeight w:val="126"/>
        </w:trPr>
        <w:tc>
          <w:tcPr>
            <w:tcW w:w="5280" w:type="dxa"/>
            <w:vAlign w:val="bottom"/>
            <w:shd w:val="clear" w:color="auto" w:fill="CCEEFF"/>
          </w:tcPr>
          <w:p>
            <w:pPr>
              <w:spacing w:after="0"/>
              <w:rPr>
                <w:sz w:val="20"/>
                <w:szCs w:val="20"/>
                <w:color w:val="auto"/>
              </w:rPr>
            </w:pPr>
            <w:r>
              <w:rPr>
                <w:rFonts w:ascii="Arial" w:cs="Arial" w:eastAsia="Arial" w:hAnsi="Arial"/>
                <w:sz w:val="11"/>
                <w:szCs w:val="11"/>
                <w:color w:val="auto"/>
              </w:rPr>
              <w:t>Cash, cash equivalents, and restricted cash — Beginning of period</w:t>
            </w:r>
          </w:p>
        </w:tc>
        <w:tc>
          <w:tcPr>
            <w:tcW w:w="80" w:type="dxa"/>
            <w:vAlign w:val="bottom"/>
            <w:tcBorders>
              <w:bottom w:val="single" w:sz="8" w:color="auto"/>
            </w:tcBorders>
            <w:shd w:val="clear" w:color="auto" w:fill="CCEEFF"/>
          </w:tcPr>
          <w:p>
            <w:pPr>
              <w:spacing w:after="0"/>
              <w:rPr>
                <w:sz w:val="10"/>
                <w:szCs w:val="10"/>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40.7</w:t>
            </w:r>
          </w:p>
        </w:tc>
        <w:tc>
          <w:tcPr>
            <w:tcW w:w="4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80" w:type="dxa"/>
            <w:vAlign w:val="bottom"/>
            <w:tcBorders>
              <w:bottom w:val="single" w:sz="8" w:color="auto"/>
            </w:tcBorders>
            <w:shd w:val="clear" w:color="auto" w:fill="CCEEFF"/>
          </w:tcPr>
          <w:p>
            <w:pPr>
              <w:spacing w:after="0"/>
              <w:rPr>
                <w:sz w:val="10"/>
                <w:szCs w:val="10"/>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155.5</w:t>
            </w:r>
          </w:p>
        </w:tc>
        <w:tc>
          <w:tcPr>
            <w:tcW w:w="2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tcBorders>
              <w:bottom w:val="single" w:sz="8" w:color="auto"/>
            </w:tcBorders>
            <w:shd w:val="clear" w:color="auto" w:fill="CCEEFF"/>
          </w:tcPr>
          <w:p>
            <w:pPr>
              <w:spacing w:after="0"/>
              <w:rPr>
                <w:sz w:val="10"/>
                <w:szCs w:val="10"/>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151.6</w:t>
            </w:r>
          </w:p>
        </w:tc>
        <w:tc>
          <w:tcPr>
            <w:tcW w:w="80" w:type="dxa"/>
            <w:vAlign w:val="bottom"/>
            <w:shd w:val="clear" w:color="auto" w:fill="CCEEFF"/>
          </w:tcPr>
          <w:p>
            <w:pPr>
              <w:spacing w:after="0"/>
              <w:rPr>
                <w:sz w:val="10"/>
                <w:szCs w:val="10"/>
                <w:color w:val="auto"/>
              </w:rPr>
            </w:pPr>
          </w:p>
        </w:tc>
      </w:tr>
      <w:tr>
        <w:trPr>
          <w:trHeight w:val="136"/>
        </w:trPr>
        <w:tc>
          <w:tcPr>
            <w:tcW w:w="5280" w:type="dxa"/>
            <w:vAlign w:val="bottom"/>
          </w:tcPr>
          <w:p>
            <w:pPr>
              <w:spacing w:after="0" w:line="124" w:lineRule="exact"/>
              <w:rPr>
                <w:sz w:val="20"/>
                <w:szCs w:val="20"/>
                <w:color w:val="auto"/>
              </w:rPr>
            </w:pPr>
            <w:r>
              <w:rPr>
                <w:rFonts w:ascii="Arial" w:cs="Arial" w:eastAsia="Arial" w:hAnsi="Arial"/>
                <w:sz w:val="11"/>
                <w:szCs w:val="11"/>
                <w:color w:val="auto"/>
              </w:rPr>
              <w:t>Cash, cash equivalents, and restricted cash — End of period</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tcPr>
          <w:p>
            <w:pPr>
              <w:jc w:val="right"/>
              <w:spacing w:after="0" w:line="124" w:lineRule="exact"/>
              <w:rPr>
                <w:sz w:val="20"/>
                <w:szCs w:val="20"/>
                <w:color w:val="auto"/>
              </w:rPr>
            </w:pPr>
            <w:r>
              <w:rPr>
                <w:rFonts w:ascii="Arial" w:cs="Arial" w:eastAsia="Arial" w:hAnsi="Arial"/>
                <w:sz w:val="11"/>
                <w:szCs w:val="11"/>
                <w:color w:val="auto"/>
              </w:rPr>
              <w:t>155.5</w:t>
            </w:r>
          </w:p>
        </w:tc>
        <w:tc>
          <w:tcPr>
            <w:tcW w:w="40" w:type="dxa"/>
            <w:vAlign w:val="bottom"/>
          </w:tcPr>
          <w:p>
            <w:pPr>
              <w:spacing w:after="0"/>
              <w:rPr>
                <w:sz w:val="11"/>
                <w:szCs w:val="11"/>
                <w:color w:val="auto"/>
              </w:rPr>
            </w:pPr>
          </w:p>
        </w:tc>
        <w:tc>
          <w:tcPr>
            <w:tcW w:w="320" w:type="dxa"/>
            <w:vAlign w:val="bottom"/>
            <w:gridSpan w:val="2"/>
          </w:tcPr>
          <w:p>
            <w:pPr>
              <w:jc w:val="right"/>
              <w:spacing w:after="0" w:line="124" w:lineRule="exact"/>
              <w:rPr>
                <w:sz w:val="20"/>
                <w:szCs w:val="20"/>
                <w:color w:val="auto"/>
              </w:rPr>
            </w:pPr>
            <w:r>
              <w:rPr>
                <w:rFonts w:ascii="Arial" w:cs="Arial" w:eastAsia="Arial" w:hAnsi="Arial"/>
                <w:sz w:val="11"/>
                <w:szCs w:val="11"/>
                <w:color w:val="auto"/>
              </w:rPr>
              <w:t>$</w:t>
            </w:r>
          </w:p>
        </w:tc>
        <w:tc>
          <w:tcPr>
            <w:tcW w:w="400" w:type="dxa"/>
            <w:vAlign w:val="bottom"/>
          </w:tcPr>
          <w:p>
            <w:pPr>
              <w:jc w:val="right"/>
              <w:spacing w:after="0" w:line="124" w:lineRule="exact"/>
              <w:rPr>
                <w:sz w:val="20"/>
                <w:szCs w:val="20"/>
                <w:color w:val="auto"/>
              </w:rPr>
            </w:pPr>
            <w:r>
              <w:rPr>
                <w:rFonts w:ascii="Arial" w:cs="Arial" w:eastAsia="Arial" w:hAnsi="Arial"/>
                <w:sz w:val="11"/>
                <w:szCs w:val="11"/>
                <w:color w:val="auto"/>
              </w:rPr>
              <w:t>151.6</w:t>
            </w:r>
          </w:p>
        </w:tc>
        <w:tc>
          <w:tcPr>
            <w:tcW w:w="240" w:type="dxa"/>
            <w:vAlign w:val="bottom"/>
          </w:tcPr>
          <w:p>
            <w:pPr>
              <w:spacing w:after="0"/>
              <w:rPr>
                <w:sz w:val="11"/>
                <w:szCs w:val="11"/>
                <w:color w:val="auto"/>
              </w:rPr>
            </w:pPr>
          </w:p>
        </w:tc>
        <w:tc>
          <w:tcPr>
            <w:tcW w:w="120" w:type="dxa"/>
            <w:vAlign w:val="bottom"/>
            <w:gridSpan w:val="2"/>
          </w:tcPr>
          <w:p>
            <w:pPr>
              <w:jc w:val="right"/>
              <w:ind w:right="20"/>
              <w:spacing w:after="0" w:line="124" w:lineRule="exact"/>
              <w:rPr>
                <w:sz w:val="20"/>
                <w:szCs w:val="20"/>
                <w:color w:val="auto"/>
              </w:rPr>
            </w:pPr>
            <w:r>
              <w:rPr>
                <w:rFonts w:ascii="Arial" w:cs="Arial" w:eastAsia="Arial" w:hAnsi="Arial"/>
                <w:sz w:val="11"/>
                <w:szCs w:val="11"/>
                <w:color w:val="auto"/>
              </w:rPr>
              <w:t>$</w:t>
            </w:r>
          </w:p>
        </w:tc>
        <w:tc>
          <w:tcPr>
            <w:tcW w:w="400" w:type="dxa"/>
            <w:vAlign w:val="bottom"/>
          </w:tcPr>
          <w:p>
            <w:pPr>
              <w:jc w:val="right"/>
              <w:spacing w:after="0" w:line="124" w:lineRule="exact"/>
              <w:rPr>
                <w:sz w:val="20"/>
                <w:szCs w:val="20"/>
                <w:color w:val="auto"/>
              </w:rPr>
            </w:pPr>
            <w:r>
              <w:rPr>
                <w:rFonts w:ascii="Arial" w:cs="Arial" w:eastAsia="Arial" w:hAnsi="Arial"/>
                <w:sz w:val="11"/>
                <w:szCs w:val="11"/>
                <w:color w:val="auto"/>
              </w:rPr>
              <w:t>163.0</w:t>
            </w:r>
          </w:p>
        </w:tc>
        <w:tc>
          <w:tcPr>
            <w:tcW w:w="80" w:type="dxa"/>
            <w:vAlign w:val="bottom"/>
          </w:tcPr>
          <w:p>
            <w:pPr>
              <w:spacing w:after="0"/>
              <w:rPr>
                <w:sz w:val="11"/>
                <w:szCs w:val="11"/>
                <w:color w:val="auto"/>
              </w:rPr>
            </w:pPr>
          </w:p>
        </w:tc>
      </w:tr>
      <w:tr>
        <w:trPr>
          <w:trHeight w:val="131"/>
        </w:trPr>
        <w:tc>
          <w:tcPr>
            <w:tcW w:w="5280" w:type="dxa"/>
            <w:vAlign w:val="bottom"/>
            <w:shd w:val="clear" w:color="auto" w:fill="CCEEFF"/>
          </w:tcPr>
          <w:p>
            <w:pPr>
              <w:spacing w:after="0"/>
              <w:rPr>
                <w:sz w:val="20"/>
                <w:szCs w:val="20"/>
                <w:color w:val="auto"/>
              </w:rPr>
            </w:pPr>
            <w:r>
              <w:rPr>
                <w:rFonts w:ascii="Arial" w:cs="Arial" w:eastAsia="Arial" w:hAnsi="Arial"/>
                <w:sz w:val="11"/>
                <w:szCs w:val="11"/>
                <w:color w:val="auto"/>
              </w:rPr>
              <w:t>Supplemental Disclosures of Cash Flow Information:</w:t>
            </w:r>
          </w:p>
        </w:tc>
        <w:tc>
          <w:tcPr>
            <w:tcW w:w="80" w:type="dxa"/>
            <w:vAlign w:val="bottom"/>
            <w:tcBorders>
              <w:top w:val="single" w:sz="8" w:color="auto"/>
            </w:tcBorders>
            <w:shd w:val="clear" w:color="auto" w:fill="CCEEFF"/>
          </w:tcPr>
          <w:p>
            <w:pPr>
              <w:spacing w:after="0"/>
              <w:rPr>
                <w:sz w:val="11"/>
                <w:szCs w:val="11"/>
                <w:color w:val="auto"/>
              </w:rPr>
            </w:pPr>
          </w:p>
        </w:tc>
        <w:tc>
          <w:tcPr>
            <w:tcW w:w="400" w:type="dxa"/>
            <w:vAlign w:val="bottom"/>
            <w:tcBorders>
              <w:top w:val="single" w:sz="8" w:color="auto"/>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400" w:type="dxa"/>
            <w:vAlign w:val="bottom"/>
            <w:tcBorders>
              <w:top w:val="single" w:sz="8" w:color="auto"/>
            </w:tcBorders>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40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r>
      <w:tr>
        <w:trPr>
          <w:trHeight w:val="138"/>
        </w:trPr>
        <w:tc>
          <w:tcPr>
            <w:tcW w:w="5280" w:type="dxa"/>
            <w:vAlign w:val="bottom"/>
          </w:tcPr>
          <w:p>
            <w:pPr>
              <w:ind w:left="220"/>
              <w:spacing w:after="0"/>
              <w:rPr>
                <w:sz w:val="20"/>
                <w:szCs w:val="20"/>
                <w:color w:val="auto"/>
              </w:rPr>
            </w:pPr>
            <w:r>
              <w:rPr>
                <w:rFonts w:ascii="Arial" w:cs="Arial" w:eastAsia="Arial" w:hAnsi="Arial"/>
                <w:sz w:val="11"/>
                <w:szCs w:val="11"/>
                <w:color w:val="auto"/>
              </w:rPr>
              <w:t>Cash paid for interest</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tcPr>
          <w:p>
            <w:pPr>
              <w:jc w:val="right"/>
              <w:spacing w:after="0"/>
              <w:rPr>
                <w:sz w:val="20"/>
                <w:szCs w:val="20"/>
                <w:color w:val="auto"/>
              </w:rPr>
            </w:pPr>
            <w:r>
              <w:rPr>
                <w:rFonts w:ascii="Arial" w:cs="Arial" w:eastAsia="Arial" w:hAnsi="Arial"/>
                <w:sz w:val="11"/>
                <w:szCs w:val="11"/>
                <w:color w:val="auto"/>
              </w:rPr>
              <w:t>0.2</w:t>
            </w:r>
          </w:p>
        </w:tc>
        <w:tc>
          <w:tcPr>
            <w:tcW w:w="40" w:type="dxa"/>
            <w:vAlign w:val="bottom"/>
          </w:tcPr>
          <w:p>
            <w:pPr>
              <w:spacing w:after="0"/>
              <w:rPr>
                <w:sz w:val="11"/>
                <w:szCs w:val="11"/>
                <w:color w:val="auto"/>
              </w:rPr>
            </w:pPr>
          </w:p>
        </w:tc>
        <w:tc>
          <w:tcPr>
            <w:tcW w:w="32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400" w:type="dxa"/>
            <w:vAlign w:val="bottom"/>
          </w:tcPr>
          <w:p>
            <w:pPr>
              <w:jc w:val="right"/>
              <w:spacing w:after="0"/>
              <w:rPr>
                <w:sz w:val="20"/>
                <w:szCs w:val="20"/>
                <w:color w:val="auto"/>
              </w:rPr>
            </w:pPr>
            <w:r>
              <w:rPr>
                <w:rFonts w:ascii="Arial" w:cs="Arial" w:eastAsia="Arial" w:hAnsi="Arial"/>
                <w:sz w:val="11"/>
                <w:szCs w:val="11"/>
                <w:color w:val="auto"/>
              </w:rPr>
              <w:t>0.3</w:t>
            </w:r>
          </w:p>
        </w:tc>
        <w:tc>
          <w:tcPr>
            <w:tcW w:w="240" w:type="dxa"/>
            <w:vAlign w:val="bottom"/>
          </w:tcPr>
          <w:p>
            <w:pPr>
              <w:spacing w:after="0"/>
              <w:rPr>
                <w:sz w:val="11"/>
                <w:szCs w:val="11"/>
                <w:color w:val="auto"/>
              </w:rPr>
            </w:pPr>
          </w:p>
        </w:tc>
        <w:tc>
          <w:tcPr>
            <w:tcW w:w="120" w:type="dxa"/>
            <w:vAlign w:val="bottom"/>
            <w:gridSpan w:val="2"/>
          </w:tcPr>
          <w:p>
            <w:pPr>
              <w:jc w:val="right"/>
              <w:ind w:right="20"/>
              <w:spacing w:after="0"/>
              <w:rPr>
                <w:sz w:val="20"/>
                <w:szCs w:val="20"/>
                <w:color w:val="auto"/>
              </w:rPr>
            </w:pPr>
            <w:r>
              <w:rPr>
                <w:rFonts w:ascii="Arial" w:cs="Arial" w:eastAsia="Arial" w:hAnsi="Arial"/>
                <w:sz w:val="11"/>
                <w:szCs w:val="11"/>
                <w:color w:val="auto"/>
              </w:rPr>
              <w:t>$</w:t>
            </w:r>
          </w:p>
        </w:tc>
        <w:tc>
          <w:tcPr>
            <w:tcW w:w="400" w:type="dxa"/>
            <w:vAlign w:val="bottom"/>
          </w:tcPr>
          <w:p>
            <w:pPr>
              <w:jc w:val="right"/>
              <w:spacing w:after="0"/>
              <w:rPr>
                <w:sz w:val="20"/>
                <w:szCs w:val="20"/>
                <w:color w:val="auto"/>
              </w:rPr>
            </w:pPr>
            <w:r>
              <w:rPr>
                <w:rFonts w:ascii="Arial" w:cs="Arial" w:eastAsia="Arial" w:hAnsi="Arial"/>
                <w:sz w:val="11"/>
                <w:szCs w:val="11"/>
                <w:color w:val="auto"/>
              </w:rPr>
              <w:t>1.1</w:t>
            </w:r>
          </w:p>
        </w:tc>
        <w:tc>
          <w:tcPr>
            <w:tcW w:w="80" w:type="dxa"/>
            <w:vAlign w:val="bottom"/>
          </w:tcPr>
          <w:p>
            <w:pPr>
              <w:spacing w:after="0"/>
              <w:rPr>
                <w:sz w:val="11"/>
                <w:szCs w:val="11"/>
                <w:color w:val="auto"/>
              </w:rPr>
            </w:pPr>
          </w:p>
        </w:tc>
      </w:tr>
      <w:tr>
        <w:trPr>
          <w:trHeight w:val="131"/>
        </w:trPr>
        <w:tc>
          <w:tcPr>
            <w:tcW w:w="5280" w:type="dxa"/>
            <w:vAlign w:val="bottom"/>
            <w:shd w:val="clear" w:color="auto" w:fill="CCEEFF"/>
          </w:tcPr>
          <w:p>
            <w:pPr>
              <w:spacing w:after="0"/>
              <w:rPr>
                <w:sz w:val="20"/>
                <w:szCs w:val="20"/>
                <w:color w:val="auto"/>
              </w:rPr>
            </w:pPr>
            <w:r>
              <w:rPr>
                <w:rFonts w:ascii="Arial" w:cs="Arial" w:eastAsia="Arial" w:hAnsi="Arial"/>
                <w:sz w:val="11"/>
                <w:szCs w:val="11"/>
                <w:color w:val="auto"/>
              </w:rPr>
              <w:t>Supplemental Disclosures of Non-Cash Investing and Financing Information:</w:t>
            </w:r>
          </w:p>
        </w:tc>
        <w:tc>
          <w:tcPr>
            <w:tcW w:w="80" w:type="dxa"/>
            <w:vAlign w:val="bottom"/>
            <w:tcBorders>
              <w:top w:val="single" w:sz="8" w:color="auto"/>
            </w:tcBorders>
            <w:shd w:val="clear" w:color="auto" w:fill="CCEEFF"/>
          </w:tcPr>
          <w:p>
            <w:pPr>
              <w:spacing w:after="0"/>
              <w:rPr>
                <w:sz w:val="11"/>
                <w:szCs w:val="11"/>
                <w:color w:val="auto"/>
              </w:rPr>
            </w:pPr>
          </w:p>
        </w:tc>
        <w:tc>
          <w:tcPr>
            <w:tcW w:w="400" w:type="dxa"/>
            <w:vAlign w:val="bottom"/>
            <w:tcBorders>
              <w:top w:val="single" w:sz="8" w:color="auto"/>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400" w:type="dxa"/>
            <w:vAlign w:val="bottom"/>
            <w:tcBorders>
              <w:top w:val="single" w:sz="8" w:color="auto"/>
            </w:tcBorders>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40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r>
      <w:tr>
        <w:trPr>
          <w:trHeight w:val="126"/>
        </w:trPr>
        <w:tc>
          <w:tcPr>
            <w:tcW w:w="5280" w:type="dxa"/>
            <w:vAlign w:val="bottom"/>
          </w:tcPr>
          <w:p>
            <w:pPr>
              <w:ind w:left="220"/>
              <w:spacing w:after="0"/>
              <w:rPr>
                <w:sz w:val="20"/>
                <w:szCs w:val="20"/>
                <w:color w:val="auto"/>
              </w:rPr>
            </w:pPr>
            <w:r>
              <w:rPr>
                <w:rFonts w:ascii="Arial" w:cs="Arial" w:eastAsia="Arial" w:hAnsi="Arial"/>
                <w:sz w:val="11"/>
                <w:szCs w:val="11"/>
                <w:color w:val="auto"/>
              </w:rPr>
              <w:t>Property and equipment accrued but unpaid</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tcPr>
          <w:p>
            <w:pPr>
              <w:jc w:val="right"/>
              <w:spacing w:after="0"/>
              <w:rPr>
                <w:sz w:val="20"/>
                <w:szCs w:val="20"/>
                <w:color w:val="auto"/>
              </w:rPr>
            </w:pPr>
            <w:r>
              <w:rPr>
                <w:rFonts w:ascii="Arial" w:cs="Arial" w:eastAsia="Arial" w:hAnsi="Arial"/>
                <w:sz w:val="11"/>
                <w:szCs w:val="11"/>
                <w:color w:val="auto"/>
              </w:rPr>
              <w:t>0.4</w:t>
            </w:r>
          </w:p>
        </w:tc>
        <w:tc>
          <w:tcPr>
            <w:tcW w:w="40" w:type="dxa"/>
            <w:vAlign w:val="bottom"/>
          </w:tcPr>
          <w:p>
            <w:pPr>
              <w:spacing w:after="0"/>
              <w:rPr>
                <w:sz w:val="10"/>
                <w:szCs w:val="10"/>
                <w:color w:val="auto"/>
              </w:rPr>
            </w:pPr>
          </w:p>
        </w:tc>
        <w:tc>
          <w:tcPr>
            <w:tcW w:w="32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400" w:type="dxa"/>
            <w:vAlign w:val="bottom"/>
          </w:tcPr>
          <w:p>
            <w:pPr>
              <w:jc w:val="right"/>
              <w:spacing w:after="0"/>
              <w:rPr>
                <w:sz w:val="20"/>
                <w:szCs w:val="20"/>
                <w:color w:val="auto"/>
              </w:rPr>
            </w:pPr>
            <w:r>
              <w:rPr>
                <w:rFonts w:ascii="Arial" w:cs="Arial" w:eastAsia="Arial" w:hAnsi="Arial"/>
                <w:sz w:val="11"/>
                <w:szCs w:val="11"/>
                <w:color w:val="auto"/>
              </w:rPr>
              <w:t>4.3</w:t>
            </w:r>
          </w:p>
        </w:tc>
        <w:tc>
          <w:tcPr>
            <w:tcW w:w="240" w:type="dxa"/>
            <w:vAlign w:val="bottom"/>
          </w:tcPr>
          <w:p>
            <w:pPr>
              <w:spacing w:after="0"/>
              <w:rPr>
                <w:sz w:val="10"/>
                <w:szCs w:val="10"/>
                <w:color w:val="auto"/>
              </w:rPr>
            </w:pPr>
          </w:p>
        </w:tc>
        <w:tc>
          <w:tcPr>
            <w:tcW w:w="120" w:type="dxa"/>
            <w:vAlign w:val="bottom"/>
            <w:gridSpan w:val="2"/>
          </w:tcPr>
          <w:p>
            <w:pPr>
              <w:jc w:val="right"/>
              <w:ind w:right="20"/>
              <w:spacing w:after="0"/>
              <w:rPr>
                <w:sz w:val="20"/>
                <w:szCs w:val="20"/>
                <w:color w:val="auto"/>
              </w:rPr>
            </w:pPr>
            <w:r>
              <w:rPr>
                <w:rFonts w:ascii="Arial" w:cs="Arial" w:eastAsia="Arial" w:hAnsi="Arial"/>
                <w:sz w:val="11"/>
                <w:szCs w:val="11"/>
                <w:color w:val="auto"/>
              </w:rPr>
              <w:t>$</w:t>
            </w:r>
          </w:p>
        </w:tc>
        <w:tc>
          <w:tcPr>
            <w:tcW w:w="400" w:type="dxa"/>
            <w:vAlign w:val="bottom"/>
          </w:tcPr>
          <w:p>
            <w:pPr>
              <w:jc w:val="right"/>
              <w:spacing w:after="0"/>
              <w:rPr>
                <w:sz w:val="20"/>
                <w:szCs w:val="20"/>
                <w:color w:val="auto"/>
              </w:rPr>
            </w:pPr>
            <w:r>
              <w:rPr>
                <w:rFonts w:ascii="Arial" w:cs="Arial" w:eastAsia="Arial" w:hAnsi="Arial"/>
                <w:sz w:val="11"/>
                <w:szCs w:val="11"/>
                <w:color w:val="auto"/>
              </w:rPr>
              <w:t>12.6</w:t>
            </w:r>
          </w:p>
        </w:tc>
        <w:tc>
          <w:tcPr>
            <w:tcW w:w="80" w:type="dxa"/>
            <w:vAlign w:val="bottom"/>
          </w:tcPr>
          <w:p>
            <w:pPr>
              <w:spacing w:after="0"/>
              <w:rPr>
                <w:sz w:val="10"/>
                <w:szCs w:val="10"/>
                <w:color w:val="auto"/>
              </w:rPr>
            </w:pPr>
          </w:p>
        </w:tc>
      </w:tr>
      <w:tr>
        <w:trPr>
          <w:trHeight w:val="32"/>
        </w:trPr>
        <w:tc>
          <w:tcPr>
            <w:tcW w:w="52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131"/>
        </w:trPr>
        <w:tc>
          <w:tcPr>
            <w:tcW w:w="5280" w:type="dxa"/>
            <w:vAlign w:val="bottom"/>
            <w:shd w:val="clear" w:color="auto" w:fill="CCEEFF"/>
          </w:tcPr>
          <w:p>
            <w:pPr>
              <w:ind w:left="220"/>
              <w:spacing w:after="0"/>
              <w:rPr>
                <w:sz w:val="20"/>
                <w:szCs w:val="20"/>
                <w:color w:val="auto"/>
              </w:rPr>
            </w:pPr>
            <w:r>
              <w:rPr>
                <w:rFonts w:ascii="Arial" w:cs="Arial" w:eastAsia="Arial" w:hAnsi="Arial"/>
                <w:sz w:val="11"/>
                <w:szCs w:val="11"/>
                <w:color w:val="auto"/>
              </w:rPr>
              <w:t>Building — build-to-suit asset</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640" w:type="dxa"/>
            <w:vAlign w:val="bottom"/>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gridSpan w:val="2"/>
            <w:shd w:val="clear" w:color="auto" w:fill="CCEEFF"/>
          </w:tcPr>
          <w:p>
            <w:pPr>
              <w:jc w:val="right"/>
              <w:ind w:right="20"/>
              <w:spacing w:after="0"/>
              <w:rPr>
                <w:sz w:val="20"/>
                <w:szCs w:val="20"/>
                <w:color w:val="auto"/>
              </w:rPr>
            </w:pPr>
            <w:r>
              <w:rPr>
                <w:rFonts w:ascii="Arial" w:cs="Arial" w:eastAsia="Arial" w:hAnsi="Arial"/>
                <w:sz w:val="11"/>
                <w:szCs w:val="11"/>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147.1</w:t>
            </w:r>
          </w:p>
        </w:tc>
        <w:tc>
          <w:tcPr>
            <w:tcW w:w="80" w:type="dxa"/>
            <w:vAlign w:val="bottom"/>
            <w:shd w:val="clear" w:color="auto" w:fill="CCEEFF"/>
          </w:tcPr>
          <w:p>
            <w:pPr>
              <w:spacing w:after="0"/>
              <w:rPr>
                <w:sz w:val="11"/>
                <w:szCs w:val="11"/>
                <w:color w:val="auto"/>
              </w:rPr>
            </w:pPr>
          </w:p>
        </w:tc>
      </w:tr>
      <w:tr>
        <w:trPr>
          <w:trHeight w:val="27"/>
        </w:trPr>
        <w:tc>
          <w:tcPr>
            <w:tcW w:w="52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135"/>
        </w:trPr>
        <w:tc>
          <w:tcPr>
            <w:tcW w:w="5280" w:type="dxa"/>
            <w:vAlign w:val="bottom"/>
          </w:tcPr>
          <w:p>
            <w:pPr>
              <w:ind w:left="220"/>
              <w:spacing w:after="0"/>
              <w:rPr>
                <w:sz w:val="20"/>
                <w:szCs w:val="20"/>
                <w:color w:val="auto"/>
              </w:rPr>
            </w:pPr>
            <w:r>
              <w:rPr>
                <w:rFonts w:ascii="Arial" w:cs="Arial" w:eastAsia="Arial" w:hAnsi="Arial"/>
                <w:sz w:val="11"/>
                <w:szCs w:val="11"/>
                <w:color w:val="auto"/>
              </w:rPr>
              <w:t>Stock-based compensation expense capitalized for software development costs</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40" w:type="dxa"/>
            <w:vAlign w:val="bottom"/>
            <w:gridSpan w:val="2"/>
          </w:tcPr>
          <w:p>
            <w:pPr>
              <w:jc w:val="right"/>
              <w:ind w:right="40"/>
              <w:spacing w:after="0"/>
              <w:rPr>
                <w:sz w:val="20"/>
                <w:szCs w:val="20"/>
                <w:color w:val="auto"/>
              </w:rPr>
            </w:pPr>
            <w:r>
              <w:rPr>
                <w:rFonts w:ascii="Arial" w:cs="Arial" w:eastAsia="Arial" w:hAnsi="Arial"/>
                <w:sz w:val="11"/>
                <w:szCs w:val="11"/>
                <w:color w:val="auto"/>
              </w:rPr>
              <w:t>—</w:t>
            </w:r>
          </w:p>
        </w:tc>
        <w:tc>
          <w:tcPr>
            <w:tcW w:w="32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400" w:type="dxa"/>
            <w:vAlign w:val="bottom"/>
          </w:tcPr>
          <w:p>
            <w:pPr>
              <w:jc w:val="right"/>
              <w:spacing w:after="0"/>
              <w:rPr>
                <w:sz w:val="20"/>
                <w:szCs w:val="20"/>
                <w:color w:val="auto"/>
              </w:rPr>
            </w:pPr>
            <w:r>
              <w:rPr>
                <w:rFonts w:ascii="Arial" w:cs="Arial" w:eastAsia="Arial" w:hAnsi="Arial"/>
                <w:sz w:val="11"/>
                <w:szCs w:val="11"/>
                <w:color w:val="auto"/>
              </w:rPr>
              <w:t>0.3</w:t>
            </w:r>
          </w:p>
        </w:tc>
        <w:tc>
          <w:tcPr>
            <w:tcW w:w="240" w:type="dxa"/>
            <w:vAlign w:val="bottom"/>
          </w:tcPr>
          <w:p>
            <w:pPr>
              <w:spacing w:after="0"/>
              <w:rPr>
                <w:sz w:val="11"/>
                <w:szCs w:val="11"/>
                <w:color w:val="auto"/>
              </w:rPr>
            </w:pPr>
          </w:p>
        </w:tc>
        <w:tc>
          <w:tcPr>
            <w:tcW w:w="120" w:type="dxa"/>
            <w:vAlign w:val="bottom"/>
            <w:gridSpan w:val="2"/>
          </w:tcPr>
          <w:p>
            <w:pPr>
              <w:jc w:val="right"/>
              <w:ind w:right="20"/>
              <w:spacing w:after="0"/>
              <w:rPr>
                <w:sz w:val="20"/>
                <w:szCs w:val="20"/>
                <w:color w:val="auto"/>
              </w:rPr>
            </w:pPr>
            <w:r>
              <w:rPr>
                <w:rFonts w:ascii="Arial" w:cs="Arial" w:eastAsia="Arial" w:hAnsi="Arial"/>
                <w:sz w:val="11"/>
                <w:szCs w:val="11"/>
                <w:color w:val="auto"/>
              </w:rPr>
              <w:t>$</w:t>
            </w:r>
          </w:p>
        </w:tc>
        <w:tc>
          <w:tcPr>
            <w:tcW w:w="400" w:type="dxa"/>
            <w:vAlign w:val="bottom"/>
          </w:tcPr>
          <w:p>
            <w:pPr>
              <w:jc w:val="right"/>
              <w:spacing w:after="0"/>
              <w:rPr>
                <w:sz w:val="20"/>
                <w:szCs w:val="20"/>
                <w:color w:val="auto"/>
              </w:rPr>
            </w:pPr>
            <w:r>
              <w:rPr>
                <w:rFonts w:ascii="Arial" w:cs="Arial" w:eastAsia="Arial" w:hAnsi="Arial"/>
                <w:sz w:val="11"/>
                <w:szCs w:val="11"/>
                <w:color w:val="auto"/>
              </w:rPr>
              <w:t>0.8</w:t>
            </w:r>
          </w:p>
        </w:tc>
        <w:tc>
          <w:tcPr>
            <w:tcW w:w="80" w:type="dxa"/>
            <w:vAlign w:val="bottom"/>
          </w:tcPr>
          <w:p>
            <w:pPr>
              <w:spacing w:after="0"/>
              <w:rPr>
                <w:sz w:val="11"/>
                <w:szCs w:val="11"/>
                <w:color w:val="auto"/>
              </w:rPr>
            </w:pPr>
          </w:p>
        </w:tc>
      </w:tr>
      <w:tr>
        <w:trPr>
          <w:trHeight w:val="27"/>
        </w:trPr>
        <w:tc>
          <w:tcPr>
            <w:tcW w:w="52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bl>
    <w:p>
      <w:pPr>
        <w:spacing w:after="0" w:line="154" w:lineRule="exact"/>
        <w:rPr>
          <w:sz w:val="20"/>
          <w:szCs w:val="20"/>
          <w:color w:val="auto"/>
        </w:rPr>
      </w:pPr>
    </w:p>
    <w:p>
      <w:pPr>
        <w:jc w:val="center"/>
        <w:ind w:right="-1220"/>
        <w:spacing w:after="0"/>
        <w:rPr>
          <w:sz w:val="20"/>
          <w:szCs w:val="20"/>
          <w:color w:val="auto"/>
        </w:rPr>
      </w:pPr>
      <w:r>
        <w:rPr>
          <w:rFonts w:ascii="Arial" w:cs="Arial" w:eastAsia="Arial" w:hAnsi="Arial"/>
          <w:sz w:val="11"/>
          <w:szCs w:val="11"/>
          <w:color w:val="auto"/>
        </w:rPr>
        <w:t>See accompanying notes to these consolidated financial statements.</w:t>
      </w:r>
    </w:p>
    <w:p>
      <w:pPr>
        <w:spacing w:after="0" w:line="99" w:lineRule="exact"/>
        <w:rPr>
          <w:sz w:val="20"/>
          <w:szCs w:val="20"/>
          <w:color w:val="auto"/>
        </w:rPr>
      </w:pPr>
    </w:p>
    <w:p>
      <w:pPr>
        <w:jc w:val="center"/>
        <w:ind w:right="-1220"/>
        <w:spacing w:after="0"/>
        <w:rPr>
          <w:sz w:val="20"/>
          <w:szCs w:val="20"/>
          <w:color w:val="auto"/>
        </w:rPr>
      </w:pPr>
      <w:r>
        <w:rPr>
          <w:rFonts w:ascii="Arial" w:cs="Arial" w:eastAsia="Arial" w:hAnsi="Arial"/>
          <w:sz w:val="11"/>
          <w:szCs w:val="11"/>
          <w:color w:val="auto"/>
        </w:rPr>
        <w:t>F-5</w:t>
      </w:r>
    </w:p>
    <w:p>
      <w:pPr>
        <w:sectPr>
          <w:pgSz w:w="11900" w:h="16838" w:orient="portrait"/>
          <w:cols w:equalWidth="0" w:num="1">
            <w:col w:w="10239"/>
          </w:cols>
          <w:pgMar w:left="220" w:top="354" w:right="1440" w:bottom="1440" w:gutter="0" w:footer="0" w:header="0"/>
        </w:sectPr>
      </w:pPr>
    </w:p>
    <w:bookmarkStart w:id="169" w:name="page170"/>
    <w:bookmarkEnd w:id="169"/>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hyperlink w:anchor="page5">
        <w:r>
          <w:rPr>
            <w:rFonts w:ascii="Arial" w:cs="Arial" w:eastAsia="Arial" w:hAnsi="Arial"/>
            <w:sz w:val="12"/>
            <w:szCs w:val="12"/>
            <w:b w:val="1"/>
            <w:bCs w:val="1"/>
            <w:u w:val="single" w:color="auto"/>
            <w:color w:val="0000EE"/>
          </w:rPr>
          <w:t>Table of Contents</w:t>
        </w:r>
      </w:hyperlink>
    </w:p>
    <w:p>
      <w:pPr>
        <w:spacing w:after="0" w:line="200" w:lineRule="exact"/>
        <w:rPr>
          <w:sz w:val="20"/>
          <w:szCs w:val="20"/>
          <w:color w:val="auto"/>
        </w:rPr>
      </w:pPr>
    </w:p>
    <w:p>
      <w:pPr>
        <w:jc w:val="center"/>
        <w:ind w:right="-1220"/>
        <w:spacing w:after="0"/>
        <w:rPr>
          <w:sz w:val="20"/>
          <w:szCs w:val="20"/>
          <w:color w:val="auto"/>
        </w:rPr>
      </w:pPr>
      <w:r>
        <w:rPr>
          <w:rFonts w:ascii="Arial" w:cs="Arial" w:eastAsia="Arial" w:hAnsi="Arial"/>
          <w:sz w:val="12"/>
          <w:szCs w:val="12"/>
          <w:b w:val="1"/>
          <w:bCs w:val="1"/>
          <w:color w:val="auto"/>
        </w:rPr>
        <w:t>PELOTON INTERACTIVE, INC.</w:t>
      </w:r>
    </w:p>
    <w:p>
      <w:pPr>
        <w:spacing w:after="0" w:line="8" w:lineRule="exact"/>
        <w:rPr>
          <w:sz w:val="20"/>
          <w:szCs w:val="20"/>
          <w:color w:val="auto"/>
        </w:rPr>
      </w:pPr>
    </w:p>
    <w:p>
      <w:pPr>
        <w:jc w:val="center"/>
        <w:ind w:right="-1220"/>
        <w:spacing w:after="0"/>
        <w:rPr>
          <w:sz w:val="20"/>
          <w:szCs w:val="20"/>
          <w:color w:val="auto"/>
        </w:rPr>
      </w:pPr>
      <w:r>
        <w:rPr>
          <w:rFonts w:ascii="Arial" w:cs="Arial" w:eastAsia="Arial" w:hAnsi="Arial"/>
          <w:sz w:val="12"/>
          <w:szCs w:val="12"/>
          <w:b w:val="1"/>
          <w:bCs w:val="1"/>
          <w:color w:val="auto"/>
        </w:rPr>
        <w:t>CONSOLIDATED STATEMENTS OF CHANGES IN REDEEMABLE CONVERTIBLE PREFERRED STOCK AND STOCKHOLDERS’</w:t>
      </w:r>
    </w:p>
    <w:p>
      <w:pPr>
        <w:jc w:val="center"/>
        <w:ind w:right="-1220"/>
        <w:spacing w:after="0" w:line="238" w:lineRule="auto"/>
        <w:rPr>
          <w:sz w:val="20"/>
          <w:szCs w:val="20"/>
          <w:color w:val="auto"/>
        </w:rPr>
      </w:pPr>
      <w:r>
        <w:rPr>
          <w:rFonts w:ascii="Arial" w:cs="Arial" w:eastAsia="Arial" w:hAnsi="Arial"/>
          <w:sz w:val="12"/>
          <w:szCs w:val="12"/>
          <w:b w:val="1"/>
          <w:bCs w:val="1"/>
          <w:color w:val="auto"/>
        </w:rPr>
        <w:t>DEFICIT</w:t>
      </w:r>
    </w:p>
    <w:tbl>
      <w:tblPr>
        <w:tblLayout w:type="fixed"/>
        <w:tblInd w:w="2060" w:type="dxa"/>
        <w:tblCellMar>
          <w:top w:w="0" w:type="dxa"/>
          <w:left w:w="0" w:type="dxa"/>
          <w:bottom w:w="0" w:type="dxa"/>
          <w:right w:w="0" w:type="dxa"/>
        </w:tblCellMar>
      </w:tblPr>
      <w:tr>
        <w:trPr>
          <w:trHeight w:val="142"/>
        </w:trPr>
        <w:tc>
          <w:tcPr>
            <w:tcW w:w="1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5"/>
          </w:tcPr>
          <w:p>
            <w:pPr>
              <w:ind w:left="100"/>
              <w:spacing w:after="0"/>
              <w:rPr>
                <w:sz w:val="20"/>
                <w:szCs w:val="20"/>
                <w:color w:val="auto"/>
              </w:rPr>
            </w:pPr>
            <w:r>
              <w:rPr>
                <w:rFonts w:ascii="Arial" w:cs="Arial" w:eastAsia="Arial" w:hAnsi="Arial"/>
                <w:sz w:val="11"/>
                <w:szCs w:val="11"/>
                <w:b w:val="1"/>
                <w:bCs w:val="1"/>
                <w:color w:val="auto"/>
              </w:rPr>
              <w:t>(in millions)</w:t>
            </w:r>
          </w:p>
        </w:tc>
        <w:tc>
          <w:tcPr>
            <w:tcW w:w="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61"/>
        </w:trPr>
        <w:tc>
          <w:tcPr>
            <w:tcW w:w="15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00" w:type="dxa"/>
            <w:vAlign w:val="bottom"/>
            <w:gridSpan w:val="6"/>
          </w:tcPr>
          <w:p>
            <w:pPr>
              <w:jc w:val="center"/>
              <w:ind w:right="120"/>
              <w:spacing w:after="0"/>
              <w:rPr>
                <w:sz w:val="20"/>
                <w:szCs w:val="20"/>
                <w:color w:val="auto"/>
              </w:rPr>
            </w:pPr>
            <w:r>
              <w:rPr>
                <w:rFonts w:ascii="Arial" w:cs="Arial" w:eastAsia="Arial" w:hAnsi="Arial"/>
                <w:sz w:val="11"/>
                <w:szCs w:val="11"/>
                <w:b w:val="1"/>
                <w:bCs w:val="1"/>
                <w:color w:val="auto"/>
                <w:w w:val="95"/>
              </w:rPr>
              <w:t>Redeemable</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6"/>
        </w:trPr>
        <w:tc>
          <w:tcPr>
            <w:tcW w:w="1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00" w:type="dxa"/>
            <w:vAlign w:val="bottom"/>
            <w:gridSpan w:val="6"/>
          </w:tcPr>
          <w:p>
            <w:pPr>
              <w:jc w:val="center"/>
              <w:ind w:right="120"/>
              <w:spacing w:after="0"/>
              <w:rPr>
                <w:sz w:val="20"/>
                <w:szCs w:val="20"/>
                <w:color w:val="auto"/>
              </w:rPr>
            </w:pPr>
            <w:r>
              <w:rPr>
                <w:rFonts w:ascii="Arial" w:cs="Arial" w:eastAsia="Arial" w:hAnsi="Arial"/>
                <w:sz w:val="11"/>
                <w:szCs w:val="11"/>
                <w:b w:val="1"/>
                <w:bCs w:val="1"/>
                <w:color w:val="auto"/>
                <w:w w:val="95"/>
              </w:rPr>
              <w:t>Convertible</w:t>
            </w: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gridSpan w:val="3"/>
          </w:tcPr>
          <w:p>
            <w:pPr>
              <w:ind w:left="180"/>
              <w:spacing w:after="0"/>
              <w:rPr>
                <w:sz w:val="20"/>
                <w:szCs w:val="20"/>
                <w:color w:val="auto"/>
              </w:rPr>
            </w:pPr>
            <w:r>
              <w:rPr>
                <w:rFonts w:ascii="Arial" w:cs="Arial" w:eastAsia="Arial" w:hAnsi="Arial"/>
                <w:sz w:val="11"/>
                <w:szCs w:val="11"/>
                <w:b w:val="1"/>
                <w:bCs w:val="1"/>
                <w:color w:val="auto"/>
                <w:w w:val="96"/>
              </w:rPr>
              <w:t>Additional</w:t>
            </w: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ind w:left="120"/>
              <w:spacing w:after="0"/>
              <w:rPr>
                <w:sz w:val="20"/>
                <w:szCs w:val="20"/>
                <w:color w:val="auto"/>
              </w:rPr>
            </w:pPr>
            <w:r>
              <w:rPr>
                <w:rFonts w:ascii="Arial" w:cs="Arial" w:eastAsia="Arial" w:hAnsi="Arial"/>
                <w:sz w:val="11"/>
                <w:szCs w:val="11"/>
                <w:b w:val="1"/>
                <w:bCs w:val="1"/>
                <w:color w:val="auto"/>
              </w:rPr>
              <w:t>Other</w:t>
            </w: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gridSpan w:val="2"/>
          </w:tcPr>
          <w:p>
            <w:pPr>
              <w:jc w:val="right"/>
              <w:ind w:right="300"/>
              <w:spacing w:after="0"/>
              <w:rPr>
                <w:sz w:val="20"/>
                <w:szCs w:val="20"/>
                <w:color w:val="auto"/>
              </w:rPr>
            </w:pPr>
            <w:r>
              <w:rPr>
                <w:rFonts w:ascii="Arial" w:cs="Arial" w:eastAsia="Arial" w:hAnsi="Arial"/>
                <w:sz w:val="11"/>
                <w:szCs w:val="11"/>
                <w:b w:val="1"/>
                <w:bCs w:val="1"/>
                <w:color w:val="auto"/>
              </w:rPr>
              <w:t>Total</w:t>
            </w:r>
          </w:p>
        </w:tc>
        <w:tc>
          <w:tcPr>
            <w:tcW w:w="0" w:type="dxa"/>
            <w:vAlign w:val="bottom"/>
          </w:tcPr>
          <w:p>
            <w:pPr>
              <w:spacing w:after="0"/>
              <w:rPr>
                <w:sz w:val="1"/>
                <w:szCs w:val="1"/>
                <w:color w:val="auto"/>
              </w:rPr>
            </w:pPr>
          </w:p>
        </w:tc>
      </w:tr>
      <w:tr>
        <w:trPr>
          <w:trHeight w:val="137"/>
        </w:trPr>
        <w:tc>
          <w:tcPr>
            <w:tcW w:w="1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gridSpan w:val="6"/>
          </w:tcPr>
          <w:p>
            <w:pPr>
              <w:jc w:val="center"/>
              <w:ind w:right="120"/>
              <w:spacing w:after="0"/>
              <w:rPr>
                <w:sz w:val="20"/>
                <w:szCs w:val="20"/>
                <w:color w:val="auto"/>
              </w:rPr>
            </w:pPr>
            <w:r>
              <w:rPr>
                <w:rFonts w:ascii="Arial" w:cs="Arial" w:eastAsia="Arial" w:hAnsi="Arial"/>
                <w:sz w:val="11"/>
                <w:szCs w:val="11"/>
                <w:b w:val="1"/>
                <w:bCs w:val="1"/>
                <w:color w:val="auto"/>
              </w:rPr>
              <w:t>Preferred Stock</w:t>
            </w:r>
          </w:p>
        </w:tc>
        <w:tc>
          <w:tcPr>
            <w:tcW w:w="100" w:type="dxa"/>
            <w:vAlign w:val="bottom"/>
          </w:tcPr>
          <w:p>
            <w:pPr>
              <w:spacing w:after="0"/>
              <w:rPr>
                <w:sz w:val="11"/>
                <w:szCs w:val="11"/>
                <w:color w:val="auto"/>
              </w:rPr>
            </w:pPr>
          </w:p>
        </w:tc>
        <w:tc>
          <w:tcPr>
            <w:tcW w:w="880" w:type="dxa"/>
            <w:vAlign w:val="bottom"/>
            <w:gridSpan w:val="4"/>
          </w:tcPr>
          <w:p>
            <w:pPr>
              <w:ind w:left="100"/>
              <w:spacing w:after="0"/>
              <w:rPr>
                <w:sz w:val="20"/>
                <w:szCs w:val="20"/>
                <w:color w:val="auto"/>
              </w:rPr>
            </w:pPr>
            <w:r>
              <w:rPr>
                <w:rFonts w:ascii="Arial" w:cs="Arial" w:eastAsia="Arial" w:hAnsi="Arial"/>
                <w:sz w:val="11"/>
                <w:szCs w:val="11"/>
                <w:b w:val="1"/>
                <w:bCs w:val="1"/>
                <w:color w:val="auto"/>
                <w:w w:val="94"/>
              </w:rPr>
              <w:t>Common Stock</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jc w:val="right"/>
              <w:ind w:right="51"/>
              <w:spacing w:after="0"/>
              <w:rPr>
                <w:sz w:val="20"/>
                <w:szCs w:val="20"/>
                <w:color w:val="auto"/>
              </w:rPr>
            </w:pPr>
            <w:r>
              <w:rPr>
                <w:rFonts w:ascii="Arial" w:cs="Arial" w:eastAsia="Arial" w:hAnsi="Arial"/>
                <w:sz w:val="11"/>
                <w:szCs w:val="11"/>
                <w:b w:val="1"/>
                <w:bCs w:val="1"/>
                <w:color w:val="auto"/>
                <w:w w:val="92"/>
              </w:rPr>
              <w:t>Paid-In</w:t>
            </w:r>
          </w:p>
        </w:tc>
        <w:tc>
          <w:tcPr>
            <w:tcW w:w="1000" w:type="dxa"/>
            <w:vAlign w:val="bottom"/>
            <w:gridSpan w:val="3"/>
          </w:tcPr>
          <w:p>
            <w:pPr>
              <w:ind w:left="180"/>
              <w:spacing w:after="0"/>
              <w:rPr>
                <w:sz w:val="20"/>
                <w:szCs w:val="20"/>
                <w:color w:val="auto"/>
              </w:rPr>
            </w:pPr>
            <w:r>
              <w:rPr>
                <w:rFonts w:ascii="Arial" w:cs="Arial" w:eastAsia="Arial" w:hAnsi="Arial"/>
                <w:sz w:val="11"/>
                <w:szCs w:val="11"/>
                <w:b w:val="1"/>
                <w:bCs w:val="1"/>
                <w:color w:val="auto"/>
                <w:w w:val="96"/>
              </w:rPr>
              <w:t>Comprehensive</w:t>
            </w:r>
          </w:p>
        </w:tc>
        <w:tc>
          <w:tcPr>
            <w:tcW w:w="980" w:type="dxa"/>
            <w:vAlign w:val="bottom"/>
            <w:gridSpan w:val="4"/>
          </w:tcPr>
          <w:p>
            <w:pPr>
              <w:ind w:left="180"/>
              <w:spacing w:after="0"/>
              <w:rPr>
                <w:sz w:val="20"/>
                <w:szCs w:val="20"/>
                <w:color w:val="auto"/>
              </w:rPr>
            </w:pPr>
            <w:r>
              <w:rPr>
                <w:rFonts w:ascii="Arial" w:cs="Arial" w:eastAsia="Arial" w:hAnsi="Arial"/>
                <w:sz w:val="11"/>
                <w:szCs w:val="11"/>
                <w:b w:val="1"/>
                <w:bCs w:val="1"/>
                <w:color w:val="auto"/>
              </w:rPr>
              <w:t>Accumulated</w:t>
            </w:r>
          </w:p>
        </w:tc>
        <w:tc>
          <w:tcPr>
            <w:tcW w:w="880" w:type="dxa"/>
            <w:vAlign w:val="bottom"/>
            <w:gridSpan w:val="4"/>
          </w:tcPr>
          <w:p>
            <w:pPr>
              <w:ind w:left="80"/>
              <w:spacing w:after="0"/>
              <w:rPr>
                <w:sz w:val="20"/>
                <w:szCs w:val="20"/>
                <w:color w:val="auto"/>
              </w:rPr>
            </w:pPr>
            <w:r>
              <w:rPr>
                <w:rFonts w:ascii="Arial" w:cs="Arial" w:eastAsia="Arial" w:hAnsi="Arial"/>
                <w:sz w:val="11"/>
                <w:szCs w:val="11"/>
                <w:b w:val="1"/>
                <w:bCs w:val="1"/>
                <w:color w:val="auto"/>
              </w:rPr>
              <w:t>Stockholders’</w:t>
            </w:r>
          </w:p>
        </w:tc>
        <w:tc>
          <w:tcPr>
            <w:tcW w:w="0" w:type="dxa"/>
            <w:vAlign w:val="bottom"/>
          </w:tcPr>
          <w:p>
            <w:pPr>
              <w:spacing w:after="0"/>
              <w:rPr>
                <w:sz w:val="1"/>
                <w:szCs w:val="1"/>
                <w:color w:val="auto"/>
              </w:rPr>
            </w:pPr>
          </w:p>
        </w:tc>
      </w:tr>
      <w:tr>
        <w:trPr>
          <w:trHeight w:val="115"/>
        </w:trPr>
        <w:tc>
          <w:tcPr>
            <w:tcW w:w="1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Borders>
              <w:top w:val="single" w:sz="8" w:color="auto"/>
            </w:tcBorders>
          </w:tcPr>
          <w:p>
            <w:pPr>
              <w:jc w:val="right"/>
              <w:spacing w:after="0" w:line="115" w:lineRule="exact"/>
              <w:rPr>
                <w:sz w:val="20"/>
                <w:szCs w:val="20"/>
                <w:color w:val="auto"/>
              </w:rPr>
            </w:pPr>
            <w:r>
              <w:rPr>
                <w:rFonts w:ascii="Arial" w:cs="Arial" w:eastAsia="Arial" w:hAnsi="Arial"/>
                <w:sz w:val="11"/>
                <w:szCs w:val="11"/>
                <w:b w:val="1"/>
                <w:bCs w:val="1"/>
                <w:color w:val="auto"/>
                <w:w w:val="92"/>
              </w:rPr>
              <w:t>Shares</w:t>
            </w:r>
          </w:p>
        </w:tc>
        <w:tc>
          <w:tcPr>
            <w:tcW w:w="12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gridSpan w:val="3"/>
          </w:tcPr>
          <w:p>
            <w:pPr>
              <w:ind w:left="100"/>
              <w:spacing w:after="0" w:line="115" w:lineRule="exact"/>
              <w:rPr>
                <w:sz w:val="20"/>
                <w:szCs w:val="20"/>
                <w:color w:val="auto"/>
              </w:rPr>
            </w:pPr>
            <w:r>
              <w:rPr>
                <w:rFonts w:ascii="Arial" w:cs="Arial" w:eastAsia="Arial" w:hAnsi="Arial"/>
                <w:sz w:val="11"/>
                <w:szCs w:val="11"/>
                <w:b w:val="1"/>
                <w:bCs w:val="1"/>
                <w:color w:val="auto"/>
                <w:w w:val="91"/>
              </w:rPr>
              <w:t>Amount</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Borders>
              <w:top w:val="single" w:sz="8" w:color="auto"/>
            </w:tcBorders>
            <w:gridSpan w:val="2"/>
          </w:tcPr>
          <w:p>
            <w:pPr>
              <w:jc w:val="right"/>
              <w:ind w:right="120"/>
              <w:spacing w:after="0" w:line="115" w:lineRule="exact"/>
              <w:rPr>
                <w:sz w:val="20"/>
                <w:szCs w:val="20"/>
                <w:color w:val="auto"/>
              </w:rPr>
            </w:pPr>
            <w:r>
              <w:rPr>
                <w:rFonts w:ascii="Arial" w:cs="Arial" w:eastAsia="Arial" w:hAnsi="Arial"/>
                <w:sz w:val="11"/>
                <w:szCs w:val="11"/>
                <w:b w:val="1"/>
                <w:bCs w:val="1"/>
                <w:color w:val="auto"/>
                <w:w w:val="92"/>
              </w:rPr>
              <w:t>Shares</w:t>
            </w:r>
          </w:p>
        </w:tc>
        <w:tc>
          <w:tcPr>
            <w:tcW w:w="500" w:type="dxa"/>
            <w:vAlign w:val="bottom"/>
            <w:tcBorders>
              <w:top w:val="single" w:sz="8" w:color="auto"/>
            </w:tcBorders>
            <w:gridSpan w:val="3"/>
          </w:tcPr>
          <w:p>
            <w:pPr>
              <w:ind w:left="100"/>
              <w:spacing w:after="0" w:line="115" w:lineRule="exact"/>
              <w:rPr>
                <w:sz w:val="20"/>
                <w:szCs w:val="20"/>
                <w:color w:val="auto"/>
              </w:rPr>
            </w:pPr>
            <w:r>
              <w:rPr>
                <w:rFonts w:ascii="Arial" w:cs="Arial" w:eastAsia="Arial" w:hAnsi="Arial"/>
                <w:sz w:val="11"/>
                <w:szCs w:val="11"/>
                <w:b w:val="1"/>
                <w:bCs w:val="1"/>
                <w:color w:val="auto"/>
                <w:w w:val="91"/>
              </w:rPr>
              <w:t>Amount</w:t>
            </w: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jc w:val="right"/>
              <w:ind w:right="51"/>
              <w:spacing w:after="0" w:line="115" w:lineRule="exact"/>
              <w:rPr>
                <w:sz w:val="20"/>
                <w:szCs w:val="20"/>
                <w:color w:val="auto"/>
              </w:rPr>
            </w:pPr>
            <w:r>
              <w:rPr>
                <w:rFonts w:ascii="Arial" w:cs="Arial" w:eastAsia="Arial" w:hAnsi="Arial"/>
                <w:sz w:val="11"/>
                <w:szCs w:val="11"/>
                <w:b w:val="1"/>
                <w:bCs w:val="1"/>
                <w:color w:val="auto"/>
                <w:w w:val="92"/>
              </w:rPr>
              <w:t>Capital</w:t>
            </w: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ind w:left="80"/>
              <w:spacing w:after="0" w:line="115" w:lineRule="exact"/>
              <w:rPr>
                <w:sz w:val="20"/>
                <w:szCs w:val="20"/>
                <w:color w:val="auto"/>
              </w:rPr>
            </w:pPr>
            <w:r>
              <w:rPr>
                <w:rFonts w:ascii="Arial" w:cs="Arial" w:eastAsia="Arial" w:hAnsi="Arial"/>
                <w:sz w:val="11"/>
                <w:szCs w:val="11"/>
                <w:b w:val="1"/>
                <w:bCs w:val="1"/>
                <w:color w:val="auto"/>
              </w:rPr>
              <w:t>Income</w:t>
            </w: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gridSpan w:val="2"/>
          </w:tcPr>
          <w:p>
            <w:pPr>
              <w:jc w:val="right"/>
              <w:ind w:right="300"/>
              <w:spacing w:after="0" w:line="115" w:lineRule="exact"/>
              <w:rPr>
                <w:sz w:val="20"/>
                <w:szCs w:val="20"/>
                <w:color w:val="auto"/>
              </w:rPr>
            </w:pPr>
            <w:r>
              <w:rPr>
                <w:rFonts w:ascii="Arial" w:cs="Arial" w:eastAsia="Arial" w:hAnsi="Arial"/>
                <w:sz w:val="11"/>
                <w:szCs w:val="11"/>
                <w:b w:val="1"/>
                <w:bCs w:val="1"/>
                <w:color w:val="auto"/>
              </w:rPr>
              <w:t>Deficit</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gridSpan w:val="2"/>
          </w:tcPr>
          <w:p>
            <w:pPr>
              <w:jc w:val="right"/>
              <w:ind w:right="260"/>
              <w:spacing w:after="0" w:line="115" w:lineRule="exact"/>
              <w:rPr>
                <w:sz w:val="20"/>
                <w:szCs w:val="20"/>
                <w:color w:val="auto"/>
              </w:rPr>
            </w:pPr>
            <w:r>
              <w:rPr>
                <w:rFonts w:ascii="Arial" w:cs="Arial" w:eastAsia="Arial" w:hAnsi="Arial"/>
                <w:sz w:val="11"/>
                <w:szCs w:val="11"/>
                <w:b w:val="1"/>
                <w:bCs w:val="1"/>
                <w:color w:val="auto"/>
              </w:rPr>
              <w:t>Deficit</w:t>
            </w:r>
          </w:p>
        </w:tc>
        <w:tc>
          <w:tcPr>
            <w:tcW w:w="0" w:type="dxa"/>
            <w:vAlign w:val="bottom"/>
          </w:tcPr>
          <w:p>
            <w:pPr>
              <w:spacing w:after="0"/>
              <w:rPr>
                <w:sz w:val="1"/>
                <w:szCs w:val="1"/>
                <w:color w:val="auto"/>
              </w:rPr>
            </w:pPr>
          </w:p>
        </w:tc>
      </w:tr>
      <w:tr>
        <w:trPr>
          <w:trHeight w:val="20"/>
        </w:trPr>
        <w:tc>
          <w:tcPr>
            <w:tcW w:w="1500" w:type="dxa"/>
            <w:vAlign w:val="bottom"/>
            <w:vMerge w:val="restart"/>
            <w:shd w:val="clear" w:color="auto" w:fill="CCEEFF"/>
          </w:tcPr>
          <w:p>
            <w:pPr>
              <w:spacing w:after="0"/>
              <w:rPr>
                <w:sz w:val="20"/>
                <w:szCs w:val="20"/>
                <w:color w:val="auto"/>
              </w:rPr>
            </w:pPr>
            <w:r>
              <w:rPr>
                <w:rFonts w:ascii="Arial" w:cs="Arial" w:eastAsia="Arial" w:hAnsi="Arial"/>
                <w:sz w:val="10"/>
                <w:szCs w:val="10"/>
                <w:color w:val="auto"/>
              </w:rPr>
              <w:t>Balance — July 1, 2016</w:t>
            </w:r>
          </w:p>
        </w:tc>
        <w:tc>
          <w:tcPr>
            <w:tcW w:w="10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7"/>
        </w:trPr>
        <w:tc>
          <w:tcPr>
            <w:tcW w:w="150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360" w:type="dxa"/>
            <w:vAlign w:val="bottom"/>
            <w:shd w:val="clear" w:color="auto" w:fill="CCEEFF"/>
          </w:tcPr>
          <w:p>
            <w:pPr>
              <w:jc w:val="right"/>
              <w:spacing w:after="0" w:line="97" w:lineRule="exact"/>
              <w:rPr>
                <w:sz w:val="20"/>
                <w:szCs w:val="20"/>
                <w:color w:val="auto"/>
              </w:rPr>
            </w:pPr>
            <w:r>
              <w:rPr>
                <w:rFonts w:ascii="Arial" w:cs="Arial" w:eastAsia="Arial" w:hAnsi="Arial"/>
                <w:sz w:val="10"/>
                <w:szCs w:val="10"/>
                <w:color w:val="auto"/>
              </w:rPr>
              <w:t>138.9</w:t>
            </w:r>
          </w:p>
        </w:tc>
        <w:tc>
          <w:tcPr>
            <w:tcW w:w="120" w:type="dxa"/>
            <w:vAlign w:val="bottom"/>
            <w:shd w:val="clear" w:color="auto" w:fill="CCEEFF"/>
          </w:tcPr>
          <w:p>
            <w:pPr>
              <w:spacing w:after="0"/>
              <w:rPr>
                <w:sz w:val="8"/>
                <w:szCs w:val="8"/>
                <w:color w:val="auto"/>
              </w:rPr>
            </w:pPr>
          </w:p>
        </w:tc>
        <w:tc>
          <w:tcPr>
            <w:tcW w:w="200" w:type="dxa"/>
            <w:vAlign w:val="bottom"/>
            <w:gridSpan w:val="2"/>
            <w:shd w:val="clear" w:color="auto" w:fill="CCEEFF"/>
          </w:tcPr>
          <w:p>
            <w:pPr>
              <w:ind w:left="80"/>
              <w:spacing w:after="0" w:line="97" w:lineRule="exact"/>
              <w:rPr>
                <w:sz w:val="20"/>
                <w:szCs w:val="20"/>
                <w:color w:val="auto"/>
              </w:rPr>
            </w:pPr>
            <w:r>
              <w:rPr>
                <w:rFonts w:ascii="Arial" w:cs="Arial" w:eastAsia="Arial" w:hAnsi="Arial"/>
                <w:sz w:val="10"/>
                <w:szCs w:val="10"/>
                <w:color w:val="auto"/>
              </w:rPr>
              <w:t>$</w:t>
            </w:r>
          </w:p>
        </w:tc>
        <w:tc>
          <w:tcPr>
            <w:tcW w:w="300" w:type="dxa"/>
            <w:vAlign w:val="bottom"/>
            <w:shd w:val="clear" w:color="auto" w:fill="CCEEFF"/>
          </w:tcPr>
          <w:p>
            <w:pPr>
              <w:jc w:val="right"/>
              <w:spacing w:after="0" w:line="97" w:lineRule="exact"/>
              <w:rPr>
                <w:sz w:val="20"/>
                <w:szCs w:val="20"/>
                <w:color w:val="auto"/>
              </w:rPr>
            </w:pPr>
            <w:r>
              <w:rPr>
                <w:rFonts w:ascii="Arial" w:cs="Arial" w:eastAsia="Arial" w:hAnsi="Arial"/>
                <w:sz w:val="10"/>
                <w:szCs w:val="10"/>
                <w:color w:val="auto"/>
              </w:rPr>
              <w:t>117.1</w:t>
            </w:r>
          </w:p>
        </w:tc>
        <w:tc>
          <w:tcPr>
            <w:tcW w:w="120" w:type="dxa"/>
            <w:vAlign w:val="bottom"/>
            <w:shd w:val="clear" w:color="auto" w:fill="CCEEFF"/>
          </w:tcPr>
          <w:p>
            <w:pPr>
              <w:spacing w:after="0"/>
              <w:rPr>
                <w:sz w:val="8"/>
                <w:szCs w:val="8"/>
                <w:color w:val="auto"/>
              </w:rPr>
            </w:pPr>
          </w:p>
        </w:tc>
        <w:tc>
          <w:tcPr>
            <w:tcW w:w="460" w:type="dxa"/>
            <w:vAlign w:val="bottom"/>
            <w:gridSpan w:val="2"/>
            <w:shd w:val="clear" w:color="auto" w:fill="CCEEFF"/>
          </w:tcPr>
          <w:p>
            <w:pPr>
              <w:jc w:val="right"/>
              <w:spacing w:after="0" w:line="97" w:lineRule="exact"/>
              <w:rPr>
                <w:sz w:val="20"/>
                <w:szCs w:val="20"/>
                <w:color w:val="auto"/>
              </w:rPr>
            </w:pPr>
            <w:r>
              <w:rPr>
                <w:rFonts w:ascii="Arial" w:cs="Arial" w:eastAsia="Arial" w:hAnsi="Arial"/>
                <w:sz w:val="10"/>
                <w:szCs w:val="10"/>
                <w:color w:val="auto"/>
              </w:rPr>
              <w:t>28.1</w:t>
            </w:r>
          </w:p>
        </w:tc>
        <w:tc>
          <w:tcPr>
            <w:tcW w:w="120" w:type="dxa"/>
            <w:vAlign w:val="bottom"/>
            <w:shd w:val="clear" w:color="auto" w:fill="CCEEFF"/>
          </w:tcPr>
          <w:p>
            <w:pPr>
              <w:spacing w:after="0"/>
              <w:rPr>
                <w:sz w:val="8"/>
                <w:szCs w:val="8"/>
                <w:color w:val="auto"/>
              </w:rPr>
            </w:pPr>
          </w:p>
        </w:tc>
        <w:tc>
          <w:tcPr>
            <w:tcW w:w="400" w:type="dxa"/>
            <w:vAlign w:val="bottom"/>
            <w:gridSpan w:val="2"/>
            <w:shd w:val="clear" w:color="auto" w:fill="CCEEFF"/>
          </w:tcPr>
          <w:p>
            <w:pPr>
              <w:ind w:left="80"/>
              <w:spacing w:after="0" w:line="97" w:lineRule="exact"/>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line="97" w:lineRule="exact"/>
              <w:rPr>
                <w:sz w:val="20"/>
                <w:szCs w:val="20"/>
                <w:color w:val="auto"/>
              </w:rPr>
            </w:pPr>
            <w:r>
              <w:rPr>
                <w:rFonts w:ascii="Arial" w:cs="Arial" w:eastAsia="Arial" w:hAnsi="Arial"/>
                <w:sz w:val="10"/>
                <w:szCs w:val="10"/>
                <w:color w:val="auto"/>
                <w:w w:val="79"/>
              </w:rPr>
              <w:t>—</w:t>
            </w:r>
          </w:p>
        </w:tc>
        <w:tc>
          <w:tcPr>
            <w:tcW w:w="260" w:type="dxa"/>
            <w:vAlign w:val="bottom"/>
            <w:gridSpan w:val="2"/>
            <w:shd w:val="clear" w:color="auto" w:fill="CCEEFF"/>
          </w:tcPr>
          <w:p>
            <w:pPr>
              <w:ind w:left="180"/>
              <w:spacing w:after="0" w:line="97" w:lineRule="exact"/>
              <w:rPr>
                <w:sz w:val="20"/>
                <w:szCs w:val="20"/>
                <w:color w:val="auto"/>
              </w:rPr>
            </w:pPr>
            <w:r>
              <w:rPr>
                <w:rFonts w:ascii="Arial" w:cs="Arial" w:eastAsia="Arial" w:hAnsi="Arial"/>
                <w:sz w:val="10"/>
                <w:szCs w:val="10"/>
                <w:color w:val="auto"/>
              </w:rPr>
              <w:t>$</w:t>
            </w:r>
          </w:p>
        </w:tc>
        <w:tc>
          <w:tcPr>
            <w:tcW w:w="460" w:type="dxa"/>
            <w:vAlign w:val="bottom"/>
            <w:shd w:val="clear" w:color="auto" w:fill="CCEEFF"/>
          </w:tcPr>
          <w:p>
            <w:pPr>
              <w:jc w:val="right"/>
              <w:spacing w:after="0" w:line="97" w:lineRule="exact"/>
              <w:rPr>
                <w:sz w:val="20"/>
                <w:szCs w:val="20"/>
                <w:color w:val="auto"/>
              </w:rPr>
            </w:pPr>
            <w:r>
              <w:rPr>
                <w:rFonts w:ascii="Arial" w:cs="Arial" w:eastAsia="Arial" w:hAnsi="Arial"/>
                <w:sz w:val="10"/>
                <w:szCs w:val="10"/>
                <w:color w:val="auto"/>
              </w:rPr>
              <w:t>3.4</w:t>
            </w:r>
          </w:p>
        </w:tc>
        <w:tc>
          <w:tcPr>
            <w:tcW w:w="320" w:type="dxa"/>
            <w:vAlign w:val="bottom"/>
            <w:gridSpan w:val="2"/>
            <w:shd w:val="clear" w:color="auto" w:fill="CCEEFF"/>
          </w:tcPr>
          <w:p>
            <w:pPr>
              <w:ind w:left="180"/>
              <w:spacing w:after="0" w:line="97" w:lineRule="exact"/>
              <w:rPr>
                <w:sz w:val="20"/>
                <w:szCs w:val="20"/>
                <w:color w:val="auto"/>
              </w:rPr>
            </w:pPr>
            <w:r>
              <w:rPr>
                <w:rFonts w:ascii="Arial" w:cs="Arial" w:eastAsia="Arial" w:hAnsi="Arial"/>
                <w:sz w:val="10"/>
                <w:szCs w:val="10"/>
                <w:color w:val="auto"/>
              </w:rPr>
              <w:t>$</w:t>
            </w:r>
          </w:p>
        </w:tc>
        <w:tc>
          <w:tcPr>
            <w:tcW w:w="680" w:type="dxa"/>
            <w:vAlign w:val="bottom"/>
            <w:shd w:val="clear" w:color="auto" w:fill="CCEEFF"/>
          </w:tcPr>
          <w:p>
            <w:pPr>
              <w:ind w:left="580"/>
              <w:spacing w:after="0" w:line="97" w:lineRule="exact"/>
              <w:rPr>
                <w:sz w:val="20"/>
                <w:szCs w:val="20"/>
                <w:color w:val="auto"/>
              </w:rPr>
            </w:pPr>
            <w:r>
              <w:rPr>
                <w:rFonts w:ascii="Arial" w:cs="Arial" w:eastAsia="Arial" w:hAnsi="Arial"/>
                <w:sz w:val="10"/>
                <w:szCs w:val="10"/>
                <w:color w:val="auto"/>
                <w:w w:val="79"/>
              </w:rPr>
              <w:t>—</w:t>
            </w:r>
          </w:p>
        </w:tc>
        <w:tc>
          <w:tcPr>
            <w:tcW w:w="280" w:type="dxa"/>
            <w:vAlign w:val="bottom"/>
            <w:gridSpan w:val="2"/>
            <w:shd w:val="clear" w:color="auto" w:fill="CCEEFF"/>
          </w:tcPr>
          <w:p>
            <w:pPr>
              <w:ind w:left="180"/>
              <w:spacing w:after="0" w:line="97" w:lineRule="exact"/>
              <w:rPr>
                <w:sz w:val="20"/>
                <w:szCs w:val="20"/>
                <w:color w:val="auto"/>
              </w:rPr>
            </w:pPr>
            <w:r>
              <w:rPr>
                <w:rFonts w:ascii="Arial" w:cs="Arial" w:eastAsia="Arial" w:hAnsi="Arial"/>
                <w:sz w:val="10"/>
                <w:szCs w:val="10"/>
                <w:color w:val="auto"/>
              </w:rPr>
              <w:t>$</w:t>
            </w:r>
          </w:p>
        </w:tc>
        <w:tc>
          <w:tcPr>
            <w:tcW w:w="700" w:type="dxa"/>
            <w:vAlign w:val="bottom"/>
            <w:gridSpan w:val="2"/>
            <w:shd w:val="clear" w:color="auto" w:fill="CCEEFF"/>
          </w:tcPr>
          <w:p>
            <w:pPr>
              <w:jc w:val="right"/>
              <w:ind w:right="80"/>
              <w:spacing w:after="0" w:line="97" w:lineRule="exact"/>
              <w:rPr>
                <w:sz w:val="20"/>
                <w:szCs w:val="20"/>
                <w:color w:val="auto"/>
              </w:rPr>
            </w:pPr>
            <w:r>
              <w:rPr>
                <w:rFonts w:ascii="Arial" w:cs="Arial" w:eastAsia="Arial" w:hAnsi="Arial"/>
                <w:sz w:val="10"/>
                <w:szCs w:val="10"/>
                <w:color w:val="auto"/>
              </w:rPr>
              <w:t>(81.4)</w:t>
            </w:r>
          </w:p>
        </w:tc>
        <w:tc>
          <w:tcPr>
            <w:tcW w:w="200" w:type="dxa"/>
            <w:vAlign w:val="bottom"/>
            <w:gridSpan w:val="2"/>
            <w:shd w:val="clear" w:color="auto" w:fill="CCEEFF"/>
          </w:tcPr>
          <w:p>
            <w:pPr>
              <w:ind w:left="80"/>
              <w:spacing w:after="0" w:line="97" w:lineRule="exact"/>
              <w:rPr>
                <w:sz w:val="20"/>
                <w:szCs w:val="20"/>
                <w:color w:val="auto"/>
              </w:rPr>
            </w:pPr>
            <w:r>
              <w:rPr>
                <w:rFonts w:ascii="Arial" w:cs="Arial" w:eastAsia="Arial" w:hAnsi="Arial"/>
                <w:sz w:val="10"/>
                <w:szCs w:val="10"/>
                <w:color w:val="auto"/>
              </w:rPr>
              <w:t>$</w:t>
            </w:r>
          </w:p>
        </w:tc>
        <w:tc>
          <w:tcPr>
            <w:tcW w:w="680" w:type="dxa"/>
            <w:vAlign w:val="bottom"/>
            <w:gridSpan w:val="2"/>
            <w:shd w:val="clear" w:color="auto" w:fill="CCEEFF"/>
          </w:tcPr>
          <w:p>
            <w:pPr>
              <w:jc w:val="right"/>
              <w:ind w:right="40"/>
              <w:spacing w:after="0" w:line="97" w:lineRule="exact"/>
              <w:rPr>
                <w:sz w:val="20"/>
                <w:szCs w:val="20"/>
                <w:color w:val="auto"/>
              </w:rPr>
            </w:pPr>
            <w:r>
              <w:rPr>
                <w:rFonts w:ascii="Arial" w:cs="Arial" w:eastAsia="Arial" w:hAnsi="Arial"/>
                <w:sz w:val="10"/>
                <w:szCs w:val="10"/>
                <w:color w:val="auto"/>
              </w:rPr>
              <w:t>(78.0)</w:t>
            </w:r>
          </w:p>
        </w:tc>
        <w:tc>
          <w:tcPr>
            <w:tcW w:w="0" w:type="dxa"/>
            <w:vAlign w:val="bottom"/>
          </w:tcPr>
          <w:p>
            <w:pPr>
              <w:spacing w:after="0"/>
              <w:rPr>
                <w:sz w:val="1"/>
                <w:szCs w:val="1"/>
                <w:color w:val="auto"/>
              </w:rPr>
            </w:pPr>
          </w:p>
        </w:tc>
      </w:tr>
      <w:tr>
        <w:trPr>
          <w:trHeight w:val="111"/>
        </w:trPr>
        <w:tc>
          <w:tcPr>
            <w:tcW w:w="1500" w:type="dxa"/>
            <w:vAlign w:val="bottom"/>
          </w:tcPr>
          <w:p>
            <w:pPr>
              <w:ind w:left="200"/>
              <w:spacing w:after="0" w:line="112" w:lineRule="exact"/>
              <w:rPr>
                <w:sz w:val="20"/>
                <w:szCs w:val="20"/>
                <w:color w:val="auto"/>
              </w:rPr>
            </w:pPr>
            <w:r>
              <w:rPr>
                <w:rFonts w:ascii="Arial" w:cs="Arial" w:eastAsia="Arial" w:hAnsi="Arial"/>
                <w:sz w:val="10"/>
                <w:szCs w:val="10"/>
                <w:color w:val="auto"/>
              </w:rPr>
              <w:t>Issuance of Series E</w:t>
            </w: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500" w:type="dxa"/>
            <w:vAlign w:val="bottom"/>
          </w:tcPr>
          <w:p>
            <w:pPr>
              <w:ind w:left="280"/>
              <w:spacing w:after="0" w:line="108" w:lineRule="exact"/>
              <w:rPr>
                <w:sz w:val="20"/>
                <w:szCs w:val="20"/>
                <w:color w:val="auto"/>
              </w:rPr>
            </w:pPr>
            <w:r>
              <w:rPr>
                <w:rFonts w:ascii="Arial" w:cs="Arial" w:eastAsia="Arial" w:hAnsi="Arial"/>
                <w:sz w:val="10"/>
                <w:szCs w:val="10"/>
                <w:color w:val="auto"/>
              </w:rPr>
              <w:t>redeemable convertible</w:t>
            </w: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500" w:type="dxa"/>
            <w:vAlign w:val="bottom"/>
          </w:tcPr>
          <w:p>
            <w:pPr>
              <w:ind w:left="280"/>
              <w:spacing w:after="0" w:line="105" w:lineRule="exact"/>
              <w:rPr>
                <w:sz w:val="20"/>
                <w:szCs w:val="20"/>
                <w:color w:val="auto"/>
              </w:rPr>
            </w:pPr>
            <w:r>
              <w:rPr>
                <w:rFonts w:ascii="Arial" w:cs="Arial" w:eastAsia="Arial" w:hAnsi="Arial"/>
                <w:sz w:val="10"/>
                <w:szCs w:val="10"/>
                <w:color w:val="auto"/>
              </w:rPr>
              <w:t>preferred stock, net</w:t>
            </w:r>
          </w:p>
        </w:tc>
        <w:tc>
          <w:tcPr>
            <w:tcW w:w="460" w:type="dxa"/>
            <w:vAlign w:val="bottom"/>
            <w:gridSpan w:val="2"/>
          </w:tcPr>
          <w:p>
            <w:pPr>
              <w:jc w:val="right"/>
              <w:spacing w:after="0" w:line="105" w:lineRule="exact"/>
              <w:rPr>
                <w:sz w:val="20"/>
                <w:szCs w:val="20"/>
                <w:color w:val="auto"/>
              </w:rPr>
            </w:pPr>
            <w:r>
              <w:rPr>
                <w:rFonts w:ascii="Arial" w:cs="Arial" w:eastAsia="Arial" w:hAnsi="Arial"/>
                <w:sz w:val="10"/>
                <w:szCs w:val="10"/>
                <w:color w:val="auto"/>
              </w:rPr>
              <w:t>60.0</w:t>
            </w: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jc w:val="right"/>
              <w:spacing w:after="0" w:line="105" w:lineRule="exact"/>
              <w:rPr>
                <w:sz w:val="20"/>
                <w:szCs w:val="20"/>
                <w:color w:val="auto"/>
              </w:rPr>
            </w:pPr>
            <w:r>
              <w:rPr>
                <w:rFonts w:ascii="Arial" w:cs="Arial" w:eastAsia="Arial" w:hAnsi="Arial"/>
                <w:sz w:val="10"/>
                <w:szCs w:val="10"/>
                <w:color w:val="auto"/>
              </w:rPr>
              <w:t>315.6</w:t>
            </w: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gridSpan w:val="2"/>
          </w:tcPr>
          <w:p>
            <w:pPr>
              <w:jc w:val="right"/>
              <w:ind w:right="120"/>
              <w:spacing w:after="0" w:line="105" w:lineRule="exact"/>
              <w:rPr>
                <w:sz w:val="20"/>
                <w:szCs w:val="20"/>
                <w:color w:val="auto"/>
              </w:rPr>
            </w:pPr>
            <w:r>
              <w:rPr>
                <w:rFonts w:ascii="Arial" w:cs="Arial" w:eastAsia="Arial" w:hAnsi="Arial"/>
                <w:sz w:val="10"/>
                <w:szCs w:val="10"/>
                <w:color w:val="auto"/>
              </w:rPr>
              <w:t>—</w:t>
            </w: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Pr>
          <w:p>
            <w:pPr>
              <w:spacing w:after="0" w:line="105" w:lineRule="exact"/>
              <w:rPr>
                <w:sz w:val="20"/>
                <w:szCs w:val="20"/>
                <w:color w:val="auto"/>
              </w:rPr>
            </w:pPr>
            <w:r>
              <w:rPr>
                <w:rFonts w:ascii="Arial" w:cs="Arial" w:eastAsia="Arial" w:hAnsi="Arial"/>
                <w:sz w:val="10"/>
                <w:szCs w:val="10"/>
                <w:color w:val="auto"/>
                <w:w w:val="79"/>
              </w:rPr>
              <w:t>—</w:t>
            </w: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jc w:val="right"/>
              <w:spacing w:after="0" w:line="105" w:lineRule="exact"/>
              <w:rPr>
                <w:sz w:val="20"/>
                <w:szCs w:val="20"/>
                <w:color w:val="auto"/>
              </w:rPr>
            </w:pPr>
            <w:r>
              <w:rPr>
                <w:rFonts w:ascii="Arial" w:cs="Arial" w:eastAsia="Arial" w:hAnsi="Arial"/>
                <w:sz w:val="10"/>
                <w:szCs w:val="10"/>
                <w:color w:val="auto"/>
              </w:rPr>
              <w:t>—</w:t>
            </w: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80" w:type="dxa"/>
            <w:vAlign w:val="bottom"/>
          </w:tcPr>
          <w:p>
            <w:pPr>
              <w:ind w:left="580"/>
              <w:spacing w:after="0" w:line="105" w:lineRule="exact"/>
              <w:rPr>
                <w:sz w:val="20"/>
                <w:szCs w:val="20"/>
                <w:color w:val="auto"/>
              </w:rPr>
            </w:pPr>
            <w:r>
              <w:rPr>
                <w:rFonts w:ascii="Arial" w:cs="Arial" w:eastAsia="Arial" w:hAnsi="Arial"/>
                <w:sz w:val="10"/>
                <w:szCs w:val="10"/>
                <w:color w:val="auto"/>
                <w:w w:val="79"/>
              </w:rPr>
              <w:t>—</w:t>
            </w: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gridSpan w:val="2"/>
          </w:tcPr>
          <w:p>
            <w:pPr>
              <w:jc w:val="right"/>
              <w:ind w:right="120"/>
              <w:spacing w:after="0" w:line="105" w:lineRule="exact"/>
              <w:rPr>
                <w:sz w:val="20"/>
                <w:szCs w:val="20"/>
                <w:color w:val="auto"/>
              </w:rPr>
            </w:pPr>
            <w:r>
              <w:rPr>
                <w:rFonts w:ascii="Arial" w:cs="Arial" w:eastAsia="Arial" w:hAnsi="Arial"/>
                <w:sz w:val="10"/>
                <w:szCs w:val="10"/>
                <w:color w:val="auto"/>
              </w:rPr>
              <w:t>—</w:t>
            </w: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gridSpan w:val="2"/>
          </w:tcPr>
          <w:p>
            <w:pPr>
              <w:jc w:val="right"/>
              <w:ind w:right="80"/>
              <w:spacing w:after="0" w:line="105" w:lineRule="exact"/>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11"/>
        </w:trPr>
        <w:tc>
          <w:tcPr>
            <w:tcW w:w="1500" w:type="dxa"/>
            <w:vAlign w:val="bottom"/>
            <w:shd w:val="clear" w:color="auto" w:fill="CCEEFF"/>
          </w:tcPr>
          <w:p>
            <w:pPr>
              <w:ind w:left="200"/>
              <w:spacing w:after="0" w:line="112" w:lineRule="exact"/>
              <w:rPr>
                <w:sz w:val="20"/>
                <w:szCs w:val="20"/>
                <w:color w:val="auto"/>
              </w:rPr>
            </w:pPr>
            <w:r>
              <w:rPr>
                <w:rFonts w:ascii="Arial" w:cs="Arial" w:eastAsia="Arial" w:hAnsi="Arial"/>
                <w:sz w:val="10"/>
                <w:szCs w:val="10"/>
                <w:color w:val="auto"/>
              </w:rPr>
              <w:t>Repurchase of common and</w:t>
            </w:r>
          </w:p>
        </w:tc>
        <w:tc>
          <w:tcPr>
            <w:tcW w:w="10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500" w:type="dxa"/>
            <w:vAlign w:val="bottom"/>
            <w:shd w:val="clear" w:color="auto" w:fill="CCEEFF"/>
          </w:tcPr>
          <w:p>
            <w:pPr>
              <w:ind w:left="280"/>
              <w:spacing w:after="0" w:line="108" w:lineRule="exact"/>
              <w:rPr>
                <w:sz w:val="20"/>
                <w:szCs w:val="20"/>
                <w:color w:val="auto"/>
              </w:rPr>
            </w:pPr>
            <w:r>
              <w:rPr>
                <w:rFonts w:ascii="Arial" w:cs="Arial" w:eastAsia="Arial" w:hAnsi="Arial"/>
                <w:sz w:val="10"/>
                <w:szCs w:val="10"/>
                <w:color w:val="auto"/>
              </w:rPr>
              <w:t>redeemable convertible</w:t>
            </w:r>
          </w:p>
        </w:tc>
        <w:tc>
          <w:tcPr>
            <w:tcW w:w="10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500" w:type="dxa"/>
            <w:vAlign w:val="bottom"/>
            <w:shd w:val="clear" w:color="auto" w:fill="CCEEFF"/>
          </w:tcPr>
          <w:p>
            <w:pPr>
              <w:ind w:left="280"/>
              <w:spacing w:after="0" w:line="105" w:lineRule="exact"/>
              <w:rPr>
                <w:sz w:val="20"/>
                <w:szCs w:val="20"/>
                <w:color w:val="auto"/>
              </w:rPr>
            </w:pPr>
            <w:r>
              <w:rPr>
                <w:rFonts w:ascii="Arial" w:cs="Arial" w:eastAsia="Arial" w:hAnsi="Arial"/>
                <w:sz w:val="10"/>
                <w:szCs w:val="10"/>
                <w:color w:val="auto"/>
              </w:rPr>
              <w:t>preferred stock</w:t>
            </w:r>
          </w:p>
        </w:tc>
        <w:tc>
          <w:tcPr>
            <w:tcW w:w="580" w:type="dxa"/>
            <w:vAlign w:val="bottom"/>
            <w:gridSpan w:val="3"/>
            <w:shd w:val="clear" w:color="auto" w:fill="CCEEFF"/>
          </w:tcPr>
          <w:p>
            <w:pPr>
              <w:jc w:val="right"/>
              <w:ind w:right="80"/>
              <w:spacing w:after="0" w:line="105" w:lineRule="exact"/>
              <w:rPr>
                <w:sz w:val="20"/>
                <w:szCs w:val="20"/>
                <w:color w:val="auto"/>
              </w:rPr>
            </w:pPr>
            <w:r>
              <w:rPr>
                <w:rFonts w:ascii="Arial" w:cs="Arial" w:eastAsia="Arial" w:hAnsi="Arial"/>
                <w:sz w:val="10"/>
                <w:szCs w:val="10"/>
                <w:color w:val="auto"/>
              </w:rPr>
              <w:t>(22.6)</w:t>
            </w: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20" w:type="dxa"/>
            <w:vAlign w:val="bottom"/>
            <w:gridSpan w:val="2"/>
            <w:shd w:val="clear" w:color="auto" w:fill="CCEEFF"/>
          </w:tcPr>
          <w:p>
            <w:pPr>
              <w:jc w:val="right"/>
              <w:ind w:right="80"/>
              <w:spacing w:after="0" w:line="105" w:lineRule="exact"/>
              <w:rPr>
                <w:sz w:val="20"/>
                <w:szCs w:val="20"/>
                <w:color w:val="auto"/>
              </w:rPr>
            </w:pPr>
            <w:r>
              <w:rPr>
                <w:rFonts w:ascii="Arial" w:cs="Arial" w:eastAsia="Arial" w:hAnsi="Arial"/>
                <w:sz w:val="10"/>
                <w:szCs w:val="10"/>
                <w:color w:val="auto"/>
              </w:rPr>
              <w:t>(26.4)</w:t>
            </w:r>
          </w:p>
        </w:tc>
        <w:tc>
          <w:tcPr>
            <w:tcW w:w="580" w:type="dxa"/>
            <w:vAlign w:val="bottom"/>
            <w:gridSpan w:val="3"/>
            <w:shd w:val="clear" w:color="auto" w:fill="CCEEFF"/>
          </w:tcPr>
          <w:p>
            <w:pPr>
              <w:jc w:val="right"/>
              <w:ind w:right="80"/>
              <w:spacing w:after="0" w:line="105" w:lineRule="exact"/>
              <w:rPr>
                <w:sz w:val="20"/>
                <w:szCs w:val="20"/>
                <w:color w:val="auto"/>
              </w:rPr>
            </w:pPr>
            <w:r>
              <w:rPr>
                <w:rFonts w:ascii="Arial" w:cs="Arial" w:eastAsia="Arial" w:hAnsi="Arial"/>
                <w:sz w:val="10"/>
                <w:szCs w:val="10"/>
                <w:color w:val="auto"/>
              </w:rPr>
              <w:t>(9.7)</w:t>
            </w:r>
          </w:p>
        </w:tc>
        <w:tc>
          <w:tcPr>
            <w:tcW w:w="10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100" w:type="dxa"/>
            <w:vAlign w:val="bottom"/>
            <w:shd w:val="clear" w:color="auto" w:fill="CCEEFF"/>
          </w:tcPr>
          <w:p>
            <w:pPr>
              <w:spacing w:after="0" w:line="105" w:lineRule="exact"/>
              <w:rPr>
                <w:sz w:val="20"/>
                <w:szCs w:val="20"/>
                <w:color w:val="auto"/>
              </w:rPr>
            </w:pPr>
            <w:r>
              <w:rPr>
                <w:rFonts w:ascii="Arial" w:cs="Arial" w:eastAsia="Arial" w:hAnsi="Arial"/>
                <w:sz w:val="10"/>
                <w:szCs w:val="10"/>
                <w:color w:val="auto"/>
                <w:w w:val="79"/>
              </w:rPr>
              <w:t>—</w:t>
            </w:r>
          </w:p>
        </w:tc>
        <w:tc>
          <w:tcPr>
            <w:tcW w:w="1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60" w:type="dxa"/>
            <w:vAlign w:val="bottom"/>
            <w:shd w:val="clear" w:color="auto" w:fill="CCEEFF"/>
          </w:tcPr>
          <w:p>
            <w:pPr>
              <w:jc w:val="right"/>
              <w:spacing w:after="0" w:line="105" w:lineRule="exact"/>
              <w:rPr>
                <w:sz w:val="20"/>
                <w:szCs w:val="20"/>
                <w:color w:val="auto"/>
              </w:rPr>
            </w:pPr>
            <w:r>
              <w:rPr>
                <w:rFonts w:ascii="Arial" w:cs="Arial" w:eastAsia="Arial" w:hAnsi="Arial"/>
                <w:sz w:val="10"/>
                <w:szCs w:val="10"/>
                <w:color w:val="auto"/>
              </w:rPr>
              <w:t>—</w:t>
            </w:r>
          </w:p>
        </w:tc>
        <w:tc>
          <w:tcPr>
            <w:tcW w:w="1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80" w:type="dxa"/>
            <w:vAlign w:val="bottom"/>
            <w:shd w:val="clear" w:color="auto" w:fill="CCEEFF"/>
          </w:tcPr>
          <w:p>
            <w:pPr>
              <w:ind w:left="580"/>
              <w:spacing w:after="0" w:line="105" w:lineRule="exact"/>
              <w:rPr>
                <w:sz w:val="20"/>
                <w:szCs w:val="20"/>
                <w:color w:val="auto"/>
              </w:rPr>
            </w:pPr>
            <w:r>
              <w:rPr>
                <w:rFonts w:ascii="Arial" w:cs="Arial" w:eastAsia="Arial" w:hAnsi="Arial"/>
                <w:sz w:val="10"/>
                <w:szCs w:val="10"/>
                <w:color w:val="auto"/>
                <w:w w:val="79"/>
              </w:rPr>
              <w:t>—</w:t>
            </w:r>
          </w:p>
        </w:tc>
        <w:tc>
          <w:tcPr>
            <w:tcW w:w="1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00" w:type="dxa"/>
            <w:vAlign w:val="bottom"/>
            <w:gridSpan w:val="2"/>
            <w:shd w:val="clear" w:color="auto" w:fill="CCEEFF"/>
          </w:tcPr>
          <w:p>
            <w:pPr>
              <w:jc w:val="right"/>
              <w:ind w:right="80"/>
              <w:spacing w:after="0" w:line="105" w:lineRule="exact"/>
              <w:rPr>
                <w:sz w:val="20"/>
                <w:szCs w:val="20"/>
                <w:color w:val="auto"/>
              </w:rPr>
            </w:pPr>
            <w:r>
              <w:rPr>
                <w:rFonts w:ascii="Arial" w:cs="Arial" w:eastAsia="Arial" w:hAnsi="Arial"/>
                <w:sz w:val="10"/>
                <w:szCs w:val="10"/>
                <w:color w:val="auto"/>
              </w:rPr>
              <w:t>(135.2)</w:t>
            </w:r>
          </w:p>
        </w:tc>
        <w:tc>
          <w:tcPr>
            <w:tcW w:w="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80" w:type="dxa"/>
            <w:vAlign w:val="bottom"/>
            <w:gridSpan w:val="2"/>
            <w:shd w:val="clear" w:color="auto" w:fill="CCEEFF"/>
          </w:tcPr>
          <w:p>
            <w:pPr>
              <w:jc w:val="right"/>
              <w:ind w:right="40"/>
              <w:spacing w:after="0" w:line="105" w:lineRule="exact"/>
              <w:rPr>
                <w:sz w:val="20"/>
                <w:szCs w:val="20"/>
                <w:color w:val="auto"/>
              </w:rPr>
            </w:pPr>
            <w:r>
              <w:rPr>
                <w:rFonts w:ascii="Arial" w:cs="Arial" w:eastAsia="Arial" w:hAnsi="Arial"/>
                <w:sz w:val="10"/>
                <w:szCs w:val="10"/>
                <w:color w:val="auto"/>
              </w:rPr>
              <w:t>(135.2)</w:t>
            </w:r>
          </w:p>
        </w:tc>
        <w:tc>
          <w:tcPr>
            <w:tcW w:w="0" w:type="dxa"/>
            <w:vAlign w:val="bottom"/>
          </w:tcPr>
          <w:p>
            <w:pPr>
              <w:spacing w:after="0"/>
              <w:rPr>
                <w:sz w:val="1"/>
                <w:szCs w:val="1"/>
                <w:color w:val="auto"/>
              </w:rPr>
            </w:pPr>
          </w:p>
        </w:tc>
      </w:tr>
      <w:tr>
        <w:trPr>
          <w:trHeight w:val="111"/>
        </w:trPr>
        <w:tc>
          <w:tcPr>
            <w:tcW w:w="1500" w:type="dxa"/>
            <w:vAlign w:val="bottom"/>
          </w:tcPr>
          <w:p>
            <w:pPr>
              <w:ind w:left="200"/>
              <w:spacing w:after="0" w:line="112" w:lineRule="exact"/>
              <w:rPr>
                <w:sz w:val="20"/>
                <w:szCs w:val="20"/>
                <w:color w:val="auto"/>
              </w:rPr>
            </w:pPr>
            <w:r>
              <w:rPr>
                <w:rFonts w:ascii="Arial" w:cs="Arial" w:eastAsia="Arial" w:hAnsi="Arial"/>
                <w:sz w:val="10"/>
                <w:szCs w:val="10"/>
                <w:color w:val="auto"/>
              </w:rPr>
              <w:t>Forfeiture of restricted stock</w:t>
            </w: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500" w:type="dxa"/>
            <w:vAlign w:val="bottom"/>
          </w:tcPr>
          <w:p>
            <w:pPr>
              <w:ind w:left="280"/>
              <w:spacing w:after="0" w:line="105" w:lineRule="exact"/>
              <w:rPr>
                <w:sz w:val="20"/>
                <w:szCs w:val="20"/>
                <w:color w:val="auto"/>
              </w:rPr>
            </w:pPr>
            <w:r>
              <w:rPr>
                <w:rFonts w:ascii="Arial" w:cs="Arial" w:eastAsia="Arial" w:hAnsi="Arial"/>
                <w:sz w:val="10"/>
                <w:szCs w:val="10"/>
                <w:color w:val="auto"/>
              </w:rPr>
              <w:t>awards</w:t>
            </w:r>
          </w:p>
        </w:tc>
        <w:tc>
          <w:tcPr>
            <w:tcW w:w="100" w:type="dxa"/>
            <w:vAlign w:val="bottom"/>
          </w:tcPr>
          <w:p>
            <w:pPr>
              <w:spacing w:after="0"/>
              <w:rPr>
                <w:sz w:val="9"/>
                <w:szCs w:val="9"/>
                <w:color w:val="auto"/>
              </w:rPr>
            </w:pPr>
          </w:p>
        </w:tc>
        <w:tc>
          <w:tcPr>
            <w:tcW w:w="480" w:type="dxa"/>
            <w:vAlign w:val="bottom"/>
            <w:gridSpan w:val="2"/>
          </w:tcPr>
          <w:p>
            <w:pPr>
              <w:jc w:val="right"/>
              <w:ind w:right="120"/>
              <w:spacing w:after="0" w:line="105" w:lineRule="exact"/>
              <w:rPr>
                <w:sz w:val="20"/>
                <w:szCs w:val="20"/>
                <w:color w:val="auto"/>
              </w:rPr>
            </w:pPr>
            <w:r>
              <w:rPr>
                <w:rFonts w:ascii="Arial" w:cs="Arial" w:eastAsia="Arial" w:hAnsi="Arial"/>
                <w:sz w:val="10"/>
                <w:szCs w:val="10"/>
                <w:color w:val="auto"/>
              </w:rPr>
              <w:t>—</w:t>
            </w: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gridSpan w:val="2"/>
          </w:tcPr>
          <w:p>
            <w:pPr>
              <w:jc w:val="right"/>
              <w:ind w:right="120"/>
              <w:spacing w:after="0" w:line="105" w:lineRule="exact"/>
              <w:rPr>
                <w:sz w:val="20"/>
                <w:szCs w:val="20"/>
                <w:color w:val="auto"/>
              </w:rPr>
            </w:pPr>
            <w:r>
              <w:rPr>
                <w:rFonts w:ascii="Arial" w:cs="Arial" w:eastAsia="Arial" w:hAnsi="Arial"/>
                <w:sz w:val="10"/>
                <w:szCs w:val="10"/>
                <w:color w:val="auto"/>
              </w:rPr>
              <w:t>—</w:t>
            </w:r>
          </w:p>
        </w:tc>
        <w:tc>
          <w:tcPr>
            <w:tcW w:w="580" w:type="dxa"/>
            <w:vAlign w:val="bottom"/>
            <w:gridSpan w:val="3"/>
          </w:tcPr>
          <w:p>
            <w:pPr>
              <w:jc w:val="right"/>
              <w:ind w:right="80"/>
              <w:spacing w:after="0" w:line="105" w:lineRule="exact"/>
              <w:rPr>
                <w:sz w:val="20"/>
                <w:szCs w:val="20"/>
                <w:color w:val="auto"/>
              </w:rPr>
            </w:pPr>
            <w:r>
              <w:rPr>
                <w:rFonts w:ascii="Arial" w:cs="Arial" w:eastAsia="Arial" w:hAnsi="Arial"/>
                <w:sz w:val="10"/>
                <w:szCs w:val="10"/>
                <w:color w:val="auto"/>
              </w:rPr>
              <w:t>(0.1)</w:t>
            </w: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Pr>
          <w:p>
            <w:pPr>
              <w:spacing w:after="0" w:line="105" w:lineRule="exact"/>
              <w:rPr>
                <w:sz w:val="20"/>
                <w:szCs w:val="20"/>
                <w:color w:val="auto"/>
              </w:rPr>
            </w:pPr>
            <w:r>
              <w:rPr>
                <w:rFonts w:ascii="Arial" w:cs="Arial" w:eastAsia="Arial" w:hAnsi="Arial"/>
                <w:sz w:val="10"/>
                <w:szCs w:val="10"/>
                <w:color w:val="auto"/>
                <w:w w:val="79"/>
              </w:rPr>
              <w:t>—</w:t>
            </w: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jc w:val="right"/>
              <w:spacing w:after="0" w:line="105" w:lineRule="exact"/>
              <w:rPr>
                <w:sz w:val="20"/>
                <w:szCs w:val="20"/>
                <w:color w:val="auto"/>
              </w:rPr>
            </w:pPr>
            <w:r>
              <w:rPr>
                <w:rFonts w:ascii="Arial" w:cs="Arial" w:eastAsia="Arial" w:hAnsi="Arial"/>
                <w:sz w:val="10"/>
                <w:szCs w:val="10"/>
                <w:color w:val="auto"/>
              </w:rPr>
              <w:t>—</w:t>
            </w: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80" w:type="dxa"/>
            <w:vAlign w:val="bottom"/>
          </w:tcPr>
          <w:p>
            <w:pPr>
              <w:ind w:left="580"/>
              <w:spacing w:after="0" w:line="105" w:lineRule="exact"/>
              <w:rPr>
                <w:sz w:val="20"/>
                <w:szCs w:val="20"/>
                <w:color w:val="auto"/>
              </w:rPr>
            </w:pPr>
            <w:r>
              <w:rPr>
                <w:rFonts w:ascii="Arial" w:cs="Arial" w:eastAsia="Arial" w:hAnsi="Arial"/>
                <w:sz w:val="10"/>
                <w:szCs w:val="10"/>
                <w:color w:val="auto"/>
                <w:w w:val="79"/>
              </w:rPr>
              <w:t>—</w:t>
            </w: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gridSpan w:val="2"/>
          </w:tcPr>
          <w:p>
            <w:pPr>
              <w:jc w:val="right"/>
              <w:ind w:right="120"/>
              <w:spacing w:after="0" w:line="105" w:lineRule="exact"/>
              <w:rPr>
                <w:sz w:val="20"/>
                <w:szCs w:val="20"/>
                <w:color w:val="auto"/>
              </w:rPr>
            </w:pPr>
            <w:r>
              <w:rPr>
                <w:rFonts w:ascii="Arial" w:cs="Arial" w:eastAsia="Arial" w:hAnsi="Arial"/>
                <w:sz w:val="10"/>
                <w:szCs w:val="10"/>
                <w:color w:val="auto"/>
              </w:rPr>
              <w:t>—</w:t>
            </w: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gridSpan w:val="2"/>
          </w:tcPr>
          <w:p>
            <w:pPr>
              <w:jc w:val="right"/>
              <w:ind w:right="80"/>
              <w:spacing w:after="0" w:line="105" w:lineRule="exact"/>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08"/>
        </w:trPr>
        <w:tc>
          <w:tcPr>
            <w:tcW w:w="1500" w:type="dxa"/>
            <w:vAlign w:val="bottom"/>
            <w:shd w:val="clear" w:color="auto" w:fill="CCEEFF"/>
          </w:tcPr>
          <w:p>
            <w:pPr>
              <w:ind w:left="200"/>
              <w:spacing w:after="0" w:line="108" w:lineRule="exact"/>
              <w:rPr>
                <w:sz w:val="20"/>
                <w:szCs w:val="20"/>
                <w:color w:val="auto"/>
              </w:rPr>
            </w:pPr>
            <w:r>
              <w:rPr>
                <w:rFonts w:ascii="Arial" w:cs="Arial" w:eastAsia="Arial" w:hAnsi="Arial"/>
                <w:sz w:val="10"/>
                <w:szCs w:val="10"/>
                <w:color w:val="auto"/>
              </w:rPr>
              <w:t>Exercise of stock options</w:t>
            </w:r>
          </w:p>
        </w:tc>
        <w:tc>
          <w:tcPr>
            <w:tcW w:w="100" w:type="dxa"/>
            <w:vAlign w:val="bottom"/>
            <w:shd w:val="clear" w:color="auto" w:fill="CCEEFF"/>
          </w:tcPr>
          <w:p>
            <w:pPr>
              <w:spacing w:after="0"/>
              <w:rPr>
                <w:sz w:val="9"/>
                <w:szCs w:val="9"/>
                <w:color w:val="auto"/>
              </w:rPr>
            </w:pPr>
          </w:p>
        </w:tc>
        <w:tc>
          <w:tcPr>
            <w:tcW w:w="480" w:type="dxa"/>
            <w:vAlign w:val="bottom"/>
            <w:gridSpan w:val="2"/>
            <w:shd w:val="clear" w:color="auto" w:fill="CCEEFF"/>
          </w:tcPr>
          <w:p>
            <w:pPr>
              <w:jc w:val="right"/>
              <w:ind w:right="120"/>
              <w:spacing w:after="0" w:line="108" w:lineRule="exact"/>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20" w:type="dxa"/>
            <w:vAlign w:val="bottom"/>
            <w:gridSpan w:val="2"/>
            <w:shd w:val="clear" w:color="auto" w:fill="CCEEFF"/>
          </w:tcPr>
          <w:p>
            <w:pPr>
              <w:jc w:val="right"/>
              <w:ind w:right="120"/>
              <w:spacing w:after="0" w:line="108" w:lineRule="exact"/>
              <w:rPr>
                <w:sz w:val="20"/>
                <w:szCs w:val="20"/>
                <w:color w:val="auto"/>
              </w:rPr>
            </w:pPr>
            <w:r>
              <w:rPr>
                <w:rFonts w:ascii="Arial" w:cs="Arial" w:eastAsia="Arial" w:hAnsi="Arial"/>
                <w:sz w:val="10"/>
                <w:szCs w:val="10"/>
                <w:color w:val="auto"/>
              </w:rPr>
              <w:t>—</w:t>
            </w:r>
          </w:p>
        </w:tc>
        <w:tc>
          <w:tcPr>
            <w:tcW w:w="460" w:type="dxa"/>
            <w:vAlign w:val="bottom"/>
            <w:gridSpan w:val="2"/>
            <w:shd w:val="clear" w:color="auto" w:fill="CCEEFF"/>
          </w:tcPr>
          <w:p>
            <w:pPr>
              <w:jc w:val="right"/>
              <w:spacing w:after="0" w:line="108" w:lineRule="exact"/>
              <w:rPr>
                <w:sz w:val="20"/>
                <w:szCs w:val="20"/>
                <w:color w:val="auto"/>
              </w:rPr>
            </w:pPr>
            <w:r>
              <w:rPr>
                <w:rFonts w:ascii="Arial" w:cs="Arial" w:eastAsia="Arial" w:hAnsi="Arial"/>
                <w:sz w:val="10"/>
                <w:szCs w:val="10"/>
                <w:color w:val="auto"/>
              </w:rPr>
              <w:t>1.9</w:t>
            </w:r>
          </w:p>
        </w:tc>
        <w:tc>
          <w:tcPr>
            <w:tcW w:w="1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100" w:type="dxa"/>
            <w:vAlign w:val="bottom"/>
            <w:shd w:val="clear" w:color="auto" w:fill="CCEEFF"/>
          </w:tcPr>
          <w:p>
            <w:pPr>
              <w:spacing w:after="0" w:line="108" w:lineRule="exact"/>
              <w:rPr>
                <w:sz w:val="20"/>
                <w:szCs w:val="20"/>
                <w:color w:val="auto"/>
              </w:rPr>
            </w:pPr>
            <w:r>
              <w:rPr>
                <w:rFonts w:ascii="Arial" w:cs="Arial" w:eastAsia="Arial" w:hAnsi="Arial"/>
                <w:sz w:val="10"/>
                <w:szCs w:val="10"/>
                <w:color w:val="auto"/>
                <w:w w:val="79"/>
              </w:rPr>
              <w:t>—</w:t>
            </w:r>
          </w:p>
        </w:tc>
        <w:tc>
          <w:tcPr>
            <w:tcW w:w="1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6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rPr>
              <w:t>0.7</w:t>
            </w:r>
          </w:p>
        </w:tc>
        <w:tc>
          <w:tcPr>
            <w:tcW w:w="1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80" w:type="dxa"/>
            <w:vAlign w:val="bottom"/>
            <w:shd w:val="clear" w:color="auto" w:fill="CCEEFF"/>
          </w:tcPr>
          <w:p>
            <w:pPr>
              <w:ind w:left="580"/>
              <w:spacing w:after="0" w:line="108" w:lineRule="exact"/>
              <w:rPr>
                <w:sz w:val="20"/>
                <w:szCs w:val="20"/>
                <w:color w:val="auto"/>
              </w:rPr>
            </w:pPr>
            <w:r>
              <w:rPr>
                <w:rFonts w:ascii="Arial" w:cs="Arial" w:eastAsia="Arial" w:hAnsi="Arial"/>
                <w:sz w:val="10"/>
                <w:szCs w:val="10"/>
                <w:color w:val="auto"/>
                <w:w w:val="79"/>
              </w:rPr>
              <w:t>—</w:t>
            </w:r>
          </w:p>
        </w:tc>
        <w:tc>
          <w:tcPr>
            <w:tcW w:w="1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00" w:type="dxa"/>
            <w:vAlign w:val="bottom"/>
            <w:gridSpan w:val="2"/>
            <w:shd w:val="clear" w:color="auto" w:fill="CCEEFF"/>
          </w:tcPr>
          <w:p>
            <w:pPr>
              <w:jc w:val="right"/>
              <w:ind w:right="120"/>
              <w:spacing w:after="0" w:line="108" w:lineRule="exact"/>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2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rPr>
              <w:t>0.7</w:t>
            </w:r>
          </w:p>
        </w:tc>
        <w:tc>
          <w:tcPr>
            <w:tcW w:w="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11"/>
        </w:trPr>
        <w:tc>
          <w:tcPr>
            <w:tcW w:w="1500" w:type="dxa"/>
            <w:vAlign w:val="bottom"/>
          </w:tcPr>
          <w:p>
            <w:pPr>
              <w:ind w:left="200"/>
              <w:spacing w:after="0" w:line="112" w:lineRule="exact"/>
              <w:rPr>
                <w:sz w:val="20"/>
                <w:szCs w:val="20"/>
                <w:color w:val="auto"/>
              </w:rPr>
            </w:pPr>
            <w:r>
              <w:rPr>
                <w:rFonts w:ascii="Arial" w:cs="Arial" w:eastAsia="Arial" w:hAnsi="Arial"/>
                <w:sz w:val="10"/>
                <w:szCs w:val="10"/>
                <w:color w:val="auto"/>
              </w:rPr>
              <w:t>Stock-based compensation</w:t>
            </w: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500" w:type="dxa"/>
            <w:vAlign w:val="bottom"/>
          </w:tcPr>
          <w:p>
            <w:pPr>
              <w:ind w:left="280"/>
              <w:spacing w:after="0" w:line="105" w:lineRule="exact"/>
              <w:rPr>
                <w:sz w:val="20"/>
                <w:szCs w:val="20"/>
                <w:color w:val="auto"/>
              </w:rPr>
            </w:pPr>
            <w:r>
              <w:rPr>
                <w:rFonts w:ascii="Arial" w:cs="Arial" w:eastAsia="Arial" w:hAnsi="Arial"/>
                <w:sz w:val="10"/>
                <w:szCs w:val="10"/>
                <w:color w:val="auto"/>
              </w:rPr>
              <w:t>expense</w:t>
            </w:r>
          </w:p>
        </w:tc>
        <w:tc>
          <w:tcPr>
            <w:tcW w:w="100" w:type="dxa"/>
            <w:vAlign w:val="bottom"/>
          </w:tcPr>
          <w:p>
            <w:pPr>
              <w:spacing w:after="0"/>
              <w:rPr>
                <w:sz w:val="9"/>
                <w:szCs w:val="9"/>
                <w:color w:val="auto"/>
              </w:rPr>
            </w:pPr>
          </w:p>
        </w:tc>
        <w:tc>
          <w:tcPr>
            <w:tcW w:w="480" w:type="dxa"/>
            <w:vAlign w:val="bottom"/>
            <w:gridSpan w:val="2"/>
          </w:tcPr>
          <w:p>
            <w:pPr>
              <w:jc w:val="right"/>
              <w:ind w:right="120"/>
              <w:spacing w:after="0" w:line="105" w:lineRule="exact"/>
              <w:rPr>
                <w:sz w:val="20"/>
                <w:szCs w:val="20"/>
                <w:color w:val="auto"/>
              </w:rPr>
            </w:pPr>
            <w:r>
              <w:rPr>
                <w:rFonts w:ascii="Arial" w:cs="Arial" w:eastAsia="Arial" w:hAnsi="Arial"/>
                <w:sz w:val="10"/>
                <w:szCs w:val="10"/>
                <w:color w:val="auto"/>
              </w:rPr>
              <w:t>—</w:t>
            </w: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gridSpan w:val="2"/>
          </w:tcPr>
          <w:p>
            <w:pPr>
              <w:jc w:val="right"/>
              <w:ind w:right="120"/>
              <w:spacing w:after="0" w:line="105" w:lineRule="exact"/>
              <w:rPr>
                <w:sz w:val="20"/>
                <w:szCs w:val="20"/>
                <w:color w:val="auto"/>
              </w:rPr>
            </w:pPr>
            <w:r>
              <w:rPr>
                <w:rFonts w:ascii="Arial" w:cs="Arial" w:eastAsia="Arial" w:hAnsi="Arial"/>
                <w:sz w:val="10"/>
                <w:szCs w:val="10"/>
                <w:color w:val="auto"/>
              </w:rPr>
              <w:t>—</w:t>
            </w:r>
          </w:p>
        </w:tc>
        <w:tc>
          <w:tcPr>
            <w:tcW w:w="100" w:type="dxa"/>
            <w:vAlign w:val="bottom"/>
          </w:tcPr>
          <w:p>
            <w:pPr>
              <w:spacing w:after="0"/>
              <w:rPr>
                <w:sz w:val="9"/>
                <w:szCs w:val="9"/>
                <w:color w:val="auto"/>
              </w:rPr>
            </w:pPr>
          </w:p>
        </w:tc>
        <w:tc>
          <w:tcPr>
            <w:tcW w:w="480" w:type="dxa"/>
            <w:vAlign w:val="bottom"/>
            <w:gridSpan w:val="2"/>
          </w:tcPr>
          <w:p>
            <w:pPr>
              <w:jc w:val="right"/>
              <w:ind w:right="120"/>
              <w:spacing w:after="0" w:line="105" w:lineRule="exact"/>
              <w:rPr>
                <w:sz w:val="20"/>
                <w:szCs w:val="20"/>
                <w:color w:val="auto"/>
              </w:rPr>
            </w:pPr>
            <w:r>
              <w:rPr>
                <w:rFonts w:ascii="Arial" w:cs="Arial" w:eastAsia="Arial" w:hAnsi="Arial"/>
                <w:sz w:val="10"/>
                <w:szCs w:val="10"/>
                <w:color w:val="auto"/>
              </w:rPr>
              <w:t>—</w:t>
            </w: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Pr>
          <w:p>
            <w:pPr>
              <w:spacing w:after="0" w:line="105" w:lineRule="exact"/>
              <w:rPr>
                <w:sz w:val="20"/>
                <w:szCs w:val="20"/>
                <w:color w:val="auto"/>
              </w:rPr>
            </w:pPr>
            <w:r>
              <w:rPr>
                <w:rFonts w:ascii="Arial" w:cs="Arial" w:eastAsia="Arial" w:hAnsi="Arial"/>
                <w:sz w:val="10"/>
                <w:szCs w:val="10"/>
                <w:color w:val="auto"/>
                <w:w w:val="79"/>
              </w:rPr>
              <w:t>—</w:t>
            </w: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jc w:val="right"/>
              <w:spacing w:after="0" w:line="105" w:lineRule="exact"/>
              <w:rPr>
                <w:sz w:val="20"/>
                <w:szCs w:val="20"/>
                <w:color w:val="auto"/>
              </w:rPr>
            </w:pPr>
            <w:r>
              <w:rPr>
                <w:rFonts w:ascii="Arial" w:cs="Arial" w:eastAsia="Arial" w:hAnsi="Arial"/>
                <w:sz w:val="10"/>
                <w:szCs w:val="10"/>
                <w:color w:val="auto"/>
              </w:rPr>
              <w:t>2.0</w:t>
            </w: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80" w:type="dxa"/>
            <w:vAlign w:val="bottom"/>
          </w:tcPr>
          <w:p>
            <w:pPr>
              <w:ind w:left="580"/>
              <w:spacing w:after="0" w:line="105" w:lineRule="exact"/>
              <w:rPr>
                <w:sz w:val="20"/>
                <w:szCs w:val="20"/>
                <w:color w:val="auto"/>
              </w:rPr>
            </w:pPr>
            <w:r>
              <w:rPr>
                <w:rFonts w:ascii="Arial" w:cs="Arial" w:eastAsia="Arial" w:hAnsi="Arial"/>
                <w:sz w:val="10"/>
                <w:szCs w:val="10"/>
                <w:color w:val="auto"/>
                <w:w w:val="79"/>
              </w:rPr>
              <w:t>—</w:t>
            </w: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gridSpan w:val="2"/>
          </w:tcPr>
          <w:p>
            <w:pPr>
              <w:jc w:val="right"/>
              <w:ind w:right="120"/>
              <w:spacing w:after="0" w:line="105" w:lineRule="exact"/>
              <w:rPr>
                <w:sz w:val="20"/>
                <w:szCs w:val="20"/>
                <w:color w:val="auto"/>
              </w:rPr>
            </w:pPr>
            <w:r>
              <w:rPr>
                <w:rFonts w:ascii="Arial" w:cs="Arial" w:eastAsia="Arial" w:hAnsi="Arial"/>
                <w:sz w:val="10"/>
                <w:szCs w:val="10"/>
                <w:color w:val="auto"/>
              </w:rPr>
              <w:t>—</w:t>
            </w: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jc w:val="right"/>
              <w:spacing w:after="0" w:line="105" w:lineRule="exact"/>
              <w:rPr>
                <w:sz w:val="20"/>
                <w:szCs w:val="20"/>
                <w:color w:val="auto"/>
              </w:rPr>
            </w:pPr>
            <w:r>
              <w:rPr>
                <w:rFonts w:ascii="Arial" w:cs="Arial" w:eastAsia="Arial" w:hAnsi="Arial"/>
                <w:sz w:val="10"/>
                <w:szCs w:val="10"/>
                <w:color w:val="auto"/>
              </w:rPr>
              <w:t>2.0</w:t>
            </w: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500" w:type="dxa"/>
            <w:vAlign w:val="bottom"/>
            <w:shd w:val="clear" w:color="auto" w:fill="CCEEFF"/>
          </w:tcPr>
          <w:p>
            <w:pPr>
              <w:ind w:left="200"/>
              <w:spacing w:after="0" w:line="108" w:lineRule="exact"/>
              <w:rPr>
                <w:sz w:val="20"/>
                <w:szCs w:val="20"/>
                <w:color w:val="auto"/>
              </w:rPr>
            </w:pPr>
            <w:r>
              <w:rPr>
                <w:rFonts w:ascii="Arial" w:cs="Arial" w:eastAsia="Arial" w:hAnsi="Arial"/>
                <w:sz w:val="10"/>
                <w:szCs w:val="10"/>
                <w:color w:val="auto"/>
              </w:rPr>
              <w:t>Net loss</w:t>
            </w:r>
          </w:p>
        </w:tc>
        <w:tc>
          <w:tcPr>
            <w:tcW w:w="100" w:type="dxa"/>
            <w:vAlign w:val="bottom"/>
            <w:shd w:val="clear" w:color="auto" w:fill="CCEEFF"/>
          </w:tcPr>
          <w:p>
            <w:pPr>
              <w:spacing w:after="0"/>
              <w:rPr>
                <w:sz w:val="9"/>
                <w:szCs w:val="9"/>
                <w:color w:val="auto"/>
              </w:rPr>
            </w:pPr>
          </w:p>
        </w:tc>
        <w:tc>
          <w:tcPr>
            <w:tcW w:w="480" w:type="dxa"/>
            <w:vAlign w:val="bottom"/>
            <w:gridSpan w:val="2"/>
            <w:shd w:val="clear" w:color="auto" w:fill="CCEEFF"/>
          </w:tcPr>
          <w:p>
            <w:pPr>
              <w:jc w:val="right"/>
              <w:ind w:right="120"/>
              <w:spacing w:after="0" w:line="108" w:lineRule="exact"/>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20" w:type="dxa"/>
            <w:vAlign w:val="bottom"/>
            <w:gridSpan w:val="2"/>
            <w:shd w:val="clear" w:color="auto" w:fill="CCEEFF"/>
          </w:tcPr>
          <w:p>
            <w:pPr>
              <w:jc w:val="right"/>
              <w:ind w:right="120"/>
              <w:spacing w:after="0" w:line="108" w:lineRule="exact"/>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9"/>
                <w:szCs w:val="9"/>
                <w:color w:val="auto"/>
              </w:rPr>
            </w:pPr>
          </w:p>
        </w:tc>
        <w:tc>
          <w:tcPr>
            <w:tcW w:w="480" w:type="dxa"/>
            <w:vAlign w:val="bottom"/>
            <w:gridSpan w:val="2"/>
            <w:shd w:val="clear" w:color="auto" w:fill="CCEEFF"/>
          </w:tcPr>
          <w:p>
            <w:pPr>
              <w:jc w:val="right"/>
              <w:ind w:right="120"/>
              <w:spacing w:after="0" w:line="108" w:lineRule="exact"/>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100" w:type="dxa"/>
            <w:vAlign w:val="bottom"/>
            <w:shd w:val="clear" w:color="auto" w:fill="CCEEFF"/>
          </w:tcPr>
          <w:p>
            <w:pPr>
              <w:spacing w:after="0" w:line="108" w:lineRule="exact"/>
              <w:rPr>
                <w:sz w:val="20"/>
                <w:szCs w:val="20"/>
                <w:color w:val="auto"/>
              </w:rPr>
            </w:pPr>
            <w:r>
              <w:rPr>
                <w:rFonts w:ascii="Arial" w:cs="Arial" w:eastAsia="Arial" w:hAnsi="Arial"/>
                <w:sz w:val="10"/>
                <w:szCs w:val="10"/>
                <w:color w:val="auto"/>
                <w:w w:val="79"/>
              </w:rPr>
              <w:t>—</w:t>
            </w:r>
          </w:p>
        </w:tc>
        <w:tc>
          <w:tcPr>
            <w:tcW w:w="1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6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rPr>
              <w:t>—</w:t>
            </w:r>
          </w:p>
        </w:tc>
        <w:tc>
          <w:tcPr>
            <w:tcW w:w="1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80" w:type="dxa"/>
            <w:vAlign w:val="bottom"/>
            <w:shd w:val="clear" w:color="auto" w:fill="CCEEFF"/>
          </w:tcPr>
          <w:p>
            <w:pPr>
              <w:ind w:left="580"/>
              <w:spacing w:after="0" w:line="108" w:lineRule="exact"/>
              <w:rPr>
                <w:sz w:val="20"/>
                <w:szCs w:val="20"/>
                <w:color w:val="auto"/>
              </w:rPr>
            </w:pPr>
            <w:r>
              <w:rPr>
                <w:rFonts w:ascii="Arial" w:cs="Arial" w:eastAsia="Arial" w:hAnsi="Arial"/>
                <w:sz w:val="10"/>
                <w:szCs w:val="10"/>
                <w:color w:val="auto"/>
                <w:w w:val="79"/>
              </w:rPr>
              <w:t>—</w:t>
            </w:r>
          </w:p>
        </w:tc>
        <w:tc>
          <w:tcPr>
            <w:tcW w:w="1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00" w:type="dxa"/>
            <w:vAlign w:val="bottom"/>
            <w:gridSpan w:val="2"/>
            <w:shd w:val="clear" w:color="auto" w:fill="CCEEFF"/>
          </w:tcPr>
          <w:p>
            <w:pPr>
              <w:jc w:val="right"/>
              <w:ind w:right="80"/>
              <w:spacing w:after="0" w:line="108" w:lineRule="exact"/>
              <w:rPr>
                <w:sz w:val="20"/>
                <w:szCs w:val="20"/>
                <w:color w:val="auto"/>
              </w:rPr>
            </w:pPr>
            <w:r>
              <w:rPr>
                <w:rFonts w:ascii="Arial" w:cs="Arial" w:eastAsia="Arial" w:hAnsi="Arial"/>
                <w:sz w:val="10"/>
                <w:szCs w:val="10"/>
                <w:color w:val="auto"/>
              </w:rPr>
              <w:t>(71.1)</w:t>
            </w:r>
          </w:p>
        </w:tc>
        <w:tc>
          <w:tcPr>
            <w:tcW w:w="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80" w:type="dxa"/>
            <w:vAlign w:val="bottom"/>
            <w:gridSpan w:val="2"/>
            <w:shd w:val="clear" w:color="auto" w:fill="CCEEFF"/>
          </w:tcPr>
          <w:p>
            <w:pPr>
              <w:jc w:val="right"/>
              <w:ind w:right="40"/>
              <w:spacing w:after="0" w:line="108" w:lineRule="exact"/>
              <w:rPr>
                <w:sz w:val="20"/>
                <w:szCs w:val="20"/>
                <w:color w:val="auto"/>
              </w:rPr>
            </w:pPr>
            <w:r>
              <w:rPr>
                <w:rFonts w:ascii="Arial" w:cs="Arial" w:eastAsia="Arial" w:hAnsi="Arial"/>
                <w:sz w:val="10"/>
                <w:szCs w:val="10"/>
                <w:color w:val="auto"/>
              </w:rPr>
              <w:t>(71.1)</w:t>
            </w:r>
          </w:p>
        </w:tc>
        <w:tc>
          <w:tcPr>
            <w:tcW w:w="0" w:type="dxa"/>
            <w:vAlign w:val="bottom"/>
          </w:tcPr>
          <w:p>
            <w:pPr>
              <w:spacing w:after="0"/>
              <w:rPr>
                <w:sz w:val="1"/>
                <w:szCs w:val="1"/>
                <w:color w:val="auto"/>
              </w:rPr>
            </w:pPr>
          </w:p>
        </w:tc>
      </w:tr>
      <w:tr>
        <w:trPr>
          <w:trHeight w:val="20"/>
        </w:trPr>
        <w:tc>
          <w:tcPr>
            <w:tcW w:w="1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6"/>
        </w:trPr>
        <w:tc>
          <w:tcPr>
            <w:tcW w:w="1500" w:type="dxa"/>
            <w:vAlign w:val="bottom"/>
          </w:tcPr>
          <w:p>
            <w:pPr>
              <w:spacing w:after="0" w:line="106" w:lineRule="exact"/>
              <w:rPr>
                <w:sz w:val="20"/>
                <w:szCs w:val="20"/>
                <w:color w:val="auto"/>
              </w:rPr>
            </w:pPr>
            <w:r>
              <w:rPr>
                <w:rFonts w:ascii="Arial" w:cs="Arial" w:eastAsia="Arial" w:hAnsi="Arial"/>
                <w:sz w:val="10"/>
                <w:szCs w:val="10"/>
                <w:color w:val="auto"/>
              </w:rPr>
              <w:t>Balance — June 30, 2017</w:t>
            </w:r>
          </w:p>
        </w:tc>
        <w:tc>
          <w:tcPr>
            <w:tcW w:w="100" w:type="dxa"/>
            <w:vAlign w:val="bottom"/>
          </w:tcPr>
          <w:p>
            <w:pPr>
              <w:spacing w:after="0"/>
              <w:rPr>
                <w:sz w:val="9"/>
                <w:szCs w:val="9"/>
                <w:color w:val="auto"/>
              </w:rPr>
            </w:pPr>
          </w:p>
        </w:tc>
        <w:tc>
          <w:tcPr>
            <w:tcW w:w="360" w:type="dxa"/>
            <w:vAlign w:val="bottom"/>
          </w:tcPr>
          <w:p>
            <w:pPr>
              <w:jc w:val="right"/>
              <w:spacing w:after="0" w:line="106" w:lineRule="exact"/>
              <w:rPr>
                <w:sz w:val="20"/>
                <w:szCs w:val="20"/>
                <w:color w:val="auto"/>
              </w:rPr>
            </w:pPr>
            <w:r>
              <w:rPr>
                <w:rFonts w:ascii="Arial" w:cs="Arial" w:eastAsia="Arial" w:hAnsi="Arial"/>
                <w:sz w:val="10"/>
                <w:szCs w:val="10"/>
                <w:color w:val="auto"/>
              </w:rPr>
              <w:t>176.3</w:t>
            </w:r>
          </w:p>
        </w:tc>
        <w:tc>
          <w:tcPr>
            <w:tcW w:w="120" w:type="dxa"/>
            <w:vAlign w:val="bottom"/>
          </w:tcPr>
          <w:p>
            <w:pPr>
              <w:spacing w:after="0"/>
              <w:rPr>
                <w:sz w:val="9"/>
                <w:szCs w:val="9"/>
                <w:color w:val="auto"/>
              </w:rPr>
            </w:pPr>
          </w:p>
        </w:tc>
        <w:tc>
          <w:tcPr>
            <w:tcW w:w="200" w:type="dxa"/>
            <w:vAlign w:val="bottom"/>
            <w:gridSpan w:val="2"/>
          </w:tcPr>
          <w:p>
            <w:pPr>
              <w:ind w:left="80"/>
              <w:spacing w:after="0" w:line="106" w:lineRule="exact"/>
              <w:rPr>
                <w:sz w:val="20"/>
                <w:szCs w:val="20"/>
                <w:color w:val="auto"/>
              </w:rPr>
            </w:pPr>
            <w:r>
              <w:rPr>
                <w:rFonts w:ascii="Arial" w:cs="Arial" w:eastAsia="Arial" w:hAnsi="Arial"/>
                <w:sz w:val="10"/>
                <w:szCs w:val="10"/>
                <w:color w:val="auto"/>
              </w:rPr>
              <w:t>$</w:t>
            </w:r>
          </w:p>
        </w:tc>
        <w:tc>
          <w:tcPr>
            <w:tcW w:w="300" w:type="dxa"/>
            <w:vAlign w:val="bottom"/>
          </w:tcPr>
          <w:p>
            <w:pPr>
              <w:jc w:val="right"/>
              <w:spacing w:after="0" w:line="106" w:lineRule="exact"/>
              <w:rPr>
                <w:sz w:val="20"/>
                <w:szCs w:val="20"/>
                <w:color w:val="auto"/>
              </w:rPr>
            </w:pPr>
            <w:r>
              <w:rPr>
                <w:rFonts w:ascii="Arial" w:cs="Arial" w:eastAsia="Arial" w:hAnsi="Arial"/>
                <w:sz w:val="10"/>
                <w:szCs w:val="10"/>
                <w:color w:val="auto"/>
              </w:rPr>
              <w:t>406.3</w:t>
            </w:r>
          </w:p>
        </w:tc>
        <w:tc>
          <w:tcPr>
            <w:tcW w:w="120" w:type="dxa"/>
            <w:vAlign w:val="bottom"/>
          </w:tcPr>
          <w:p>
            <w:pPr>
              <w:spacing w:after="0"/>
              <w:rPr>
                <w:sz w:val="9"/>
                <w:szCs w:val="9"/>
                <w:color w:val="auto"/>
              </w:rPr>
            </w:pPr>
          </w:p>
        </w:tc>
        <w:tc>
          <w:tcPr>
            <w:tcW w:w="460" w:type="dxa"/>
            <w:vAlign w:val="bottom"/>
            <w:gridSpan w:val="2"/>
          </w:tcPr>
          <w:p>
            <w:pPr>
              <w:jc w:val="right"/>
              <w:spacing w:after="0" w:line="106" w:lineRule="exact"/>
              <w:rPr>
                <w:sz w:val="20"/>
                <w:szCs w:val="20"/>
                <w:color w:val="auto"/>
              </w:rPr>
            </w:pPr>
            <w:r>
              <w:rPr>
                <w:rFonts w:ascii="Arial" w:cs="Arial" w:eastAsia="Arial" w:hAnsi="Arial"/>
                <w:sz w:val="10"/>
                <w:szCs w:val="10"/>
                <w:color w:val="auto"/>
              </w:rPr>
              <w:t>20.2</w:t>
            </w:r>
          </w:p>
        </w:tc>
        <w:tc>
          <w:tcPr>
            <w:tcW w:w="120" w:type="dxa"/>
            <w:vAlign w:val="bottom"/>
          </w:tcPr>
          <w:p>
            <w:pPr>
              <w:spacing w:after="0"/>
              <w:rPr>
                <w:sz w:val="9"/>
                <w:szCs w:val="9"/>
                <w:color w:val="auto"/>
              </w:rPr>
            </w:pPr>
          </w:p>
        </w:tc>
        <w:tc>
          <w:tcPr>
            <w:tcW w:w="400" w:type="dxa"/>
            <w:vAlign w:val="bottom"/>
            <w:gridSpan w:val="2"/>
          </w:tcPr>
          <w:p>
            <w:pPr>
              <w:ind w:left="80"/>
              <w:spacing w:after="0" w:line="106" w:lineRule="exact"/>
              <w:rPr>
                <w:sz w:val="20"/>
                <w:szCs w:val="20"/>
                <w:color w:val="auto"/>
              </w:rPr>
            </w:pPr>
            <w:r>
              <w:rPr>
                <w:rFonts w:ascii="Arial" w:cs="Arial" w:eastAsia="Arial" w:hAnsi="Arial"/>
                <w:sz w:val="10"/>
                <w:szCs w:val="10"/>
                <w:color w:val="auto"/>
              </w:rPr>
              <w:t>$</w:t>
            </w:r>
          </w:p>
        </w:tc>
        <w:tc>
          <w:tcPr>
            <w:tcW w:w="100" w:type="dxa"/>
            <w:vAlign w:val="bottom"/>
          </w:tcPr>
          <w:p>
            <w:pPr>
              <w:spacing w:after="0" w:line="106" w:lineRule="exact"/>
              <w:rPr>
                <w:sz w:val="20"/>
                <w:szCs w:val="20"/>
                <w:color w:val="auto"/>
              </w:rPr>
            </w:pPr>
            <w:r>
              <w:rPr>
                <w:rFonts w:ascii="Arial" w:cs="Arial" w:eastAsia="Arial" w:hAnsi="Arial"/>
                <w:sz w:val="10"/>
                <w:szCs w:val="10"/>
                <w:color w:val="auto"/>
                <w:w w:val="79"/>
              </w:rPr>
              <w:t>—</w:t>
            </w:r>
          </w:p>
        </w:tc>
        <w:tc>
          <w:tcPr>
            <w:tcW w:w="260" w:type="dxa"/>
            <w:vAlign w:val="bottom"/>
            <w:gridSpan w:val="2"/>
          </w:tcPr>
          <w:p>
            <w:pPr>
              <w:ind w:left="180"/>
              <w:spacing w:after="0" w:line="106" w:lineRule="exact"/>
              <w:rPr>
                <w:sz w:val="20"/>
                <w:szCs w:val="20"/>
                <w:color w:val="auto"/>
              </w:rPr>
            </w:pPr>
            <w:r>
              <w:rPr>
                <w:rFonts w:ascii="Arial" w:cs="Arial" w:eastAsia="Arial" w:hAnsi="Arial"/>
                <w:sz w:val="10"/>
                <w:szCs w:val="10"/>
                <w:color w:val="auto"/>
              </w:rPr>
              <w:t>$</w:t>
            </w:r>
          </w:p>
        </w:tc>
        <w:tc>
          <w:tcPr>
            <w:tcW w:w="460" w:type="dxa"/>
            <w:vAlign w:val="bottom"/>
          </w:tcPr>
          <w:p>
            <w:pPr>
              <w:jc w:val="right"/>
              <w:spacing w:after="0" w:line="106" w:lineRule="exact"/>
              <w:rPr>
                <w:sz w:val="20"/>
                <w:szCs w:val="20"/>
                <w:color w:val="auto"/>
              </w:rPr>
            </w:pPr>
            <w:r>
              <w:rPr>
                <w:rFonts w:ascii="Arial" w:cs="Arial" w:eastAsia="Arial" w:hAnsi="Arial"/>
                <w:sz w:val="10"/>
                <w:szCs w:val="10"/>
                <w:color w:val="auto"/>
              </w:rPr>
              <w:t>6.1</w:t>
            </w:r>
          </w:p>
        </w:tc>
        <w:tc>
          <w:tcPr>
            <w:tcW w:w="320" w:type="dxa"/>
            <w:vAlign w:val="bottom"/>
            <w:gridSpan w:val="2"/>
          </w:tcPr>
          <w:p>
            <w:pPr>
              <w:ind w:left="180"/>
              <w:spacing w:after="0" w:line="106" w:lineRule="exact"/>
              <w:rPr>
                <w:sz w:val="20"/>
                <w:szCs w:val="20"/>
                <w:color w:val="auto"/>
              </w:rPr>
            </w:pPr>
            <w:r>
              <w:rPr>
                <w:rFonts w:ascii="Arial" w:cs="Arial" w:eastAsia="Arial" w:hAnsi="Arial"/>
                <w:sz w:val="10"/>
                <w:szCs w:val="10"/>
                <w:color w:val="auto"/>
              </w:rPr>
              <w:t>$</w:t>
            </w:r>
          </w:p>
        </w:tc>
        <w:tc>
          <w:tcPr>
            <w:tcW w:w="680" w:type="dxa"/>
            <w:vAlign w:val="bottom"/>
          </w:tcPr>
          <w:p>
            <w:pPr>
              <w:ind w:left="580"/>
              <w:spacing w:after="0" w:line="106" w:lineRule="exact"/>
              <w:rPr>
                <w:sz w:val="20"/>
                <w:szCs w:val="20"/>
                <w:color w:val="auto"/>
              </w:rPr>
            </w:pPr>
            <w:r>
              <w:rPr>
                <w:rFonts w:ascii="Arial" w:cs="Arial" w:eastAsia="Arial" w:hAnsi="Arial"/>
                <w:sz w:val="10"/>
                <w:szCs w:val="10"/>
                <w:color w:val="auto"/>
                <w:w w:val="79"/>
              </w:rPr>
              <w:t>—</w:t>
            </w:r>
          </w:p>
        </w:tc>
        <w:tc>
          <w:tcPr>
            <w:tcW w:w="280" w:type="dxa"/>
            <w:vAlign w:val="bottom"/>
            <w:gridSpan w:val="2"/>
          </w:tcPr>
          <w:p>
            <w:pPr>
              <w:ind w:left="180"/>
              <w:spacing w:after="0" w:line="106" w:lineRule="exact"/>
              <w:rPr>
                <w:sz w:val="20"/>
                <w:szCs w:val="20"/>
                <w:color w:val="auto"/>
              </w:rPr>
            </w:pPr>
            <w:r>
              <w:rPr>
                <w:rFonts w:ascii="Arial" w:cs="Arial" w:eastAsia="Arial" w:hAnsi="Arial"/>
                <w:sz w:val="10"/>
                <w:szCs w:val="10"/>
                <w:color w:val="auto"/>
              </w:rPr>
              <w:t>$</w:t>
            </w:r>
          </w:p>
        </w:tc>
        <w:tc>
          <w:tcPr>
            <w:tcW w:w="700" w:type="dxa"/>
            <w:vAlign w:val="bottom"/>
            <w:gridSpan w:val="2"/>
          </w:tcPr>
          <w:p>
            <w:pPr>
              <w:jc w:val="right"/>
              <w:ind w:right="80"/>
              <w:spacing w:after="0" w:line="106" w:lineRule="exact"/>
              <w:rPr>
                <w:sz w:val="20"/>
                <w:szCs w:val="20"/>
                <w:color w:val="auto"/>
              </w:rPr>
            </w:pPr>
            <w:r>
              <w:rPr>
                <w:rFonts w:ascii="Arial" w:cs="Arial" w:eastAsia="Arial" w:hAnsi="Arial"/>
                <w:sz w:val="10"/>
                <w:szCs w:val="10"/>
                <w:color w:val="auto"/>
              </w:rPr>
              <w:t>(287.7)</w:t>
            </w:r>
          </w:p>
        </w:tc>
        <w:tc>
          <w:tcPr>
            <w:tcW w:w="200" w:type="dxa"/>
            <w:vAlign w:val="bottom"/>
            <w:gridSpan w:val="2"/>
          </w:tcPr>
          <w:p>
            <w:pPr>
              <w:ind w:left="80"/>
              <w:spacing w:after="0" w:line="106" w:lineRule="exact"/>
              <w:rPr>
                <w:sz w:val="20"/>
                <w:szCs w:val="20"/>
                <w:color w:val="auto"/>
              </w:rPr>
            </w:pPr>
            <w:r>
              <w:rPr>
                <w:rFonts w:ascii="Arial" w:cs="Arial" w:eastAsia="Arial" w:hAnsi="Arial"/>
                <w:sz w:val="10"/>
                <w:szCs w:val="10"/>
                <w:color w:val="auto"/>
              </w:rPr>
              <w:t>$</w:t>
            </w:r>
          </w:p>
        </w:tc>
        <w:tc>
          <w:tcPr>
            <w:tcW w:w="680" w:type="dxa"/>
            <w:vAlign w:val="bottom"/>
            <w:gridSpan w:val="2"/>
          </w:tcPr>
          <w:p>
            <w:pPr>
              <w:jc w:val="right"/>
              <w:ind w:right="40"/>
              <w:spacing w:after="0" w:line="106" w:lineRule="exact"/>
              <w:rPr>
                <w:sz w:val="20"/>
                <w:szCs w:val="20"/>
                <w:color w:val="auto"/>
              </w:rPr>
            </w:pPr>
            <w:r>
              <w:rPr>
                <w:rFonts w:ascii="Arial" w:cs="Arial" w:eastAsia="Arial" w:hAnsi="Arial"/>
                <w:sz w:val="10"/>
                <w:szCs w:val="10"/>
                <w:color w:val="auto"/>
              </w:rPr>
              <w:t>(281.6)</w:t>
            </w:r>
          </w:p>
        </w:tc>
        <w:tc>
          <w:tcPr>
            <w:tcW w:w="0" w:type="dxa"/>
            <w:vAlign w:val="bottom"/>
          </w:tcPr>
          <w:p>
            <w:pPr>
              <w:spacing w:after="0"/>
              <w:rPr>
                <w:sz w:val="1"/>
                <w:szCs w:val="1"/>
                <w:color w:val="auto"/>
              </w:rPr>
            </w:pPr>
          </w:p>
        </w:tc>
      </w:tr>
      <w:tr>
        <w:trPr>
          <w:trHeight w:val="32"/>
        </w:trPr>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13"/>
        </w:trPr>
        <w:tc>
          <w:tcPr>
            <w:tcW w:w="1500" w:type="dxa"/>
            <w:vAlign w:val="bottom"/>
            <w:shd w:val="clear" w:color="auto" w:fill="CCEEFF"/>
          </w:tcPr>
          <w:p>
            <w:pPr>
              <w:ind w:left="200"/>
              <w:spacing w:after="0" w:line="113" w:lineRule="exact"/>
              <w:rPr>
                <w:sz w:val="20"/>
                <w:szCs w:val="20"/>
                <w:color w:val="auto"/>
              </w:rPr>
            </w:pPr>
            <w:r>
              <w:rPr>
                <w:rFonts w:ascii="Arial" w:cs="Arial" w:eastAsia="Arial" w:hAnsi="Arial"/>
                <w:sz w:val="10"/>
                <w:szCs w:val="10"/>
                <w:color w:val="auto"/>
              </w:rPr>
              <w:t>Exercise of stock options</w:t>
            </w:r>
          </w:p>
        </w:tc>
        <w:tc>
          <w:tcPr>
            <w:tcW w:w="100" w:type="dxa"/>
            <w:vAlign w:val="bottom"/>
            <w:shd w:val="clear" w:color="auto" w:fill="CCEEFF"/>
          </w:tcPr>
          <w:p>
            <w:pPr>
              <w:spacing w:after="0"/>
              <w:rPr>
                <w:sz w:val="9"/>
                <w:szCs w:val="9"/>
                <w:color w:val="auto"/>
              </w:rPr>
            </w:pPr>
          </w:p>
        </w:tc>
        <w:tc>
          <w:tcPr>
            <w:tcW w:w="480" w:type="dxa"/>
            <w:vAlign w:val="bottom"/>
            <w:gridSpan w:val="2"/>
            <w:shd w:val="clear" w:color="auto" w:fill="CCEEFF"/>
          </w:tcPr>
          <w:p>
            <w:pPr>
              <w:jc w:val="right"/>
              <w:ind w:right="120"/>
              <w:spacing w:after="0" w:line="113" w:lineRule="exact"/>
              <w:rPr>
                <w:sz w:val="20"/>
                <w:szCs w:val="20"/>
                <w:color w:val="auto"/>
              </w:rPr>
            </w:pPr>
            <w:r>
              <w:rPr>
                <w:rFonts w:ascii="Arial" w:cs="Arial" w:eastAsia="Arial" w:hAnsi="Arial"/>
                <w:sz w:val="10"/>
                <w:szCs w:val="10"/>
                <w:color w:val="auto"/>
              </w:rPr>
              <w:t>—</w:t>
            </w:r>
          </w:p>
        </w:tc>
        <w:tc>
          <w:tcPr>
            <w:tcW w:w="200" w:type="dxa"/>
            <w:vAlign w:val="bottom"/>
            <w:gridSpan w:val="2"/>
            <w:shd w:val="clear" w:color="auto" w:fill="CCEEFF"/>
          </w:tcPr>
          <w:p>
            <w:pPr>
              <w:ind w:left="80"/>
              <w:spacing w:after="0" w:line="113" w:lineRule="exact"/>
              <w:rPr>
                <w:sz w:val="20"/>
                <w:szCs w:val="20"/>
                <w:color w:val="auto"/>
              </w:rPr>
            </w:pPr>
            <w:r>
              <w:rPr>
                <w:rFonts w:ascii="Arial" w:cs="Arial" w:eastAsia="Arial" w:hAnsi="Arial"/>
                <w:sz w:val="10"/>
                <w:szCs w:val="10"/>
                <w:color w:val="auto"/>
              </w:rPr>
              <w:t>$</w:t>
            </w:r>
          </w:p>
        </w:tc>
        <w:tc>
          <w:tcPr>
            <w:tcW w:w="420" w:type="dxa"/>
            <w:vAlign w:val="bottom"/>
            <w:gridSpan w:val="2"/>
            <w:shd w:val="clear" w:color="auto" w:fill="CCEEFF"/>
          </w:tcPr>
          <w:p>
            <w:pPr>
              <w:jc w:val="right"/>
              <w:ind w:right="120"/>
              <w:spacing w:after="0" w:line="113" w:lineRule="exact"/>
              <w:rPr>
                <w:sz w:val="20"/>
                <w:szCs w:val="20"/>
                <w:color w:val="auto"/>
              </w:rPr>
            </w:pPr>
            <w:r>
              <w:rPr>
                <w:rFonts w:ascii="Arial" w:cs="Arial" w:eastAsia="Arial" w:hAnsi="Arial"/>
                <w:sz w:val="10"/>
                <w:szCs w:val="10"/>
                <w:color w:val="auto"/>
              </w:rPr>
              <w:t>—</w:t>
            </w:r>
          </w:p>
        </w:tc>
        <w:tc>
          <w:tcPr>
            <w:tcW w:w="460" w:type="dxa"/>
            <w:vAlign w:val="bottom"/>
            <w:gridSpan w:val="2"/>
            <w:shd w:val="clear" w:color="auto" w:fill="CCEEFF"/>
          </w:tcPr>
          <w:p>
            <w:pPr>
              <w:jc w:val="right"/>
              <w:spacing w:after="0" w:line="113" w:lineRule="exact"/>
              <w:rPr>
                <w:sz w:val="20"/>
                <w:szCs w:val="20"/>
                <w:color w:val="auto"/>
              </w:rPr>
            </w:pPr>
            <w:r>
              <w:rPr>
                <w:rFonts w:ascii="Arial" w:cs="Arial" w:eastAsia="Arial" w:hAnsi="Arial"/>
                <w:sz w:val="10"/>
                <w:szCs w:val="10"/>
                <w:color w:val="auto"/>
              </w:rPr>
              <w:t>5.7</w:t>
            </w:r>
          </w:p>
        </w:tc>
        <w:tc>
          <w:tcPr>
            <w:tcW w:w="120" w:type="dxa"/>
            <w:vAlign w:val="bottom"/>
            <w:shd w:val="clear" w:color="auto" w:fill="CCEEFF"/>
          </w:tcPr>
          <w:p>
            <w:pPr>
              <w:spacing w:after="0"/>
              <w:rPr>
                <w:sz w:val="9"/>
                <w:szCs w:val="9"/>
                <w:color w:val="auto"/>
              </w:rPr>
            </w:pPr>
          </w:p>
        </w:tc>
        <w:tc>
          <w:tcPr>
            <w:tcW w:w="400" w:type="dxa"/>
            <w:vAlign w:val="bottom"/>
            <w:gridSpan w:val="2"/>
            <w:shd w:val="clear" w:color="auto" w:fill="CCEEFF"/>
          </w:tcPr>
          <w:p>
            <w:pPr>
              <w:ind w:left="80"/>
              <w:spacing w:after="0" w:line="113" w:lineRule="exact"/>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line="113" w:lineRule="exact"/>
              <w:rPr>
                <w:sz w:val="20"/>
                <w:szCs w:val="20"/>
                <w:color w:val="auto"/>
              </w:rPr>
            </w:pPr>
            <w:r>
              <w:rPr>
                <w:rFonts w:ascii="Arial" w:cs="Arial" w:eastAsia="Arial" w:hAnsi="Arial"/>
                <w:sz w:val="10"/>
                <w:szCs w:val="10"/>
                <w:color w:val="auto"/>
                <w:w w:val="79"/>
              </w:rPr>
              <w:t>—</w:t>
            </w:r>
          </w:p>
        </w:tc>
        <w:tc>
          <w:tcPr>
            <w:tcW w:w="260" w:type="dxa"/>
            <w:vAlign w:val="bottom"/>
            <w:gridSpan w:val="2"/>
            <w:shd w:val="clear" w:color="auto" w:fill="CCEEFF"/>
          </w:tcPr>
          <w:p>
            <w:pPr>
              <w:ind w:left="180"/>
              <w:spacing w:after="0" w:line="113" w:lineRule="exact"/>
              <w:rPr>
                <w:sz w:val="20"/>
                <w:szCs w:val="20"/>
                <w:color w:val="auto"/>
              </w:rPr>
            </w:pPr>
            <w:r>
              <w:rPr>
                <w:rFonts w:ascii="Arial" w:cs="Arial" w:eastAsia="Arial" w:hAnsi="Arial"/>
                <w:sz w:val="10"/>
                <w:szCs w:val="10"/>
                <w:color w:val="auto"/>
              </w:rPr>
              <w:t>$</w:t>
            </w:r>
          </w:p>
        </w:tc>
        <w:tc>
          <w:tcPr>
            <w:tcW w:w="460" w:type="dxa"/>
            <w:vAlign w:val="bottom"/>
            <w:shd w:val="clear" w:color="auto" w:fill="CCEEFF"/>
          </w:tcPr>
          <w:p>
            <w:pPr>
              <w:jc w:val="right"/>
              <w:spacing w:after="0" w:line="113" w:lineRule="exact"/>
              <w:rPr>
                <w:sz w:val="20"/>
                <w:szCs w:val="20"/>
                <w:color w:val="auto"/>
              </w:rPr>
            </w:pPr>
            <w:r>
              <w:rPr>
                <w:rFonts w:ascii="Arial" w:cs="Arial" w:eastAsia="Arial" w:hAnsi="Arial"/>
                <w:sz w:val="10"/>
                <w:szCs w:val="10"/>
                <w:color w:val="auto"/>
              </w:rPr>
              <w:t>5.3</w:t>
            </w:r>
          </w:p>
        </w:tc>
        <w:tc>
          <w:tcPr>
            <w:tcW w:w="1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80" w:type="dxa"/>
            <w:vAlign w:val="bottom"/>
            <w:shd w:val="clear" w:color="auto" w:fill="CCEEFF"/>
          </w:tcPr>
          <w:p>
            <w:pPr>
              <w:ind w:left="580"/>
              <w:spacing w:after="0" w:line="113" w:lineRule="exact"/>
              <w:rPr>
                <w:sz w:val="20"/>
                <w:szCs w:val="20"/>
                <w:color w:val="auto"/>
              </w:rPr>
            </w:pPr>
            <w:r>
              <w:rPr>
                <w:rFonts w:ascii="Arial" w:cs="Arial" w:eastAsia="Arial" w:hAnsi="Arial"/>
                <w:sz w:val="10"/>
                <w:szCs w:val="10"/>
                <w:color w:val="auto"/>
                <w:w w:val="79"/>
              </w:rPr>
              <w:t>—</w:t>
            </w:r>
          </w:p>
        </w:tc>
        <w:tc>
          <w:tcPr>
            <w:tcW w:w="280" w:type="dxa"/>
            <w:vAlign w:val="bottom"/>
            <w:gridSpan w:val="2"/>
            <w:shd w:val="clear" w:color="auto" w:fill="CCEEFF"/>
          </w:tcPr>
          <w:p>
            <w:pPr>
              <w:ind w:left="180"/>
              <w:spacing w:after="0" w:line="113" w:lineRule="exact"/>
              <w:rPr>
                <w:sz w:val="20"/>
                <w:szCs w:val="20"/>
                <w:color w:val="auto"/>
              </w:rPr>
            </w:pPr>
            <w:r>
              <w:rPr>
                <w:rFonts w:ascii="Arial" w:cs="Arial" w:eastAsia="Arial" w:hAnsi="Arial"/>
                <w:sz w:val="10"/>
                <w:szCs w:val="10"/>
                <w:color w:val="auto"/>
              </w:rPr>
              <w:t>$</w:t>
            </w:r>
          </w:p>
        </w:tc>
        <w:tc>
          <w:tcPr>
            <w:tcW w:w="700" w:type="dxa"/>
            <w:vAlign w:val="bottom"/>
            <w:gridSpan w:val="2"/>
            <w:shd w:val="clear" w:color="auto" w:fill="CCEEFF"/>
          </w:tcPr>
          <w:p>
            <w:pPr>
              <w:jc w:val="right"/>
              <w:ind w:right="120"/>
              <w:spacing w:after="0" w:line="113" w:lineRule="exact"/>
              <w:rPr>
                <w:sz w:val="20"/>
                <w:szCs w:val="20"/>
                <w:color w:val="auto"/>
              </w:rPr>
            </w:pPr>
            <w:r>
              <w:rPr>
                <w:rFonts w:ascii="Arial" w:cs="Arial" w:eastAsia="Arial" w:hAnsi="Arial"/>
                <w:sz w:val="10"/>
                <w:szCs w:val="10"/>
                <w:color w:val="auto"/>
              </w:rPr>
              <w:t>—</w:t>
            </w:r>
          </w:p>
        </w:tc>
        <w:tc>
          <w:tcPr>
            <w:tcW w:w="200" w:type="dxa"/>
            <w:vAlign w:val="bottom"/>
            <w:gridSpan w:val="2"/>
            <w:shd w:val="clear" w:color="auto" w:fill="CCEEFF"/>
          </w:tcPr>
          <w:p>
            <w:pPr>
              <w:ind w:left="80"/>
              <w:spacing w:after="0" w:line="113" w:lineRule="exact"/>
              <w:rPr>
                <w:sz w:val="20"/>
                <w:szCs w:val="20"/>
                <w:color w:val="auto"/>
              </w:rPr>
            </w:pPr>
            <w:r>
              <w:rPr>
                <w:rFonts w:ascii="Arial" w:cs="Arial" w:eastAsia="Arial" w:hAnsi="Arial"/>
                <w:sz w:val="10"/>
                <w:szCs w:val="10"/>
                <w:color w:val="auto"/>
              </w:rPr>
              <w:t>$</w:t>
            </w:r>
          </w:p>
        </w:tc>
        <w:tc>
          <w:tcPr>
            <w:tcW w:w="620" w:type="dxa"/>
            <w:vAlign w:val="bottom"/>
            <w:shd w:val="clear" w:color="auto" w:fill="CCEEFF"/>
          </w:tcPr>
          <w:p>
            <w:pPr>
              <w:jc w:val="right"/>
              <w:spacing w:after="0" w:line="113" w:lineRule="exact"/>
              <w:rPr>
                <w:sz w:val="20"/>
                <w:szCs w:val="20"/>
                <w:color w:val="auto"/>
              </w:rPr>
            </w:pPr>
            <w:r>
              <w:rPr>
                <w:rFonts w:ascii="Arial" w:cs="Arial" w:eastAsia="Arial" w:hAnsi="Arial"/>
                <w:sz w:val="10"/>
                <w:szCs w:val="10"/>
                <w:color w:val="auto"/>
              </w:rPr>
              <w:t>5.3</w:t>
            </w:r>
          </w:p>
        </w:tc>
        <w:tc>
          <w:tcPr>
            <w:tcW w:w="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11"/>
        </w:trPr>
        <w:tc>
          <w:tcPr>
            <w:tcW w:w="1500" w:type="dxa"/>
            <w:vAlign w:val="bottom"/>
          </w:tcPr>
          <w:p>
            <w:pPr>
              <w:ind w:left="200"/>
              <w:spacing w:after="0" w:line="112" w:lineRule="exact"/>
              <w:rPr>
                <w:sz w:val="20"/>
                <w:szCs w:val="20"/>
                <w:color w:val="auto"/>
              </w:rPr>
            </w:pPr>
            <w:r>
              <w:rPr>
                <w:rFonts w:ascii="Arial" w:cs="Arial" w:eastAsia="Arial" w:hAnsi="Arial"/>
                <w:sz w:val="10"/>
                <w:szCs w:val="10"/>
                <w:color w:val="auto"/>
              </w:rPr>
              <w:t>Stock-based compensation</w:t>
            </w: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500" w:type="dxa"/>
            <w:vAlign w:val="bottom"/>
          </w:tcPr>
          <w:p>
            <w:pPr>
              <w:ind w:left="280"/>
              <w:spacing w:after="0" w:line="105" w:lineRule="exact"/>
              <w:rPr>
                <w:sz w:val="20"/>
                <w:szCs w:val="20"/>
                <w:color w:val="auto"/>
              </w:rPr>
            </w:pPr>
            <w:r>
              <w:rPr>
                <w:rFonts w:ascii="Arial" w:cs="Arial" w:eastAsia="Arial" w:hAnsi="Arial"/>
                <w:sz w:val="10"/>
                <w:szCs w:val="10"/>
                <w:color w:val="auto"/>
              </w:rPr>
              <w:t>expense</w:t>
            </w:r>
          </w:p>
        </w:tc>
        <w:tc>
          <w:tcPr>
            <w:tcW w:w="100" w:type="dxa"/>
            <w:vAlign w:val="bottom"/>
          </w:tcPr>
          <w:p>
            <w:pPr>
              <w:spacing w:after="0"/>
              <w:rPr>
                <w:sz w:val="9"/>
                <w:szCs w:val="9"/>
                <w:color w:val="auto"/>
              </w:rPr>
            </w:pPr>
          </w:p>
        </w:tc>
        <w:tc>
          <w:tcPr>
            <w:tcW w:w="480" w:type="dxa"/>
            <w:vAlign w:val="bottom"/>
            <w:gridSpan w:val="2"/>
          </w:tcPr>
          <w:p>
            <w:pPr>
              <w:jc w:val="right"/>
              <w:ind w:right="120"/>
              <w:spacing w:after="0" w:line="105" w:lineRule="exact"/>
              <w:rPr>
                <w:sz w:val="20"/>
                <w:szCs w:val="20"/>
                <w:color w:val="auto"/>
              </w:rPr>
            </w:pPr>
            <w:r>
              <w:rPr>
                <w:rFonts w:ascii="Arial" w:cs="Arial" w:eastAsia="Arial" w:hAnsi="Arial"/>
                <w:sz w:val="10"/>
                <w:szCs w:val="10"/>
                <w:color w:val="auto"/>
              </w:rPr>
              <w:t>—</w:t>
            </w: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gridSpan w:val="2"/>
          </w:tcPr>
          <w:p>
            <w:pPr>
              <w:jc w:val="right"/>
              <w:ind w:right="120"/>
              <w:spacing w:after="0" w:line="105" w:lineRule="exact"/>
              <w:rPr>
                <w:sz w:val="20"/>
                <w:szCs w:val="20"/>
                <w:color w:val="auto"/>
              </w:rPr>
            </w:pPr>
            <w:r>
              <w:rPr>
                <w:rFonts w:ascii="Arial" w:cs="Arial" w:eastAsia="Arial" w:hAnsi="Arial"/>
                <w:sz w:val="10"/>
                <w:szCs w:val="10"/>
                <w:color w:val="auto"/>
              </w:rPr>
              <w:t>—</w:t>
            </w:r>
          </w:p>
        </w:tc>
        <w:tc>
          <w:tcPr>
            <w:tcW w:w="100" w:type="dxa"/>
            <w:vAlign w:val="bottom"/>
          </w:tcPr>
          <w:p>
            <w:pPr>
              <w:spacing w:after="0"/>
              <w:rPr>
                <w:sz w:val="9"/>
                <w:szCs w:val="9"/>
                <w:color w:val="auto"/>
              </w:rPr>
            </w:pPr>
          </w:p>
        </w:tc>
        <w:tc>
          <w:tcPr>
            <w:tcW w:w="480" w:type="dxa"/>
            <w:vAlign w:val="bottom"/>
            <w:gridSpan w:val="2"/>
          </w:tcPr>
          <w:p>
            <w:pPr>
              <w:jc w:val="right"/>
              <w:ind w:right="120"/>
              <w:spacing w:after="0" w:line="105" w:lineRule="exact"/>
              <w:rPr>
                <w:sz w:val="20"/>
                <w:szCs w:val="20"/>
                <w:color w:val="auto"/>
              </w:rPr>
            </w:pPr>
            <w:r>
              <w:rPr>
                <w:rFonts w:ascii="Arial" w:cs="Arial" w:eastAsia="Arial" w:hAnsi="Arial"/>
                <w:sz w:val="10"/>
                <w:szCs w:val="10"/>
                <w:color w:val="auto"/>
              </w:rPr>
              <w:t>—</w:t>
            </w: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Pr>
          <w:p>
            <w:pPr>
              <w:spacing w:after="0" w:line="105" w:lineRule="exact"/>
              <w:rPr>
                <w:sz w:val="20"/>
                <w:szCs w:val="20"/>
                <w:color w:val="auto"/>
              </w:rPr>
            </w:pPr>
            <w:r>
              <w:rPr>
                <w:rFonts w:ascii="Arial" w:cs="Arial" w:eastAsia="Arial" w:hAnsi="Arial"/>
                <w:sz w:val="10"/>
                <w:szCs w:val="10"/>
                <w:color w:val="auto"/>
                <w:w w:val="79"/>
              </w:rPr>
              <w:t>—</w:t>
            </w: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jc w:val="right"/>
              <w:spacing w:after="0" w:line="105" w:lineRule="exact"/>
              <w:rPr>
                <w:sz w:val="20"/>
                <w:szCs w:val="20"/>
                <w:color w:val="auto"/>
              </w:rPr>
            </w:pPr>
            <w:r>
              <w:rPr>
                <w:rFonts w:ascii="Arial" w:cs="Arial" w:eastAsia="Arial" w:hAnsi="Arial"/>
                <w:sz w:val="10"/>
                <w:szCs w:val="10"/>
                <w:color w:val="auto"/>
              </w:rPr>
              <w:t>8.6</w:t>
            </w: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80" w:type="dxa"/>
            <w:vAlign w:val="bottom"/>
          </w:tcPr>
          <w:p>
            <w:pPr>
              <w:ind w:left="580"/>
              <w:spacing w:after="0" w:line="105" w:lineRule="exact"/>
              <w:rPr>
                <w:sz w:val="20"/>
                <w:szCs w:val="20"/>
                <w:color w:val="auto"/>
              </w:rPr>
            </w:pPr>
            <w:r>
              <w:rPr>
                <w:rFonts w:ascii="Arial" w:cs="Arial" w:eastAsia="Arial" w:hAnsi="Arial"/>
                <w:sz w:val="10"/>
                <w:szCs w:val="10"/>
                <w:color w:val="auto"/>
                <w:w w:val="79"/>
              </w:rPr>
              <w:t>—</w:t>
            </w: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gridSpan w:val="2"/>
          </w:tcPr>
          <w:p>
            <w:pPr>
              <w:jc w:val="right"/>
              <w:ind w:right="120"/>
              <w:spacing w:after="0" w:line="105" w:lineRule="exact"/>
              <w:rPr>
                <w:sz w:val="20"/>
                <w:szCs w:val="20"/>
                <w:color w:val="auto"/>
              </w:rPr>
            </w:pPr>
            <w:r>
              <w:rPr>
                <w:rFonts w:ascii="Arial" w:cs="Arial" w:eastAsia="Arial" w:hAnsi="Arial"/>
                <w:sz w:val="10"/>
                <w:szCs w:val="10"/>
                <w:color w:val="auto"/>
              </w:rPr>
              <w:t>—</w:t>
            </w: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jc w:val="right"/>
              <w:spacing w:after="0" w:line="105" w:lineRule="exact"/>
              <w:rPr>
                <w:sz w:val="20"/>
                <w:szCs w:val="20"/>
                <w:color w:val="auto"/>
              </w:rPr>
            </w:pPr>
            <w:r>
              <w:rPr>
                <w:rFonts w:ascii="Arial" w:cs="Arial" w:eastAsia="Arial" w:hAnsi="Arial"/>
                <w:sz w:val="10"/>
                <w:szCs w:val="10"/>
                <w:color w:val="auto"/>
              </w:rPr>
              <w:t>8.6</w:t>
            </w: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1"/>
        </w:trPr>
        <w:tc>
          <w:tcPr>
            <w:tcW w:w="1500" w:type="dxa"/>
            <w:vAlign w:val="bottom"/>
            <w:shd w:val="clear" w:color="auto" w:fill="CCEEFF"/>
          </w:tcPr>
          <w:p>
            <w:pPr>
              <w:ind w:left="200"/>
              <w:spacing w:after="0" w:line="112" w:lineRule="exact"/>
              <w:rPr>
                <w:sz w:val="20"/>
                <w:szCs w:val="20"/>
                <w:color w:val="auto"/>
              </w:rPr>
            </w:pPr>
            <w:r>
              <w:rPr>
                <w:rFonts w:ascii="Arial" w:cs="Arial" w:eastAsia="Arial" w:hAnsi="Arial"/>
                <w:sz w:val="10"/>
                <w:szCs w:val="10"/>
                <w:color w:val="auto"/>
              </w:rPr>
              <w:t>Cumulative effect of change</w:t>
            </w:r>
          </w:p>
        </w:tc>
        <w:tc>
          <w:tcPr>
            <w:tcW w:w="10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500" w:type="dxa"/>
            <w:vAlign w:val="bottom"/>
            <w:shd w:val="clear" w:color="auto" w:fill="CCEEFF"/>
          </w:tcPr>
          <w:p>
            <w:pPr>
              <w:ind w:left="280"/>
              <w:spacing w:after="0" w:line="105" w:lineRule="exact"/>
              <w:rPr>
                <w:sz w:val="20"/>
                <w:szCs w:val="20"/>
                <w:color w:val="auto"/>
              </w:rPr>
            </w:pPr>
            <w:r>
              <w:rPr>
                <w:rFonts w:ascii="Arial" w:cs="Arial" w:eastAsia="Arial" w:hAnsi="Arial"/>
                <w:sz w:val="10"/>
                <w:szCs w:val="10"/>
                <w:color w:val="auto"/>
              </w:rPr>
              <w:t>in accounting principle</w:t>
            </w:r>
          </w:p>
        </w:tc>
        <w:tc>
          <w:tcPr>
            <w:tcW w:w="100" w:type="dxa"/>
            <w:vAlign w:val="bottom"/>
            <w:shd w:val="clear" w:color="auto" w:fill="CCEEFF"/>
          </w:tcPr>
          <w:p>
            <w:pPr>
              <w:spacing w:after="0"/>
              <w:rPr>
                <w:sz w:val="9"/>
                <w:szCs w:val="9"/>
                <w:color w:val="auto"/>
              </w:rPr>
            </w:pPr>
          </w:p>
        </w:tc>
        <w:tc>
          <w:tcPr>
            <w:tcW w:w="480" w:type="dxa"/>
            <w:vAlign w:val="bottom"/>
            <w:gridSpan w:val="2"/>
            <w:shd w:val="clear" w:color="auto" w:fill="CCEEFF"/>
          </w:tcPr>
          <w:p>
            <w:pPr>
              <w:jc w:val="right"/>
              <w:ind w:right="120"/>
              <w:spacing w:after="0" w:line="105" w:lineRule="exact"/>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20" w:type="dxa"/>
            <w:vAlign w:val="bottom"/>
            <w:gridSpan w:val="2"/>
            <w:shd w:val="clear" w:color="auto" w:fill="CCEEFF"/>
          </w:tcPr>
          <w:p>
            <w:pPr>
              <w:jc w:val="right"/>
              <w:ind w:right="120"/>
              <w:spacing w:after="0" w:line="105" w:lineRule="exact"/>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9"/>
                <w:szCs w:val="9"/>
                <w:color w:val="auto"/>
              </w:rPr>
            </w:pPr>
          </w:p>
        </w:tc>
        <w:tc>
          <w:tcPr>
            <w:tcW w:w="480" w:type="dxa"/>
            <w:vAlign w:val="bottom"/>
            <w:gridSpan w:val="2"/>
            <w:shd w:val="clear" w:color="auto" w:fill="CCEEFF"/>
          </w:tcPr>
          <w:p>
            <w:pPr>
              <w:jc w:val="right"/>
              <w:ind w:right="120"/>
              <w:spacing w:after="0" w:line="105" w:lineRule="exact"/>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100" w:type="dxa"/>
            <w:vAlign w:val="bottom"/>
            <w:shd w:val="clear" w:color="auto" w:fill="CCEEFF"/>
          </w:tcPr>
          <w:p>
            <w:pPr>
              <w:spacing w:after="0" w:line="105" w:lineRule="exact"/>
              <w:rPr>
                <w:sz w:val="20"/>
                <w:szCs w:val="20"/>
                <w:color w:val="auto"/>
              </w:rPr>
            </w:pPr>
            <w:r>
              <w:rPr>
                <w:rFonts w:ascii="Arial" w:cs="Arial" w:eastAsia="Arial" w:hAnsi="Arial"/>
                <w:sz w:val="10"/>
                <w:szCs w:val="10"/>
                <w:color w:val="auto"/>
                <w:w w:val="79"/>
              </w:rPr>
              <w:t>—</w:t>
            </w:r>
          </w:p>
        </w:tc>
        <w:tc>
          <w:tcPr>
            <w:tcW w:w="1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60" w:type="dxa"/>
            <w:vAlign w:val="bottom"/>
            <w:shd w:val="clear" w:color="auto" w:fill="CCEEFF"/>
          </w:tcPr>
          <w:p>
            <w:pPr>
              <w:jc w:val="right"/>
              <w:spacing w:after="0" w:line="105" w:lineRule="exact"/>
              <w:rPr>
                <w:sz w:val="20"/>
                <w:szCs w:val="20"/>
                <w:color w:val="auto"/>
              </w:rPr>
            </w:pPr>
            <w:r>
              <w:rPr>
                <w:rFonts w:ascii="Arial" w:cs="Arial" w:eastAsia="Arial" w:hAnsi="Arial"/>
                <w:sz w:val="10"/>
                <w:szCs w:val="10"/>
                <w:color w:val="auto"/>
              </w:rPr>
              <w:t>0.5</w:t>
            </w:r>
          </w:p>
        </w:tc>
        <w:tc>
          <w:tcPr>
            <w:tcW w:w="1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80" w:type="dxa"/>
            <w:vAlign w:val="bottom"/>
            <w:shd w:val="clear" w:color="auto" w:fill="CCEEFF"/>
          </w:tcPr>
          <w:p>
            <w:pPr>
              <w:ind w:left="580"/>
              <w:spacing w:after="0" w:line="105" w:lineRule="exact"/>
              <w:rPr>
                <w:sz w:val="20"/>
                <w:szCs w:val="20"/>
                <w:color w:val="auto"/>
              </w:rPr>
            </w:pPr>
            <w:r>
              <w:rPr>
                <w:rFonts w:ascii="Arial" w:cs="Arial" w:eastAsia="Arial" w:hAnsi="Arial"/>
                <w:sz w:val="10"/>
                <w:szCs w:val="10"/>
                <w:color w:val="auto"/>
                <w:w w:val="79"/>
              </w:rPr>
              <w:t>—</w:t>
            </w:r>
          </w:p>
        </w:tc>
        <w:tc>
          <w:tcPr>
            <w:tcW w:w="1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00" w:type="dxa"/>
            <w:vAlign w:val="bottom"/>
            <w:gridSpan w:val="2"/>
            <w:shd w:val="clear" w:color="auto" w:fill="CCEEFF"/>
          </w:tcPr>
          <w:p>
            <w:pPr>
              <w:jc w:val="right"/>
              <w:ind w:right="80"/>
              <w:spacing w:after="0" w:line="105" w:lineRule="exact"/>
              <w:rPr>
                <w:sz w:val="20"/>
                <w:szCs w:val="20"/>
                <w:color w:val="auto"/>
              </w:rPr>
            </w:pPr>
            <w:r>
              <w:rPr>
                <w:rFonts w:ascii="Arial" w:cs="Arial" w:eastAsia="Arial" w:hAnsi="Arial"/>
                <w:sz w:val="10"/>
                <w:szCs w:val="10"/>
                <w:color w:val="auto"/>
              </w:rPr>
              <w:t>(0.5)</w:t>
            </w:r>
          </w:p>
        </w:tc>
        <w:tc>
          <w:tcPr>
            <w:tcW w:w="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80" w:type="dxa"/>
            <w:vAlign w:val="bottom"/>
            <w:gridSpan w:val="2"/>
            <w:shd w:val="clear" w:color="auto" w:fill="CCEEFF"/>
          </w:tcPr>
          <w:p>
            <w:pPr>
              <w:jc w:val="right"/>
              <w:ind w:right="80"/>
              <w:spacing w:after="0" w:line="105" w:lineRule="exact"/>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08"/>
        </w:trPr>
        <w:tc>
          <w:tcPr>
            <w:tcW w:w="1500" w:type="dxa"/>
            <w:vAlign w:val="bottom"/>
          </w:tcPr>
          <w:p>
            <w:pPr>
              <w:ind w:left="200"/>
              <w:spacing w:after="0" w:line="108" w:lineRule="exact"/>
              <w:rPr>
                <w:sz w:val="20"/>
                <w:szCs w:val="20"/>
                <w:color w:val="auto"/>
              </w:rPr>
            </w:pPr>
            <w:r>
              <w:rPr>
                <w:rFonts w:ascii="Arial" w:cs="Arial" w:eastAsia="Arial" w:hAnsi="Arial"/>
                <w:sz w:val="10"/>
                <w:szCs w:val="10"/>
                <w:color w:val="auto"/>
              </w:rPr>
              <w:t>Net loss</w:t>
            </w:r>
          </w:p>
        </w:tc>
        <w:tc>
          <w:tcPr>
            <w:tcW w:w="100" w:type="dxa"/>
            <w:vAlign w:val="bottom"/>
          </w:tcPr>
          <w:p>
            <w:pPr>
              <w:spacing w:after="0"/>
              <w:rPr>
                <w:sz w:val="9"/>
                <w:szCs w:val="9"/>
                <w:color w:val="auto"/>
              </w:rPr>
            </w:pPr>
          </w:p>
        </w:tc>
        <w:tc>
          <w:tcPr>
            <w:tcW w:w="480" w:type="dxa"/>
            <w:vAlign w:val="bottom"/>
            <w:gridSpan w:val="2"/>
          </w:tcPr>
          <w:p>
            <w:pPr>
              <w:jc w:val="right"/>
              <w:ind w:right="120"/>
              <w:spacing w:after="0" w:line="108" w:lineRule="exact"/>
              <w:rPr>
                <w:sz w:val="20"/>
                <w:szCs w:val="20"/>
                <w:color w:val="auto"/>
              </w:rPr>
            </w:pPr>
            <w:r>
              <w:rPr>
                <w:rFonts w:ascii="Arial" w:cs="Arial" w:eastAsia="Arial" w:hAnsi="Arial"/>
                <w:sz w:val="10"/>
                <w:szCs w:val="10"/>
                <w:color w:val="auto"/>
              </w:rPr>
              <w:t>—</w:t>
            </w: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gridSpan w:val="2"/>
          </w:tcPr>
          <w:p>
            <w:pPr>
              <w:jc w:val="right"/>
              <w:ind w:right="120"/>
              <w:spacing w:after="0" w:line="108" w:lineRule="exact"/>
              <w:rPr>
                <w:sz w:val="20"/>
                <w:szCs w:val="20"/>
                <w:color w:val="auto"/>
              </w:rPr>
            </w:pPr>
            <w:r>
              <w:rPr>
                <w:rFonts w:ascii="Arial" w:cs="Arial" w:eastAsia="Arial" w:hAnsi="Arial"/>
                <w:sz w:val="10"/>
                <w:szCs w:val="10"/>
                <w:color w:val="auto"/>
              </w:rPr>
              <w:t>—</w:t>
            </w:r>
          </w:p>
        </w:tc>
        <w:tc>
          <w:tcPr>
            <w:tcW w:w="100" w:type="dxa"/>
            <w:vAlign w:val="bottom"/>
          </w:tcPr>
          <w:p>
            <w:pPr>
              <w:spacing w:after="0"/>
              <w:rPr>
                <w:sz w:val="9"/>
                <w:szCs w:val="9"/>
                <w:color w:val="auto"/>
              </w:rPr>
            </w:pPr>
          </w:p>
        </w:tc>
        <w:tc>
          <w:tcPr>
            <w:tcW w:w="480" w:type="dxa"/>
            <w:vAlign w:val="bottom"/>
            <w:gridSpan w:val="2"/>
          </w:tcPr>
          <w:p>
            <w:pPr>
              <w:jc w:val="right"/>
              <w:ind w:right="120"/>
              <w:spacing w:after="0" w:line="108" w:lineRule="exact"/>
              <w:rPr>
                <w:sz w:val="20"/>
                <w:szCs w:val="20"/>
                <w:color w:val="auto"/>
              </w:rPr>
            </w:pPr>
            <w:r>
              <w:rPr>
                <w:rFonts w:ascii="Arial" w:cs="Arial" w:eastAsia="Arial" w:hAnsi="Arial"/>
                <w:sz w:val="10"/>
                <w:szCs w:val="10"/>
                <w:color w:val="auto"/>
              </w:rPr>
              <w:t>—</w:t>
            </w: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Pr>
          <w:p>
            <w:pPr>
              <w:spacing w:after="0" w:line="108" w:lineRule="exact"/>
              <w:rPr>
                <w:sz w:val="20"/>
                <w:szCs w:val="20"/>
                <w:color w:val="auto"/>
              </w:rPr>
            </w:pPr>
            <w:r>
              <w:rPr>
                <w:rFonts w:ascii="Arial" w:cs="Arial" w:eastAsia="Arial" w:hAnsi="Arial"/>
                <w:sz w:val="10"/>
                <w:szCs w:val="10"/>
                <w:color w:val="auto"/>
                <w:w w:val="79"/>
              </w:rPr>
              <w:t>—</w:t>
            </w: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jc w:val="right"/>
              <w:spacing w:after="0" w:line="108" w:lineRule="exact"/>
              <w:rPr>
                <w:sz w:val="20"/>
                <w:szCs w:val="20"/>
                <w:color w:val="auto"/>
              </w:rPr>
            </w:pPr>
            <w:r>
              <w:rPr>
                <w:rFonts w:ascii="Arial" w:cs="Arial" w:eastAsia="Arial" w:hAnsi="Arial"/>
                <w:sz w:val="10"/>
                <w:szCs w:val="10"/>
                <w:color w:val="auto"/>
              </w:rPr>
              <w:t>—</w:t>
            </w: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80" w:type="dxa"/>
            <w:vAlign w:val="bottom"/>
          </w:tcPr>
          <w:p>
            <w:pPr>
              <w:ind w:left="580"/>
              <w:spacing w:after="0" w:line="108" w:lineRule="exact"/>
              <w:rPr>
                <w:sz w:val="20"/>
                <w:szCs w:val="20"/>
                <w:color w:val="auto"/>
              </w:rPr>
            </w:pPr>
            <w:r>
              <w:rPr>
                <w:rFonts w:ascii="Arial" w:cs="Arial" w:eastAsia="Arial" w:hAnsi="Arial"/>
                <w:sz w:val="10"/>
                <w:szCs w:val="10"/>
                <w:color w:val="auto"/>
                <w:w w:val="79"/>
              </w:rPr>
              <w:t>—</w:t>
            </w: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gridSpan w:val="2"/>
          </w:tcPr>
          <w:p>
            <w:pPr>
              <w:jc w:val="right"/>
              <w:ind w:right="80"/>
              <w:spacing w:after="0" w:line="108" w:lineRule="exact"/>
              <w:rPr>
                <w:sz w:val="20"/>
                <w:szCs w:val="20"/>
                <w:color w:val="auto"/>
              </w:rPr>
            </w:pPr>
            <w:r>
              <w:rPr>
                <w:rFonts w:ascii="Arial" w:cs="Arial" w:eastAsia="Arial" w:hAnsi="Arial"/>
                <w:sz w:val="10"/>
                <w:szCs w:val="10"/>
                <w:color w:val="auto"/>
              </w:rPr>
              <w:t>(47.9)</w:t>
            </w: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gridSpan w:val="2"/>
          </w:tcPr>
          <w:p>
            <w:pPr>
              <w:jc w:val="right"/>
              <w:ind w:right="40"/>
              <w:spacing w:after="0" w:line="108" w:lineRule="exact"/>
              <w:rPr>
                <w:sz w:val="20"/>
                <w:szCs w:val="20"/>
                <w:color w:val="auto"/>
              </w:rPr>
            </w:pPr>
            <w:r>
              <w:rPr>
                <w:rFonts w:ascii="Arial" w:cs="Arial" w:eastAsia="Arial" w:hAnsi="Arial"/>
                <w:sz w:val="10"/>
                <w:szCs w:val="10"/>
                <w:color w:val="auto"/>
              </w:rPr>
              <w:t>(47.9)</w:t>
            </w:r>
          </w:p>
        </w:tc>
        <w:tc>
          <w:tcPr>
            <w:tcW w:w="0" w:type="dxa"/>
            <w:vAlign w:val="bottom"/>
          </w:tcPr>
          <w:p>
            <w:pPr>
              <w:spacing w:after="0"/>
              <w:rPr>
                <w:sz w:val="1"/>
                <w:szCs w:val="1"/>
                <w:color w:val="auto"/>
              </w:rPr>
            </w:pPr>
          </w:p>
        </w:tc>
      </w:tr>
      <w:tr>
        <w:trPr>
          <w:trHeight w:val="20"/>
        </w:trPr>
        <w:tc>
          <w:tcPr>
            <w:tcW w:w="1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6"/>
        </w:trPr>
        <w:tc>
          <w:tcPr>
            <w:tcW w:w="1500" w:type="dxa"/>
            <w:vAlign w:val="bottom"/>
            <w:shd w:val="clear" w:color="auto" w:fill="CCEEFF"/>
          </w:tcPr>
          <w:p>
            <w:pPr>
              <w:spacing w:after="0" w:line="106" w:lineRule="exact"/>
              <w:rPr>
                <w:sz w:val="20"/>
                <w:szCs w:val="20"/>
                <w:color w:val="auto"/>
              </w:rPr>
            </w:pPr>
            <w:r>
              <w:rPr>
                <w:rFonts w:ascii="Arial" w:cs="Arial" w:eastAsia="Arial" w:hAnsi="Arial"/>
                <w:sz w:val="10"/>
                <w:szCs w:val="10"/>
                <w:color w:val="auto"/>
              </w:rPr>
              <w:t>Balance — June 30, 2018</w:t>
            </w:r>
          </w:p>
        </w:tc>
        <w:tc>
          <w:tcPr>
            <w:tcW w:w="100" w:type="dxa"/>
            <w:vAlign w:val="bottom"/>
            <w:shd w:val="clear" w:color="auto" w:fill="CCEEFF"/>
          </w:tcPr>
          <w:p>
            <w:pPr>
              <w:spacing w:after="0"/>
              <w:rPr>
                <w:sz w:val="9"/>
                <w:szCs w:val="9"/>
                <w:color w:val="auto"/>
              </w:rPr>
            </w:pPr>
          </w:p>
        </w:tc>
        <w:tc>
          <w:tcPr>
            <w:tcW w:w="360" w:type="dxa"/>
            <w:vAlign w:val="bottom"/>
            <w:shd w:val="clear" w:color="auto" w:fill="CCEEFF"/>
          </w:tcPr>
          <w:p>
            <w:pPr>
              <w:jc w:val="right"/>
              <w:spacing w:after="0" w:line="106" w:lineRule="exact"/>
              <w:rPr>
                <w:sz w:val="20"/>
                <w:szCs w:val="20"/>
                <w:color w:val="auto"/>
              </w:rPr>
            </w:pPr>
            <w:r>
              <w:rPr>
                <w:rFonts w:ascii="Arial" w:cs="Arial" w:eastAsia="Arial" w:hAnsi="Arial"/>
                <w:sz w:val="10"/>
                <w:szCs w:val="10"/>
                <w:color w:val="auto"/>
              </w:rPr>
              <w:t>176.3</w:t>
            </w:r>
          </w:p>
        </w:tc>
        <w:tc>
          <w:tcPr>
            <w:tcW w:w="120" w:type="dxa"/>
            <w:vAlign w:val="bottom"/>
            <w:shd w:val="clear" w:color="auto" w:fill="CCEEFF"/>
          </w:tcPr>
          <w:p>
            <w:pPr>
              <w:spacing w:after="0"/>
              <w:rPr>
                <w:sz w:val="9"/>
                <w:szCs w:val="9"/>
                <w:color w:val="auto"/>
              </w:rPr>
            </w:pPr>
          </w:p>
        </w:tc>
        <w:tc>
          <w:tcPr>
            <w:tcW w:w="200" w:type="dxa"/>
            <w:vAlign w:val="bottom"/>
            <w:gridSpan w:val="2"/>
            <w:shd w:val="clear" w:color="auto" w:fill="CCEEFF"/>
          </w:tcPr>
          <w:p>
            <w:pPr>
              <w:ind w:left="80"/>
              <w:spacing w:after="0" w:line="106" w:lineRule="exact"/>
              <w:rPr>
                <w:sz w:val="20"/>
                <w:szCs w:val="20"/>
                <w:color w:val="auto"/>
              </w:rPr>
            </w:pPr>
            <w:r>
              <w:rPr>
                <w:rFonts w:ascii="Arial" w:cs="Arial" w:eastAsia="Arial" w:hAnsi="Arial"/>
                <w:sz w:val="10"/>
                <w:szCs w:val="10"/>
                <w:color w:val="auto"/>
              </w:rPr>
              <w:t>$</w:t>
            </w:r>
          </w:p>
        </w:tc>
        <w:tc>
          <w:tcPr>
            <w:tcW w:w="300" w:type="dxa"/>
            <w:vAlign w:val="bottom"/>
            <w:shd w:val="clear" w:color="auto" w:fill="CCEEFF"/>
          </w:tcPr>
          <w:p>
            <w:pPr>
              <w:jc w:val="right"/>
              <w:spacing w:after="0" w:line="106" w:lineRule="exact"/>
              <w:rPr>
                <w:sz w:val="20"/>
                <w:szCs w:val="20"/>
                <w:color w:val="auto"/>
              </w:rPr>
            </w:pPr>
            <w:r>
              <w:rPr>
                <w:rFonts w:ascii="Arial" w:cs="Arial" w:eastAsia="Arial" w:hAnsi="Arial"/>
                <w:sz w:val="10"/>
                <w:szCs w:val="10"/>
                <w:color w:val="auto"/>
              </w:rPr>
              <w:t>406.3</w:t>
            </w:r>
          </w:p>
        </w:tc>
        <w:tc>
          <w:tcPr>
            <w:tcW w:w="120" w:type="dxa"/>
            <w:vAlign w:val="bottom"/>
            <w:shd w:val="clear" w:color="auto" w:fill="CCEEFF"/>
          </w:tcPr>
          <w:p>
            <w:pPr>
              <w:spacing w:after="0"/>
              <w:rPr>
                <w:sz w:val="9"/>
                <w:szCs w:val="9"/>
                <w:color w:val="auto"/>
              </w:rPr>
            </w:pPr>
          </w:p>
        </w:tc>
        <w:tc>
          <w:tcPr>
            <w:tcW w:w="460" w:type="dxa"/>
            <w:vAlign w:val="bottom"/>
            <w:gridSpan w:val="2"/>
            <w:shd w:val="clear" w:color="auto" w:fill="CCEEFF"/>
          </w:tcPr>
          <w:p>
            <w:pPr>
              <w:jc w:val="right"/>
              <w:spacing w:after="0" w:line="106" w:lineRule="exact"/>
              <w:rPr>
                <w:sz w:val="20"/>
                <w:szCs w:val="20"/>
                <w:color w:val="auto"/>
              </w:rPr>
            </w:pPr>
            <w:r>
              <w:rPr>
                <w:rFonts w:ascii="Arial" w:cs="Arial" w:eastAsia="Arial" w:hAnsi="Arial"/>
                <w:sz w:val="10"/>
                <w:szCs w:val="10"/>
                <w:color w:val="auto"/>
              </w:rPr>
              <w:t>25.9</w:t>
            </w:r>
          </w:p>
        </w:tc>
        <w:tc>
          <w:tcPr>
            <w:tcW w:w="120" w:type="dxa"/>
            <w:vAlign w:val="bottom"/>
            <w:shd w:val="clear" w:color="auto" w:fill="CCEEFF"/>
          </w:tcPr>
          <w:p>
            <w:pPr>
              <w:spacing w:after="0"/>
              <w:rPr>
                <w:sz w:val="9"/>
                <w:szCs w:val="9"/>
                <w:color w:val="auto"/>
              </w:rPr>
            </w:pPr>
          </w:p>
        </w:tc>
        <w:tc>
          <w:tcPr>
            <w:tcW w:w="400" w:type="dxa"/>
            <w:vAlign w:val="bottom"/>
            <w:gridSpan w:val="2"/>
            <w:shd w:val="clear" w:color="auto" w:fill="CCEEFF"/>
          </w:tcPr>
          <w:p>
            <w:pPr>
              <w:ind w:left="80"/>
              <w:spacing w:after="0" w:line="106" w:lineRule="exact"/>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line="106" w:lineRule="exact"/>
              <w:rPr>
                <w:sz w:val="20"/>
                <w:szCs w:val="20"/>
                <w:color w:val="auto"/>
              </w:rPr>
            </w:pPr>
            <w:r>
              <w:rPr>
                <w:rFonts w:ascii="Arial" w:cs="Arial" w:eastAsia="Arial" w:hAnsi="Arial"/>
                <w:sz w:val="10"/>
                <w:szCs w:val="10"/>
                <w:color w:val="auto"/>
                <w:w w:val="79"/>
              </w:rPr>
              <w:t>—</w:t>
            </w:r>
          </w:p>
        </w:tc>
        <w:tc>
          <w:tcPr>
            <w:tcW w:w="260" w:type="dxa"/>
            <w:vAlign w:val="bottom"/>
            <w:gridSpan w:val="2"/>
            <w:shd w:val="clear" w:color="auto" w:fill="CCEEFF"/>
          </w:tcPr>
          <w:p>
            <w:pPr>
              <w:ind w:left="180"/>
              <w:spacing w:after="0" w:line="106" w:lineRule="exact"/>
              <w:rPr>
                <w:sz w:val="20"/>
                <w:szCs w:val="20"/>
                <w:color w:val="auto"/>
              </w:rPr>
            </w:pPr>
            <w:r>
              <w:rPr>
                <w:rFonts w:ascii="Arial" w:cs="Arial" w:eastAsia="Arial" w:hAnsi="Arial"/>
                <w:sz w:val="10"/>
                <w:szCs w:val="10"/>
                <w:color w:val="auto"/>
              </w:rPr>
              <w:t>$</w:t>
            </w:r>
          </w:p>
        </w:tc>
        <w:tc>
          <w:tcPr>
            <w:tcW w:w="460" w:type="dxa"/>
            <w:vAlign w:val="bottom"/>
            <w:shd w:val="clear" w:color="auto" w:fill="CCEEFF"/>
          </w:tcPr>
          <w:p>
            <w:pPr>
              <w:jc w:val="right"/>
              <w:spacing w:after="0" w:line="106" w:lineRule="exact"/>
              <w:rPr>
                <w:sz w:val="20"/>
                <w:szCs w:val="20"/>
                <w:color w:val="auto"/>
              </w:rPr>
            </w:pPr>
            <w:r>
              <w:rPr>
                <w:rFonts w:ascii="Arial" w:cs="Arial" w:eastAsia="Arial" w:hAnsi="Arial"/>
                <w:sz w:val="10"/>
                <w:szCs w:val="10"/>
                <w:color w:val="auto"/>
              </w:rPr>
              <w:t>20.5</w:t>
            </w:r>
          </w:p>
        </w:tc>
        <w:tc>
          <w:tcPr>
            <w:tcW w:w="320" w:type="dxa"/>
            <w:vAlign w:val="bottom"/>
            <w:gridSpan w:val="2"/>
            <w:shd w:val="clear" w:color="auto" w:fill="CCEEFF"/>
          </w:tcPr>
          <w:p>
            <w:pPr>
              <w:ind w:left="180"/>
              <w:spacing w:after="0" w:line="106" w:lineRule="exact"/>
              <w:rPr>
                <w:sz w:val="20"/>
                <w:szCs w:val="20"/>
                <w:color w:val="auto"/>
              </w:rPr>
            </w:pPr>
            <w:r>
              <w:rPr>
                <w:rFonts w:ascii="Arial" w:cs="Arial" w:eastAsia="Arial" w:hAnsi="Arial"/>
                <w:sz w:val="10"/>
                <w:szCs w:val="10"/>
                <w:color w:val="auto"/>
              </w:rPr>
              <w:t>$</w:t>
            </w:r>
          </w:p>
        </w:tc>
        <w:tc>
          <w:tcPr>
            <w:tcW w:w="680" w:type="dxa"/>
            <w:vAlign w:val="bottom"/>
            <w:shd w:val="clear" w:color="auto" w:fill="CCEEFF"/>
          </w:tcPr>
          <w:p>
            <w:pPr>
              <w:ind w:left="580"/>
              <w:spacing w:after="0" w:line="106" w:lineRule="exact"/>
              <w:rPr>
                <w:sz w:val="20"/>
                <w:szCs w:val="20"/>
                <w:color w:val="auto"/>
              </w:rPr>
            </w:pPr>
            <w:r>
              <w:rPr>
                <w:rFonts w:ascii="Arial" w:cs="Arial" w:eastAsia="Arial" w:hAnsi="Arial"/>
                <w:sz w:val="10"/>
                <w:szCs w:val="10"/>
                <w:color w:val="auto"/>
                <w:w w:val="79"/>
              </w:rPr>
              <w:t>—</w:t>
            </w:r>
          </w:p>
        </w:tc>
        <w:tc>
          <w:tcPr>
            <w:tcW w:w="280" w:type="dxa"/>
            <w:vAlign w:val="bottom"/>
            <w:gridSpan w:val="2"/>
            <w:shd w:val="clear" w:color="auto" w:fill="CCEEFF"/>
          </w:tcPr>
          <w:p>
            <w:pPr>
              <w:ind w:left="180"/>
              <w:spacing w:after="0" w:line="106" w:lineRule="exact"/>
              <w:rPr>
                <w:sz w:val="20"/>
                <w:szCs w:val="20"/>
                <w:color w:val="auto"/>
              </w:rPr>
            </w:pPr>
            <w:r>
              <w:rPr>
                <w:rFonts w:ascii="Arial" w:cs="Arial" w:eastAsia="Arial" w:hAnsi="Arial"/>
                <w:sz w:val="10"/>
                <w:szCs w:val="10"/>
                <w:color w:val="auto"/>
              </w:rPr>
              <w:t>$</w:t>
            </w:r>
          </w:p>
        </w:tc>
        <w:tc>
          <w:tcPr>
            <w:tcW w:w="700" w:type="dxa"/>
            <w:vAlign w:val="bottom"/>
            <w:gridSpan w:val="2"/>
            <w:shd w:val="clear" w:color="auto" w:fill="CCEEFF"/>
          </w:tcPr>
          <w:p>
            <w:pPr>
              <w:jc w:val="right"/>
              <w:ind w:right="80"/>
              <w:spacing w:after="0" w:line="106" w:lineRule="exact"/>
              <w:rPr>
                <w:sz w:val="20"/>
                <w:szCs w:val="20"/>
                <w:color w:val="auto"/>
              </w:rPr>
            </w:pPr>
            <w:r>
              <w:rPr>
                <w:rFonts w:ascii="Arial" w:cs="Arial" w:eastAsia="Arial" w:hAnsi="Arial"/>
                <w:sz w:val="10"/>
                <w:szCs w:val="10"/>
                <w:color w:val="auto"/>
              </w:rPr>
              <w:t>(336.1)</w:t>
            </w:r>
          </w:p>
        </w:tc>
        <w:tc>
          <w:tcPr>
            <w:tcW w:w="200" w:type="dxa"/>
            <w:vAlign w:val="bottom"/>
            <w:gridSpan w:val="2"/>
            <w:shd w:val="clear" w:color="auto" w:fill="CCEEFF"/>
          </w:tcPr>
          <w:p>
            <w:pPr>
              <w:ind w:left="80"/>
              <w:spacing w:after="0" w:line="106" w:lineRule="exact"/>
              <w:rPr>
                <w:sz w:val="20"/>
                <w:szCs w:val="20"/>
                <w:color w:val="auto"/>
              </w:rPr>
            </w:pPr>
            <w:r>
              <w:rPr>
                <w:rFonts w:ascii="Arial" w:cs="Arial" w:eastAsia="Arial" w:hAnsi="Arial"/>
                <w:sz w:val="10"/>
                <w:szCs w:val="10"/>
                <w:color w:val="auto"/>
              </w:rPr>
              <w:t>$</w:t>
            </w:r>
          </w:p>
        </w:tc>
        <w:tc>
          <w:tcPr>
            <w:tcW w:w="680" w:type="dxa"/>
            <w:vAlign w:val="bottom"/>
            <w:gridSpan w:val="2"/>
            <w:shd w:val="clear" w:color="auto" w:fill="CCEEFF"/>
          </w:tcPr>
          <w:p>
            <w:pPr>
              <w:jc w:val="right"/>
              <w:ind w:right="40"/>
              <w:spacing w:after="0" w:line="106" w:lineRule="exact"/>
              <w:rPr>
                <w:sz w:val="20"/>
                <w:szCs w:val="20"/>
                <w:color w:val="auto"/>
              </w:rPr>
            </w:pPr>
            <w:r>
              <w:rPr>
                <w:rFonts w:ascii="Arial" w:cs="Arial" w:eastAsia="Arial" w:hAnsi="Arial"/>
                <w:sz w:val="10"/>
                <w:szCs w:val="10"/>
                <w:color w:val="auto"/>
              </w:rPr>
              <w:t>(315.6)</w:t>
            </w:r>
          </w:p>
        </w:tc>
        <w:tc>
          <w:tcPr>
            <w:tcW w:w="0" w:type="dxa"/>
            <w:vAlign w:val="bottom"/>
          </w:tcPr>
          <w:p>
            <w:pPr>
              <w:spacing w:after="0"/>
              <w:rPr>
                <w:sz w:val="1"/>
                <w:szCs w:val="1"/>
                <w:color w:val="auto"/>
              </w:rPr>
            </w:pPr>
          </w:p>
        </w:tc>
      </w:tr>
      <w:tr>
        <w:trPr>
          <w:trHeight w:val="27"/>
        </w:trPr>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09" w:lineRule="exact"/>
        <w:rPr>
          <w:sz w:val="20"/>
          <w:szCs w:val="20"/>
          <w:color w:val="auto"/>
        </w:rPr>
      </w:pPr>
    </w:p>
    <w:p>
      <w:pPr>
        <w:ind w:left="5660"/>
        <w:spacing w:after="0"/>
        <w:rPr>
          <w:sz w:val="20"/>
          <w:szCs w:val="20"/>
          <w:color w:val="auto"/>
        </w:rPr>
      </w:pPr>
      <w:r>
        <w:rPr>
          <w:rFonts w:ascii="Arial" w:cs="Arial" w:eastAsia="Arial" w:hAnsi="Arial"/>
          <w:sz w:val="11"/>
          <w:szCs w:val="11"/>
          <w:color w:val="auto"/>
        </w:rPr>
        <w:t>F-6</w:t>
      </w:r>
    </w:p>
    <w:p>
      <w:pPr>
        <w:sectPr>
          <w:pgSz w:w="11900" w:h="16838" w:orient="portrait"/>
          <w:cols w:equalWidth="0" w:num="1">
            <w:col w:w="10239"/>
          </w:cols>
          <w:pgMar w:left="220" w:top="354" w:right="1440" w:bottom="1440" w:gutter="0" w:footer="0" w:header="0"/>
        </w:sectPr>
      </w:pPr>
    </w:p>
    <w:bookmarkStart w:id="170" w:name="page171"/>
    <w:bookmarkEnd w:id="170"/>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hyperlink w:anchor="page5">
        <w:r>
          <w:rPr>
            <w:rFonts w:ascii="Arial" w:cs="Arial" w:eastAsia="Arial" w:hAnsi="Arial"/>
            <w:sz w:val="12"/>
            <w:szCs w:val="12"/>
            <w:b w:val="1"/>
            <w:bCs w:val="1"/>
            <w:u w:val="single" w:color="auto"/>
            <w:color w:val="0000EE"/>
          </w:rPr>
          <w:t>Table of Contents</w:t>
        </w:r>
      </w:hyperlink>
    </w:p>
    <w:p>
      <w:pPr>
        <w:spacing w:after="0" w:line="204" w:lineRule="exact"/>
        <w:rPr>
          <w:sz w:val="20"/>
          <w:szCs w:val="20"/>
          <w:color w:val="auto"/>
        </w:rPr>
      </w:pPr>
    </w:p>
    <w:tbl>
      <w:tblPr>
        <w:tblLayout w:type="fixed"/>
        <w:tblInd w:w="2060" w:type="dxa"/>
        <w:tblCellMar>
          <w:top w:w="0" w:type="dxa"/>
          <w:left w:w="0" w:type="dxa"/>
          <w:bottom w:w="0" w:type="dxa"/>
          <w:right w:w="0" w:type="dxa"/>
        </w:tblCellMar>
      </w:tblPr>
      <w:tr>
        <w:trPr>
          <w:trHeight w:val="126"/>
        </w:trPr>
        <w:tc>
          <w:tcPr>
            <w:tcW w:w="1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00" w:type="dxa"/>
            <w:vAlign w:val="bottom"/>
            <w:gridSpan w:val="6"/>
          </w:tcPr>
          <w:p>
            <w:pPr>
              <w:jc w:val="center"/>
              <w:ind w:right="120"/>
              <w:spacing w:after="0"/>
              <w:rPr>
                <w:sz w:val="20"/>
                <w:szCs w:val="20"/>
                <w:color w:val="auto"/>
              </w:rPr>
            </w:pPr>
            <w:r>
              <w:rPr>
                <w:rFonts w:ascii="Arial" w:cs="Arial" w:eastAsia="Arial" w:hAnsi="Arial"/>
                <w:sz w:val="11"/>
                <w:szCs w:val="11"/>
                <w:b w:val="1"/>
                <w:bCs w:val="1"/>
                <w:color w:val="auto"/>
                <w:w w:val="95"/>
              </w:rPr>
              <w:t>Redeemable</w:t>
            </w: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 w:type="dxa"/>
            <w:vAlign w:val="bottom"/>
          </w:tcPr>
          <w:p>
            <w:pPr>
              <w:spacing w:after="0"/>
              <w:rPr>
                <w:sz w:val="10"/>
                <w:szCs w:val="10"/>
                <w:color w:val="auto"/>
              </w:rPr>
            </w:pPr>
          </w:p>
        </w:tc>
      </w:tr>
      <w:tr>
        <w:trPr>
          <w:trHeight w:val="126"/>
        </w:trPr>
        <w:tc>
          <w:tcPr>
            <w:tcW w:w="1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00" w:type="dxa"/>
            <w:vAlign w:val="bottom"/>
            <w:gridSpan w:val="6"/>
          </w:tcPr>
          <w:p>
            <w:pPr>
              <w:jc w:val="center"/>
              <w:ind w:right="120"/>
              <w:spacing w:after="0"/>
              <w:rPr>
                <w:sz w:val="20"/>
                <w:szCs w:val="20"/>
                <w:color w:val="auto"/>
              </w:rPr>
            </w:pPr>
            <w:r>
              <w:rPr>
                <w:rFonts w:ascii="Arial" w:cs="Arial" w:eastAsia="Arial" w:hAnsi="Arial"/>
                <w:sz w:val="11"/>
                <w:szCs w:val="11"/>
                <w:b w:val="1"/>
                <w:bCs w:val="1"/>
                <w:color w:val="auto"/>
                <w:w w:val="95"/>
              </w:rPr>
              <w:t>Convertible</w:t>
            </w: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gridSpan w:val="3"/>
          </w:tcPr>
          <w:p>
            <w:pPr>
              <w:ind w:left="180"/>
              <w:spacing w:after="0"/>
              <w:rPr>
                <w:sz w:val="20"/>
                <w:szCs w:val="20"/>
                <w:color w:val="auto"/>
              </w:rPr>
            </w:pPr>
            <w:r>
              <w:rPr>
                <w:rFonts w:ascii="Arial" w:cs="Arial" w:eastAsia="Arial" w:hAnsi="Arial"/>
                <w:sz w:val="11"/>
                <w:szCs w:val="11"/>
                <w:b w:val="1"/>
                <w:bCs w:val="1"/>
                <w:color w:val="auto"/>
                <w:w w:val="96"/>
              </w:rPr>
              <w:t>Additional</w:t>
            </w: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jc w:val="right"/>
              <w:ind w:right="231"/>
              <w:spacing w:after="0"/>
              <w:rPr>
                <w:sz w:val="20"/>
                <w:szCs w:val="20"/>
                <w:color w:val="auto"/>
              </w:rPr>
            </w:pPr>
            <w:r>
              <w:rPr>
                <w:rFonts w:ascii="Arial" w:cs="Arial" w:eastAsia="Arial" w:hAnsi="Arial"/>
                <w:sz w:val="11"/>
                <w:szCs w:val="11"/>
                <w:b w:val="1"/>
                <w:bCs w:val="1"/>
                <w:color w:val="auto"/>
              </w:rPr>
              <w:t>Other</w:t>
            </w: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gridSpan w:val="2"/>
          </w:tcPr>
          <w:p>
            <w:pPr>
              <w:jc w:val="right"/>
              <w:ind w:right="300"/>
              <w:spacing w:after="0"/>
              <w:rPr>
                <w:sz w:val="20"/>
                <w:szCs w:val="20"/>
                <w:color w:val="auto"/>
              </w:rPr>
            </w:pPr>
            <w:r>
              <w:rPr>
                <w:rFonts w:ascii="Arial" w:cs="Arial" w:eastAsia="Arial" w:hAnsi="Arial"/>
                <w:sz w:val="11"/>
                <w:szCs w:val="11"/>
                <w:b w:val="1"/>
                <w:bCs w:val="1"/>
                <w:color w:val="auto"/>
              </w:rPr>
              <w:t>Total</w:t>
            </w:r>
          </w:p>
        </w:tc>
      </w:tr>
      <w:tr>
        <w:trPr>
          <w:trHeight w:val="137"/>
        </w:trPr>
        <w:tc>
          <w:tcPr>
            <w:tcW w:w="1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00" w:type="dxa"/>
            <w:vAlign w:val="bottom"/>
            <w:gridSpan w:val="6"/>
          </w:tcPr>
          <w:p>
            <w:pPr>
              <w:jc w:val="center"/>
              <w:ind w:right="120"/>
              <w:spacing w:after="0"/>
              <w:rPr>
                <w:sz w:val="20"/>
                <w:szCs w:val="20"/>
                <w:color w:val="auto"/>
              </w:rPr>
            </w:pPr>
            <w:r>
              <w:rPr>
                <w:rFonts w:ascii="Arial" w:cs="Arial" w:eastAsia="Arial" w:hAnsi="Arial"/>
                <w:sz w:val="11"/>
                <w:szCs w:val="11"/>
                <w:b w:val="1"/>
                <w:bCs w:val="1"/>
                <w:color w:val="auto"/>
              </w:rPr>
              <w:t>Preferred Stock</w:t>
            </w:r>
          </w:p>
        </w:tc>
        <w:tc>
          <w:tcPr>
            <w:tcW w:w="100" w:type="dxa"/>
            <w:vAlign w:val="bottom"/>
          </w:tcPr>
          <w:p>
            <w:pPr>
              <w:spacing w:after="0"/>
              <w:rPr>
                <w:sz w:val="11"/>
                <w:szCs w:val="11"/>
                <w:color w:val="auto"/>
              </w:rPr>
            </w:pPr>
          </w:p>
        </w:tc>
        <w:tc>
          <w:tcPr>
            <w:tcW w:w="880" w:type="dxa"/>
            <w:vAlign w:val="bottom"/>
            <w:gridSpan w:val="4"/>
          </w:tcPr>
          <w:p>
            <w:pPr>
              <w:jc w:val="right"/>
              <w:spacing w:after="0"/>
              <w:rPr>
                <w:sz w:val="20"/>
                <w:szCs w:val="20"/>
                <w:color w:val="auto"/>
              </w:rPr>
            </w:pPr>
            <w:r>
              <w:rPr>
                <w:rFonts w:ascii="Arial" w:cs="Arial" w:eastAsia="Arial" w:hAnsi="Arial"/>
                <w:sz w:val="11"/>
                <w:szCs w:val="11"/>
                <w:b w:val="1"/>
                <w:bCs w:val="1"/>
                <w:color w:val="auto"/>
              </w:rPr>
              <w:t>Common Stock</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jc w:val="right"/>
              <w:ind w:right="51"/>
              <w:spacing w:after="0"/>
              <w:rPr>
                <w:sz w:val="20"/>
                <w:szCs w:val="20"/>
                <w:color w:val="auto"/>
              </w:rPr>
            </w:pPr>
            <w:r>
              <w:rPr>
                <w:rFonts w:ascii="Arial" w:cs="Arial" w:eastAsia="Arial" w:hAnsi="Arial"/>
                <w:sz w:val="11"/>
                <w:szCs w:val="11"/>
                <w:b w:val="1"/>
                <w:bCs w:val="1"/>
                <w:color w:val="auto"/>
                <w:w w:val="92"/>
              </w:rPr>
              <w:t>Paid-In</w:t>
            </w:r>
          </w:p>
        </w:tc>
        <w:tc>
          <w:tcPr>
            <w:tcW w:w="1000" w:type="dxa"/>
            <w:vAlign w:val="bottom"/>
            <w:gridSpan w:val="3"/>
          </w:tcPr>
          <w:p>
            <w:pPr>
              <w:ind w:left="180"/>
              <w:spacing w:after="0"/>
              <w:rPr>
                <w:sz w:val="20"/>
                <w:szCs w:val="20"/>
                <w:color w:val="auto"/>
              </w:rPr>
            </w:pPr>
            <w:r>
              <w:rPr>
                <w:rFonts w:ascii="Arial" w:cs="Arial" w:eastAsia="Arial" w:hAnsi="Arial"/>
                <w:sz w:val="11"/>
                <w:szCs w:val="11"/>
                <w:b w:val="1"/>
                <w:bCs w:val="1"/>
                <w:color w:val="auto"/>
                <w:w w:val="96"/>
              </w:rPr>
              <w:t>Comprehensive</w:t>
            </w:r>
          </w:p>
        </w:tc>
        <w:tc>
          <w:tcPr>
            <w:tcW w:w="980" w:type="dxa"/>
            <w:vAlign w:val="bottom"/>
            <w:gridSpan w:val="4"/>
          </w:tcPr>
          <w:p>
            <w:pPr>
              <w:ind w:left="180"/>
              <w:spacing w:after="0"/>
              <w:rPr>
                <w:sz w:val="20"/>
                <w:szCs w:val="20"/>
                <w:color w:val="auto"/>
              </w:rPr>
            </w:pPr>
            <w:r>
              <w:rPr>
                <w:rFonts w:ascii="Arial" w:cs="Arial" w:eastAsia="Arial" w:hAnsi="Arial"/>
                <w:sz w:val="11"/>
                <w:szCs w:val="11"/>
                <w:b w:val="1"/>
                <w:bCs w:val="1"/>
                <w:color w:val="auto"/>
              </w:rPr>
              <w:t>Accumulated</w:t>
            </w:r>
          </w:p>
        </w:tc>
        <w:tc>
          <w:tcPr>
            <w:tcW w:w="880" w:type="dxa"/>
            <w:vAlign w:val="bottom"/>
            <w:gridSpan w:val="4"/>
          </w:tcPr>
          <w:p>
            <w:pPr>
              <w:ind w:left="80"/>
              <w:spacing w:after="0"/>
              <w:rPr>
                <w:sz w:val="20"/>
                <w:szCs w:val="20"/>
                <w:color w:val="auto"/>
              </w:rPr>
            </w:pPr>
            <w:r>
              <w:rPr>
                <w:rFonts w:ascii="Arial" w:cs="Arial" w:eastAsia="Arial" w:hAnsi="Arial"/>
                <w:sz w:val="11"/>
                <w:szCs w:val="11"/>
                <w:b w:val="1"/>
                <w:bCs w:val="1"/>
                <w:color w:val="auto"/>
              </w:rPr>
              <w:t>Stockholders’</w:t>
            </w:r>
          </w:p>
        </w:tc>
      </w:tr>
      <w:tr>
        <w:trPr>
          <w:trHeight w:val="115"/>
        </w:trPr>
        <w:tc>
          <w:tcPr>
            <w:tcW w:w="1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Borders>
              <w:top w:val="single" w:sz="8" w:color="auto"/>
            </w:tcBorders>
            <w:gridSpan w:val="2"/>
          </w:tcPr>
          <w:p>
            <w:pPr>
              <w:jc w:val="right"/>
              <w:ind w:right="120"/>
              <w:spacing w:after="0" w:line="115" w:lineRule="exact"/>
              <w:rPr>
                <w:sz w:val="20"/>
                <w:szCs w:val="20"/>
                <w:color w:val="auto"/>
              </w:rPr>
            </w:pPr>
            <w:r>
              <w:rPr>
                <w:rFonts w:ascii="Arial" w:cs="Arial" w:eastAsia="Arial" w:hAnsi="Arial"/>
                <w:sz w:val="11"/>
                <w:szCs w:val="11"/>
                <w:b w:val="1"/>
                <w:bCs w:val="1"/>
                <w:color w:val="auto"/>
                <w:w w:val="92"/>
              </w:rPr>
              <w:t>Shares</w:t>
            </w:r>
          </w:p>
        </w:tc>
        <w:tc>
          <w:tcPr>
            <w:tcW w:w="500" w:type="dxa"/>
            <w:vAlign w:val="bottom"/>
            <w:tcBorders>
              <w:top w:val="single" w:sz="8" w:color="auto"/>
            </w:tcBorders>
            <w:gridSpan w:val="3"/>
          </w:tcPr>
          <w:p>
            <w:pPr>
              <w:ind w:left="100"/>
              <w:spacing w:after="0" w:line="115" w:lineRule="exact"/>
              <w:rPr>
                <w:sz w:val="20"/>
                <w:szCs w:val="20"/>
                <w:color w:val="auto"/>
              </w:rPr>
            </w:pPr>
            <w:r>
              <w:rPr>
                <w:rFonts w:ascii="Arial" w:cs="Arial" w:eastAsia="Arial" w:hAnsi="Arial"/>
                <w:sz w:val="11"/>
                <w:szCs w:val="11"/>
                <w:b w:val="1"/>
                <w:bCs w:val="1"/>
                <w:color w:val="auto"/>
                <w:w w:val="91"/>
              </w:rPr>
              <w:t>Amount</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Borders>
              <w:top w:val="single" w:sz="8" w:color="auto"/>
            </w:tcBorders>
            <w:gridSpan w:val="2"/>
          </w:tcPr>
          <w:p>
            <w:pPr>
              <w:jc w:val="right"/>
              <w:ind w:right="120"/>
              <w:spacing w:after="0" w:line="115" w:lineRule="exact"/>
              <w:rPr>
                <w:sz w:val="20"/>
                <w:szCs w:val="20"/>
                <w:color w:val="auto"/>
              </w:rPr>
            </w:pPr>
            <w:r>
              <w:rPr>
                <w:rFonts w:ascii="Arial" w:cs="Arial" w:eastAsia="Arial" w:hAnsi="Arial"/>
                <w:sz w:val="11"/>
                <w:szCs w:val="11"/>
                <w:b w:val="1"/>
                <w:bCs w:val="1"/>
                <w:color w:val="auto"/>
                <w:w w:val="92"/>
              </w:rPr>
              <w:t>Shares</w:t>
            </w:r>
          </w:p>
        </w:tc>
        <w:tc>
          <w:tcPr>
            <w:tcW w:w="500" w:type="dxa"/>
            <w:vAlign w:val="bottom"/>
            <w:tcBorders>
              <w:top w:val="single" w:sz="8" w:color="auto"/>
            </w:tcBorders>
            <w:gridSpan w:val="3"/>
          </w:tcPr>
          <w:p>
            <w:pPr>
              <w:jc w:val="right"/>
              <w:spacing w:after="0" w:line="115" w:lineRule="exact"/>
              <w:rPr>
                <w:sz w:val="20"/>
                <w:szCs w:val="20"/>
                <w:color w:val="auto"/>
              </w:rPr>
            </w:pPr>
            <w:r>
              <w:rPr>
                <w:rFonts w:ascii="Arial" w:cs="Arial" w:eastAsia="Arial" w:hAnsi="Arial"/>
                <w:sz w:val="11"/>
                <w:szCs w:val="11"/>
                <w:b w:val="1"/>
                <w:bCs w:val="1"/>
                <w:color w:val="auto"/>
              </w:rPr>
              <w:t>Amount</w:t>
            </w: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jc w:val="right"/>
              <w:ind w:right="51"/>
              <w:spacing w:after="0" w:line="115" w:lineRule="exact"/>
              <w:rPr>
                <w:sz w:val="20"/>
                <w:szCs w:val="20"/>
                <w:color w:val="auto"/>
              </w:rPr>
            </w:pPr>
            <w:r>
              <w:rPr>
                <w:rFonts w:ascii="Arial" w:cs="Arial" w:eastAsia="Arial" w:hAnsi="Arial"/>
                <w:sz w:val="11"/>
                <w:szCs w:val="11"/>
                <w:b w:val="1"/>
                <w:bCs w:val="1"/>
                <w:color w:val="auto"/>
                <w:w w:val="92"/>
              </w:rPr>
              <w:t>Capital</w:t>
            </w: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jc w:val="right"/>
              <w:ind w:right="171"/>
              <w:spacing w:after="0" w:line="115" w:lineRule="exact"/>
              <w:rPr>
                <w:sz w:val="20"/>
                <w:szCs w:val="20"/>
                <w:color w:val="auto"/>
              </w:rPr>
            </w:pPr>
            <w:r>
              <w:rPr>
                <w:rFonts w:ascii="Arial" w:cs="Arial" w:eastAsia="Arial" w:hAnsi="Arial"/>
                <w:sz w:val="11"/>
                <w:szCs w:val="11"/>
                <w:b w:val="1"/>
                <w:bCs w:val="1"/>
                <w:color w:val="auto"/>
              </w:rPr>
              <w:t>Income</w:t>
            </w: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gridSpan w:val="2"/>
          </w:tcPr>
          <w:p>
            <w:pPr>
              <w:jc w:val="right"/>
              <w:ind w:right="300"/>
              <w:spacing w:after="0" w:line="115" w:lineRule="exact"/>
              <w:rPr>
                <w:sz w:val="20"/>
                <w:szCs w:val="20"/>
                <w:color w:val="auto"/>
              </w:rPr>
            </w:pPr>
            <w:r>
              <w:rPr>
                <w:rFonts w:ascii="Arial" w:cs="Arial" w:eastAsia="Arial" w:hAnsi="Arial"/>
                <w:sz w:val="11"/>
                <w:szCs w:val="11"/>
                <w:b w:val="1"/>
                <w:bCs w:val="1"/>
                <w:color w:val="auto"/>
              </w:rPr>
              <w:t>Deficit</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gridSpan w:val="2"/>
          </w:tcPr>
          <w:p>
            <w:pPr>
              <w:jc w:val="right"/>
              <w:ind w:right="260"/>
              <w:spacing w:after="0" w:line="115" w:lineRule="exact"/>
              <w:rPr>
                <w:sz w:val="20"/>
                <w:szCs w:val="20"/>
                <w:color w:val="auto"/>
              </w:rPr>
            </w:pPr>
            <w:r>
              <w:rPr>
                <w:rFonts w:ascii="Arial" w:cs="Arial" w:eastAsia="Arial" w:hAnsi="Arial"/>
                <w:sz w:val="11"/>
                <w:szCs w:val="11"/>
                <w:b w:val="1"/>
                <w:bCs w:val="1"/>
                <w:color w:val="auto"/>
              </w:rPr>
              <w:t>Deficit</w:t>
            </w:r>
          </w:p>
        </w:tc>
      </w:tr>
      <w:tr>
        <w:trPr>
          <w:trHeight w:val="91"/>
        </w:trPr>
        <w:tc>
          <w:tcPr>
            <w:tcW w:w="1520" w:type="dxa"/>
            <w:vAlign w:val="bottom"/>
            <w:tcBorders>
              <w:top w:val="single" w:sz="8" w:color="CCEEFF"/>
            </w:tcBorders>
            <w:shd w:val="clear" w:color="auto" w:fill="CCEEFF"/>
          </w:tcPr>
          <w:p>
            <w:pPr>
              <w:ind w:left="200"/>
              <w:spacing w:after="0" w:line="92" w:lineRule="exact"/>
              <w:rPr>
                <w:sz w:val="20"/>
                <w:szCs w:val="20"/>
                <w:color w:val="auto"/>
              </w:rPr>
            </w:pPr>
            <w:r>
              <w:rPr>
                <w:rFonts w:ascii="Arial" w:cs="Arial" w:eastAsia="Arial" w:hAnsi="Arial"/>
                <w:sz w:val="10"/>
                <w:szCs w:val="10"/>
                <w:color w:val="auto"/>
              </w:rPr>
              <w:t>Issuance of Series F</w:t>
            </w:r>
          </w:p>
        </w:tc>
        <w:tc>
          <w:tcPr>
            <w:tcW w:w="80" w:type="dxa"/>
            <w:vAlign w:val="bottom"/>
            <w:tcBorders>
              <w:top w:val="single" w:sz="8" w:color="CCEEFF"/>
            </w:tcBorders>
            <w:shd w:val="clear" w:color="auto" w:fill="CCEEFF"/>
          </w:tcPr>
          <w:p>
            <w:pPr>
              <w:spacing w:after="0"/>
              <w:rPr>
                <w:sz w:val="7"/>
                <w:szCs w:val="7"/>
                <w:color w:val="auto"/>
              </w:rPr>
            </w:pPr>
          </w:p>
        </w:tc>
        <w:tc>
          <w:tcPr>
            <w:tcW w:w="360" w:type="dxa"/>
            <w:vAlign w:val="bottom"/>
            <w:tcBorders>
              <w:top w:val="single" w:sz="8" w:color="auto"/>
            </w:tcBorders>
            <w:shd w:val="clear" w:color="auto" w:fill="CCEEFF"/>
          </w:tcPr>
          <w:p>
            <w:pPr>
              <w:spacing w:after="0"/>
              <w:rPr>
                <w:sz w:val="7"/>
                <w:szCs w:val="7"/>
                <w:color w:val="auto"/>
              </w:rPr>
            </w:pPr>
          </w:p>
        </w:tc>
        <w:tc>
          <w:tcPr>
            <w:tcW w:w="120" w:type="dxa"/>
            <w:vAlign w:val="bottom"/>
            <w:tcBorders>
              <w:top w:val="single" w:sz="8" w:color="CCEEFF"/>
            </w:tcBorders>
            <w:shd w:val="clear" w:color="auto" w:fill="CCEEFF"/>
          </w:tcPr>
          <w:p>
            <w:pPr>
              <w:spacing w:after="0"/>
              <w:rPr>
                <w:sz w:val="7"/>
                <w:szCs w:val="7"/>
                <w:color w:val="auto"/>
              </w:rPr>
            </w:pPr>
          </w:p>
        </w:tc>
        <w:tc>
          <w:tcPr>
            <w:tcW w:w="100" w:type="dxa"/>
            <w:vAlign w:val="bottom"/>
            <w:tcBorders>
              <w:top w:val="single" w:sz="8" w:color="CCEEFF"/>
            </w:tcBorders>
            <w:shd w:val="clear" w:color="auto" w:fill="CCEEFF"/>
          </w:tcPr>
          <w:p>
            <w:pPr>
              <w:spacing w:after="0"/>
              <w:rPr>
                <w:sz w:val="7"/>
                <w:szCs w:val="7"/>
                <w:color w:val="auto"/>
              </w:rPr>
            </w:pPr>
          </w:p>
        </w:tc>
        <w:tc>
          <w:tcPr>
            <w:tcW w:w="100" w:type="dxa"/>
            <w:vAlign w:val="bottom"/>
            <w:tcBorders>
              <w:top w:val="single" w:sz="8" w:color="auto"/>
            </w:tcBorders>
            <w:shd w:val="clear" w:color="auto" w:fill="CCEEFF"/>
          </w:tcPr>
          <w:p>
            <w:pPr>
              <w:spacing w:after="0"/>
              <w:rPr>
                <w:sz w:val="7"/>
                <w:szCs w:val="7"/>
                <w:color w:val="auto"/>
              </w:rPr>
            </w:pPr>
          </w:p>
        </w:tc>
        <w:tc>
          <w:tcPr>
            <w:tcW w:w="300" w:type="dxa"/>
            <w:vAlign w:val="bottom"/>
            <w:tcBorders>
              <w:top w:val="single" w:sz="8" w:color="auto"/>
            </w:tcBorders>
            <w:shd w:val="clear" w:color="auto" w:fill="CCEEFF"/>
          </w:tcPr>
          <w:p>
            <w:pPr>
              <w:spacing w:after="0"/>
              <w:rPr>
                <w:sz w:val="7"/>
                <w:szCs w:val="7"/>
                <w:color w:val="auto"/>
              </w:rPr>
            </w:pPr>
          </w:p>
        </w:tc>
        <w:tc>
          <w:tcPr>
            <w:tcW w:w="120" w:type="dxa"/>
            <w:vAlign w:val="bottom"/>
            <w:tcBorders>
              <w:top w:val="single" w:sz="8" w:color="CCEEFF"/>
            </w:tcBorders>
            <w:shd w:val="clear" w:color="auto" w:fill="CCEEFF"/>
          </w:tcPr>
          <w:p>
            <w:pPr>
              <w:spacing w:after="0"/>
              <w:rPr>
                <w:sz w:val="7"/>
                <w:szCs w:val="7"/>
                <w:color w:val="auto"/>
              </w:rPr>
            </w:pPr>
          </w:p>
        </w:tc>
        <w:tc>
          <w:tcPr>
            <w:tcW w:w="100" w:type="dxa"/>
            <w:vAlign w:val="bottom"/>
            <w:tcBorders>
              <w:top w:val="single" w:sz="8" w:color="CCEEFF"/>
            </w:tcBorders>
            <w:shd w:val="clear" w:color="auto" w:fill="CCEEFF"/>
          </w:tcPr>
          <w:p>
            <w:pPr>
              <w:spacing w:after="0"/>
              <w:rPr>
                <w:sz w:val="7"/>
                <w:szCs w:val="7"/>
                <w:color w:val="auto"/>
              </w:rPr>
            </w:pPr>
          </w:p>
        </w:tc>
        <w:tc>
          <w:tcPr>
            <w:tcW w:w="360" w:type="dxa"/>
            <w:vAlign w:val="bottom"/>
            <w:tcBorders>
              <w:top w:val="single" w:sz="8" w:color="auto"/>
            </w:tcBorders>
            <w:shd w:val="clear" w:color="auto" w:fill="CCEEFF"/>
          </w:tcPr>
          <w:p>
            <w:pPr>
              <w:spacing w:after="0"/>
              <w:rPr>
                <w:sz w:val="7"/>
                <w:szCs w:val="7"/>
                <w:color w:val="auto"/>
              </w:rPr>
            </w:pPr>
          </w:p>
        </w:tc>
        <w:tc>
          <w:tcPr>
            <w:tcW w:w="120" w:type="dxa"/>
            <w:vAlign w:val="bottom"/>
            <w:tcBorders>
              <w:top w:val="single" w:sz="8" w:color="CCEEFF"/>
            </w:tcBorders>
            <w:shd w:val="clear" w:color="auto" w:fill="CCEEFF"/>
          </w:tcPr>
          <w:p>
            <w:pPr>
              <w:spacing w:after="0"/>
              <w:rPr>
                <w:sz w:val="7"/>
                <w:szCs w:val="7"/>
                <w:color w:val="auto"/>
              </w:rPr>
            </w:pPr>
          </w:p>
        </w:tc>
        <w:tc>
          <w:tcPr>
            <w:tcW w:w="100" w:type="dxa"/>
            <w:vAlign w:val="bottom"/>
            <w:tcBorders>
              <w:top w:val="single" w:sz="8" w:color="CCEEFF"/>
            </w:tcBorders>
            <w:shd w:val="clear" w:color="auto" w:fill="CCEEFF"/>
          </w:tcPr>
          <w:p>
            <w:pPr>
              <w:spacing w:after="0"/>
              <w:rPr>
                <w:sz w:val="7"/>
                <w:szCs w:val="7"/>
                <w:color w:val="auto"/>
              </w:rPr>
            </w:pPr>
          </w:p>
        </w:tc>
        <w:tc>
          <w:tcPr>
            <w:tcW w:w="300" w:type="dxa"/>
            <w:vAlign w:val="bottom"/>
            <w:tcBorders>
              <w:top w:val="single" w:sz="8" w:color="auto"/>
            </w:tcBorders>
            <w:shd w:val="clear" w:color="auto" w:fill="CCEEFF"/>
          </w:tcPr>
          <w:p>
            <w:pPr>
              <w:spacing w:after="0"/>
              <w:rPr>
                <w:sz w:val="7"/>
                <w:szCs w:val="7"/>
                <w:color w:val="auto"/>
              </w:rPr>
            </w:pPr>
          </w:p>
        </w:tc>
        <w:tc>
          <w:tcPr>
            <w:tcW w:w="100" w:type="dxa"/>
            <w:vAlign w:val="bottom"/>
            <w:tcBorders>
              <w:top w:val="single" w:sz="8" w:color="auto"/>
            </w:tcBorders>
            <w:shd w:val="clear" w:color="auto" w:fill="CCEEFF"/>
          </w:tcPr>
          <w:p>
            <w:pPr>
              <w:spacing w:after="0"/>
              <w:rPr>
                <w:sz w:val="7"/>
                <w:szCs w:val="7"/>
                <w:color w:val="auto"/>
              </w:rPr>
            </w:pPr>
          </w:p>
        </w:tc>
        <w:tc>
          <w:tcPr>
            <w:tcW w:w="180" w:type="dxa"/>
            <w:vAlign w:val="bottom"/>
            <w:tcBorders>
              <w:top w:val="single" w:sz="8" w:color="CCEEFF"/>
            </w:tcBorders>
            <w:shd w:val="clear" w:color="auto" w:fill="CCEEFF"/>
          </w:tcPr>
          <w:p>
            <w:pPr>
              <w:spacing w:after="0"/>
              <w:rPr>
                <w:sz w:val="7"/>
                <w:szCs w:val="7"/>
                <w:color w:val="auto"/>
              </w:rPr>
            </w:pPr>
          </w:p>
        </w:tc>
        <w:tc>
          <w:tcPr>
            <w:tcW w:w="80" w:type="dxa"/>
            <w:vAlign w:val="bottom"/>
            <w:tcBorders>
              <w:top w:val="single" w:sz="8" w:color="auto"/>
            </w:tcBorders>
            <w:shd w:val="clear" w:color="auto" w:fill="CCEEFF"/>
          </w:tcPr>
          <w:p>
            <w:pPr>
              <w:spacing w:after="0"/>
              <w:rPr>
                <w:sz w:val="7"/>
                <w:szCs w:val="7"/>
                <w:color w:val="auto"/>
              </w:rPr>
            </w:pPr>
          </w:p>
        </w:tc>
        <w:tc>
          <w:tcPr>
            <w:tcW w:w="460" w:type="dxa"/>
            <w:vAlign w:val="bottom"/>
            <w:tcBorders>
              <w:top w:val="single" w:sz="8" w:color="auto"/>
            </w:tcBorders>
            <w:shd w:val="clear" w:color="auto" w:fill="CCEEFF"/>
          </w:tcPr>
          <w:p>
            <w:pPr>
              <w:spacing w:after="0"/>
              <w:rPr>
                <w:sz w:val="7"/>
                <w:szCs w:val="7"/>
                <w:color w:val="auto"/>
              </w:rPr>
            </w:pPr>
          </w:p>
        </w:tc>
        <w:tc>
          <w:tcPr>
            <w:tcW w:w="180" w:type="dxa"/>
            <w:vAlign w:val="bottom"/>
            <w:tcBorders>
              <w:top w:val="single" w:sz="8" w:color="CCEEFF"/>
            </w:tcBorders>
            <w:shd w:val="clear" w:color="auto" w:fill="CCEEFF"/>
          </w:tcPr>
          <w:p>
            <w:pPr>
              <w:spacing w:after="0"/>
              <w:rPr>
                <w:sz w:val="7"/>
                <w:szCs w:val="7"/>
                <w:color w:val="auto"/>
              </w:rPr>
            </w:pPr>
          </w:p>
        </w:tc>
        <w:tc>
          <w:tcPr>
            <w:tcW w:w="140" w:type="dxa"/>
            <w:vAlign w:val="bottom"/>
            <w:tcBorders>
              <w:top w:val="single" w:sz="8" w:color="auto"/>
            </w:tcBorders>
            <w:shd w:val="clear" w:color="auto" w:fill="CCEEFF"/>
          </w:tcPr>
          <w:p>
            <w:pPr>
              <w:spacing w:after="0"/>
              <w:rPr>
                <w:sz w:val="7"/>
                <w:szCs w:val="7"/>
                <w:color w:val="auto"/>
              </w:rPr>
            </w:pPr>
          </w:p>
        </w:tc>
        <w:tc>
          <w:tcPr>
            <w:tcW w:w="680" w:type="dxa"/>
            <w:vAlign w:val="bottom"/>
            <w:tcBorders>
              <w:top w:val="single" w:sz="8" w:color="auto"/>
            </w:tcBorders>
            <w:shd w:val="clear" w:color="auto" w:fill="CCEEFF"/>
          </w:tcPr>
          <w:p>
            <w:pPr>
              <w:spacing w:after="0"/>
              <w:rPr>
                <w:sz w:val="7"/>
                <w:szCs w:val="7"/>
                <w:color w:val="auto"/>
              </w:rPr>
            </w:pPr>
          </w:p>
        </w:tc>
        <w:tc>
          <w:tcPr>
            <w:tcW w:w="180" w:type="dxa"/>
            <w:vAlign w:val="bottom"/>
            <w:tcBorders>
              <w:top w:val="single" w:sz="8" w:color="CCEEFF"/>
            </w:tcBorders>
            <w:shd w:val="clear" w:color="auto" w:fill="CCEEFF"/>
          </w:tcPr>
          <w:p>
            <w:pPr>
              <w:spacing w:after="0"/>
              <w:rPr>
                <w:sz w:val="7"/>
                <w:szCs w:val="7"/>
                <w:color w:val="auto"/>
              </w:rPr>
            </w:pPr>
          </w:p>
        </w:tc>
        <w:tc>
          <w:tcPr>
            <w:tcW w:w="100" w:type="dxa"/>
            <w:vAlign w:val="bottom"/>
            <w:tcBorders>
              <w:top w:val="single" w:sz="8" w:color="auto"/>
            </w:tcBorders>
            <w:shd w:val="clear" w:color="auto" w:fill="CCEEFF"/>
          </w:tcPr>
          <w:p>
            <w:pPr>
              <w:spacing w:after="0"/>
              <w:rPr>
                <w:sz w:val="7"/>
                <w:szCs w:val="7"/>
                <w:color w:val="auto"/>
              </w:rPr>
            </w:pPr>
          </w:p>
        </w:tc>
        <w:tc>
          <w:tcPr>
            <w:tcW w:w="580" w:type="dxa"/>
            <w:vAlign w:val="bottom"/>
            <w:tcBorders>
              <w:top w:val="single" w:sz="8" w:color="auto"/>
            </w:tcBorders>
            <w:shd w:val="clear" w:color="auto" w:fill="CCEEFF"/>
          </w:tcPr>
          <w:p>
            <w:pPr>
              <w:spacing w:after="0"/>
              <w:rPr>
                <w:sz w:val="7"/>
                <w:szCs w:val="7"/>
                <w:color w:val="auto"/>
              </w:rPr>
            </w:pPr>
          </w:p>
        </w:tc>
        <w:tc>
          <w:tcPr>
            <w:tcW w:w="120" w:type="dxa"/>
            <w:vAlign w:val="bottom"/>
            <w:tcBorders>
              <w:top w:val="single" w:sz="8" w:color="CCEEFF"/>
            </w:tcBorders>
            <w:shd w:val="clear" w:color="auto" w:fill="CCEEFF"/>
          </w:tcPr>
          <w:p>
            <w:pPr>
              <w:spacing w:after="0"/>
              <w:rPr>
                <w:sz w:val="7"/>
                <w:szCs w:val="7"/>
                <w:color w:val="auto"/>
              </w:rPr>
            </w:pPr>
          </w:p>
        </w:tc>
        <w:tc>
          <w:tcPr>
            <w:tcW w:w="80" w:type="dxa"/>
            <w:vAlign w:val="bottom"/>
            <w:tcBorders>
              <w:top w:val="single" w:sz="8" w:color="CCEEFF"/>
            </w:tcBorders>
            <w:shd w:val="clear" w:color="auto" w:fill="CCEEFF"/>
          </w:tcPr>
          <w:p>
            <w:pPr>
              <w:spacing w:after="0"/>
              <w:rPr>
                <w:sz w:val="7"/>
                <w:szCs w:val="7"/>
                <w:color w:val="auto"/>
              </w:rPr>
            </w:pPr>
          </w:p>
        </w:tc>
        <w:tc>
          <w:tcPr>
            <w:tcW w:w="120" w:type="dxa"/>
            <w:vAlign w:val="bottom"/>
            <w:tcBorders>
              <w:top w:val="single" w:sz="8" w:color="auto"/>
            </w:tcBorders>
            <w:shd w:val="clear" w:color="auto" w:fill="CCEEFF"/>
          </w:tcPr>
          <w:p>
            <w:pPr>
              <w:spacing w:after="0"/>
              <w:rPr>
                <w:sz w:val="7"/>
                <w:szCs w:val="7"/>
                <w:color w:val="auto"/>
              </w:rPr>
            </w:pPr>
          </w:p>
        </w:tc>
        <w:tc>
          <w:tcPr>
            <w:tcW w:w="620" w:type="dxa"/>
            <w:vAlign w:val="bottom"/>
            <w:tcBorders>
              <w:top w:val="single" w:sz="8" w:color="auto"/>
            </w:tcBorders>
            <w:shd w:val="clear" w:color="auto" w:fill="CCEEFF"/>
          </w:tcPr>
          <w:p>
            <w:pPr>
              <w:spacing w:after="0"/>
              <w:rPr>
                <w:sz w:val="7"/>
                <w:szCs w:val="7"/>
                <w:color w:val="auto"/>
              </w:rPr>
            </w:pPr>
          </w:p>
        </w:tc>
        <w:tc>
          <w:tcPr>
            <w:tcW w:w="60" w:type="dxa"/>
            <w:vAlign w:val="bottom"/>
            <w:tcBorders>
              <w:top w:val="single" w:sz="8" w:color="CCEEFF"/>
            </w:tcBorders>
            <w:shd w:val="clear" w:color="auto" w:fill="CCEEFF"/>
          </w:tcPr>
          <w:p>
            <w:pPr>
              <w:spacing w:after="0"/>
              <w:rPr>
                <w:sz w:val="7"/>
                <w:szCs w:val="7"/>
                <w:color w:val="auto"/>
              </w:rPr>
            </w:pPr>
          </w:p>
        </w:tc>
      </w:tr>
      <w:tr>
        <w:trPr>
          <w:trHeight w:val="108"/>
        </w:trPr>
        <w:tc>
          <w:tcPr>
            <w:tcW w:w="1520" w:type="dxa"/>
            <w:vAlign w:val="bottom"/>
            <w:shd w:val="clear" w:color="auto" w:fill="CCEEFF"/>
          </w:tcPr>
          <w:p>
            <w:pPr>
              <w:ind w:left="280"/>
              <w:spacing w:after="0" w:line="108" w:lineRule="exact"/>
              <w:rPr>
                <w:sz w:val="20"/>
                <w:szCs w:val="20"/>
                <w:color w:val="auto"/>
              </w:rPr>
            </w:pPr>
            <w:r>
              <w:rPr>
                <w:rFonts w:ascii="Arial" w:cs="Arial" w:eastAsia="Arial" w:hAnsi="Arial"/>
                <w:sz w:val="10"/>
                <w:szCs w:val="10"/>
                <w:color w:val="auto"/>
              </w:rPr>
              <w:t>redeemable convertible</w:t>
            </w:r>
          </w:p>
        </w:tc>
        <w:tc>
          <w:tcPr>
            <w:tcW w:w="8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r>
      <w:tr>
        <w:trPr>
          <w:trHeight w:val="105"/>
        </w:trPr>
        <w:tc>
          <w:tcPr>
            <w:tcW w:w="1520" w:type="dxa"/>
            <w:vAlign w:val="bottom"/>
            <w:shd w:val="clear" w:color="auto" w:fill="CCEEFF"/>
          </w:tcPr>
          <w:p>
            <w:pPr>
              <w:ind w:left="280"/>
              <w:spacing w:after="0" w:line="105" w:lineRule="exact"/>
              <w:rPr>
                <w:sz w:val="20"/>
                <w:szCs w:val="20"/>
                <w:color w:val="auto"/>
              </w:rPr>
            </w:pPr>
            <w:r>
              <w:rPr>
                <w:rFonts w:ascii="Arial" w:cs="Arial" w:eastAsia="Arial" w:hAnsi="Arial"/>
                <w:sz w:val="10"/>
                <w:szCs w:val="10"/>
                <w:color w:val="auto"/>
              </w:rPr>
              <w:t>preferred stock, net</w:t>
            </w:r>
          </w:p>
        </w:tc>
        <w:tc>
          <w:tcPr>
            <w:tcW w:w="440" w:type="dxa"/>
            <w:vAlign w:val="bottom"/>
            <w:gridSpan w:val="2"/>
            <w:shd w:val="clear" w:color="auto" w:fill="CCEEFF"/>
          </w:tcPr>
          <w:p>
            <w:pPr>
              <w:jc w:val="right"/>
              <w:spacing w:after="0" w:line="105" w:lineRule="exact"/>
              <w:rPr>
                <w:sz w:val="20"/>
                <w:szCs w:val="20"/>
                <w:color w:val="auto"/>
              </w:rPr>
            </w:pPr>
            <w:r>
              <w:rPr>
                <w:rFonts w:ascii="Arial" w:cs="Arial" w:eastAsia="Arial" w:hAnsi="Arial"/>
                <w:sz w:val="10"/>
                <w:szCs w:val="10"/>
                <w:color w:val="auto"/>
              </w:rPr>
              <w:t>38.1</w:t>
            </w:r>
          </w:p>
        </w:tc>
        <w:tc>
          <w:tcPr>
            <w:tcW w:w="120" w:type="dxa"/>
            <w:vAlign w:val="bottom"/>
            <w:shd w:val="clear" w:color="auto" w:fill="CCEEFF"/>
          </w:tcPr>
          <w:p>
            <w:pPr>
              <w:spacing w:after="0"/>
              <w:rPr>
                <w:sz w:val="9"/>
                <w:szCs w:val="9"/>
                <w:color w:val="auto"/>
              </w:rPr>
            </w:pPr>
          </w:p>
        </w:tc>
        <w:tc>
          <w:tcPr>
            <w:tcW w:w="200" w:type="dxa"/>
            <w:vAlign w:val="bottom"/>
            <w:gridSpan w:val="2"/>
            <w:shd w:val="clear" w:color="auto" w:fill="CCEEFF"/>
          </w:tcPr>
          <w:p>
            <w:pPr>
              <w:ind w:left="80"/>
              <w:spacing w:after="0" w:line="105" w:lineRule="exact"/>
              <w:rPr>
                <w:sz w:val="20"/>
                <w:szCs w:val="20"/>
                <w:color w:val="auto"/>
              </w:rPr>
            </w:pPr>
            <w:r>
              <w:rPr>
                <w:rFonts w:ascii="Arial" w:cs="Arial" w:eastAsia="Arial" w:hAnsi="Arial"/>
                <w:sz w:val="10"/>
                <w:szCs w:val="10"/>
                <w:color w:val="auto"/>
              </w:rPr>
              <w:t>$</w:t>
            </w:r>
          </w:p>
        </w:tc>
        <w:tc>
          <w:tcPr>
            <w:tcW w:w="300" w:type="dxa"/>
            <w:vAlign w:val="bottom"/>
            <w:shd w:val="clear" w:color="auto" w:fill="CCEEFF"/>
          </w:tcPr>
          <w:p>
            <w:pPr>
              <w:jc w:val="right"/>
              <w:spacing w:after="0" w:line="105" w:lineRule="exact"/>
              <w:rPr>
                <w:sz w:val="20"/>
                <w:szCs w:val="20"/>
                <w:color w:val="auto"/>
              </w:rPr>
            </w:pPr>
            <w:r>
              <w:rPr>
                <w:rFonts w:ascii="Arial" w:cs="Arial" w:eastAsia="Arial" w:hAnsi="Arial"/>
                <w:sz w:val="10"/>
                <w:szCs w:val="10"/>
                <w:color w:val="auto"/>
              </w:rPr>
              <w:t>539.1</w:t>
            </w:r>
          </w:p>
        </w:tc>
        <w:tc>
          <w:tcPr>
            <w:tcW w:w="1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80" w:type="dxa"/>
            <w:vAlign w:val="bottom"/>
            <w:gridSpan w:val="2"/>
            <w:shd w:val="clear" w:color="auto" w:fill="CCEEFF"/>
          </w:tcPr>
          <w:p>
            <w:pPr>
              <w:jc w:val="right"/>
              <w:ind w:right="120"/>
              <w:spacing w:after="0" w:line="105" w:lineRule="exact"/>
              <w:rPr>
                <w:sz w:val="20"/>
                <w:szCs w:val="20"/>
                <w:color w:val="auto"/>
              </w:rPr>
            </w:pPr>
            <w:r>
              <w:rPr>
                <w:rFonts w:ascii="Arial" w:cs="Arial" w:eastAsia="Arial" w:hAnsi="Arial"/>
                <w:sz w:val="10"/>
                <w:szCs w:val="10"/>
                <w:color w:val="auto"/>
              </w:rPr>
              <w:t>—</w:t>
            </w:r>
          </w:p>
        </w:tc>
        <w:tc>
          <w:tcPr>
            <w:tcW w:w="400" w:type="dxa"/>
            <w:vAlign w:val="bottom"/>
            <w:gridSpan w:val="2"/>
            <w:shd w:val="clear" w:color="auto" w:fill="CCEEFF"/>
          </w:tcPr>
          <w:p>
            <w:pPr>
              <w:jc w:val="right"/>
              <w:ind w:right="260"/>
              <w:spacing w:after="0" w:line="105" w:lineRule="exact"/>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jc w:val="right"/>
              <w:spacing w:after="0" w:line="105" w:lineRule="exact"/>
              <w:rPr>
                <w:sz w:val="20"/>
                <w:szCs w:val="20"/>
                <w:color w:val="auto"/>
              </w:rPr>
            </w:pPr>
            <w:r>
              <w:rPr>
                <w:rFonts w:ascii="Arial" w:cs="Arial" w:eastAsia="Arial" w:hAnsi="Arial"/>
                <w:sz w:val="10"/>
                <w:szCs w:val="10"/>
                <w:color w:val="auto"/>
                <w:w w:val="79"/>
              </w:rPr>
              <w:t>—</w:t>
            </w:r>
          </w:p>
        </w:tc>
        <w:tc>
          <w:tcPr>
            <w:tcW w:w="260" w:type="dxa"/>
            <w:vAlign w:val="bottom"/>
            <w:gridSpan w:val="2"/>
            <w:shd w:val="clear" w:color="auto" w:fill="CCEEFF"/>
          </w:tcPr>
          <w:p>
            <w:pPr>
              <w:ind w:left="180"/>
              <w:spacing w:after="0" w:line="105" w:lineRule="exact"/>
              <w:rPr>
                <w:sz w:val="20"/>
                <w:szCs w:val="20"/>
                <w:color w:val="auto"/>
              </w:rPr>
            </w:pPr>
            <w:r>
              <w:rPr>
                <w:rFonts w:ascii="Arial" w:cs="Arial" w:eastAsia="Arial" w:hAnsi="Arial"/>
                <w:sz w:val="10"/>
                <w:szCs w:val="10"/>
                <w:color w:val="auto"/>
              </w:rPr>
              <w:t>$</w:t>
            </w:r>
          </w:p>
        </w:tc>
        <w:tc>
          <w:tcPr>
            <w:tcW w:w="460" w:type="dxa"/>
            <w:vAlign w:val="bottom"/>
            <w:shd w:val="clear" w:color="auto" w:fill="CCEEFF"/>
          </w:tcPr>
          <w:p>
            <w:pPr>
              <w:jc w:val="right"/>
              <w:spacing w:after="0" w:line="105" w:lineRule="exact"/>
              <w:rPr>
                <w:sz w:val="20"/>
                <w:szCs w:val="20"/>
                <w:color w:val="auto"/>
              </w:rPr>
            </w:pPr>
            <w:r>
              <w:rPr>
                <w:rFonts w:ascii="Arial" w:cs="Arial" w:eastAsia="Arial" w:hAnsi="Arial"/>
                <w:sz w:val="10"/>
                <w:szCs w:val="10"/>
                <w:color w:val="auto"/>
              </w:rPr>
              <w:t>—</w:t>
            </w:r>
          </w:p>
        </w:tc>
        <w:tc>
          <w:tcPr>
            <w:tcW w:w="320" w:type="dxa"/>
            <w:vAlign w:val="bottom"/>
            <w:gridSpan w:val="2"/>
            <w:shd w:val="clear" w:color="auto" w:fill="CCEEFF"/>
          </w:tcPr>
          <w:p>
            <w:pPr>
              <w:ind w:left="180"/>
              <w:spacing w:after="0" w:line="105" w:lineRule="exact"/>
              <w:rPr>
                <w:sz w:val="20"/>
                <w:szCs w:val="20"/>
                <w:color w:val="auto"/>
              </w:rPr>
            </w:pPr>
            <w:r>
              <w:rPr>
                <w:rFonts w:ascii="Arial" w:cs="Arial" w:eastAsia="Arial" w:hAnsi="Arial"/>
                <w:sz w:val="10"/>
                <w:szCs w:val="10"/>
                <w:color w:val="auto"/>
              </w:rPr>
              <w:t>$</w:t>
            </w:r>
          </w:p>
        </w:tc>
        <w:tc>
          <w:tcPr>
            <w:tcW w:w="680" w:type="dxa"/>
            <w:vAlign w:val="bottom"/>
            <w:shd w:val="clear" w:color="auto" w:fill="CCEEFF"/>
          </w:tcPr>
          <w:p>
            <w:pPr>
              <w:jc w:val="right"/>
              <w:spacing w:after="0" w:line="105" w:lineRule="exact"/>
              <w:rPr>
                <w:sz w:val="20"/>
                <w:szCs w:val="20"/>
                <w:color w:val="auto"/>
              </w:rPr>
            </w:pPr>
            <w:r>
              <w:rPr>
                <w:rFonts w:ascii="Arial" w:cs="Arial" w:eastAsia="Arial" w:hAnsi="Arial"/>
                <w:sz w:val="10"/>
                <w:szCs w:val="10"/>
                <w:color w:val="auto"/>
              </w:rPr>
              <w:t>—</w:t>
            </w:r>
          </w:p>
        </w:tc>
        <w:tc>
          <w:tcPr>
            <w:tcW w:w="280" w:type="dxa"/>
            <w:vAlign w:val="bottom"/>
            <w:gridSpan w:val="2"/>
            <w:shd w:val="clear" w:color="auto" w:fill="CCEEFF"/>
          </w:tcPr>
          <w:p>
            <w:pPr>
              <w:ind w:left="180"/>
              <w:spacing w:after="0" w:line="105" w:lineRule="exact"/>
              <w:rPr>
                <w:sz w:val="20"/>
                <w:szCs w:val="20"/>
                <w:color w:val="auto"/>
              </w:rPr>
            </w:pPr>
            <w:r>
              <w:rPr>
                <w:rFonts w:ascii="Arial" w:cs="Arial" w:eastAsia="Arial" w:hAnsi="Arial"/>
                <w:sz w:val="10"/>
                <w:szCs w:val="10"/>
                <w:color w:val="auto"/>
              </w:rPr>
              <w:t>$</w:t>
            </w:r>
          </w:p>
        </w:tc>
        <w:tc>
          <w:tcPr>
            <w:tcW w:w="700" w:type="dxa"/>
            <w:vAlign w:val="bottom"/>
            <w:gridSpan w:val="2"/>
            <w:shd w:val="clear" w:color="auto" w:fill="CCEEFF"/>
          </w:tcPr>
          <w:p>
            <w:pPr>
              <w:jc w:val="right"/>
              <w:ind w:right="120"/>
              <w:spacing w:after="0" w:line="105" w:lineRule="exact"/>
              <w:rPr>
                <w:sz w:val="20"/>
                <w:szCs w:val="20"/>
                <w:color w:val="auto"/>
              </w:rPr>
            </w:pPr>
            <w:r>
              <w:rPr>
                <w:rFonts w:ascii="Arial" w:cs="Arial" w:eastAsia="Arial" w:hAnsi="Arial"/>
                <w:sz w:val="10"/>
                <w:szCs w:val="10"/>
                <w:color w:val="auto"/>
              </w:rPr>
              <w:t>—</w:t>
            </w:r>
          </w:p>
        </w:tc>
        <w:tc>
          <w:tcPr>
            <w:tcW w:w="200" w:type="dxa"/>
            <w:vAlign w:val="bottom"/>
            <w:gridSpan w:val="2"/>
            <w:shd w:val="clear" w:color="auto" w:fill="CCEEFF"/>
          </w:tcPr>
          <w:p>
            <w:pPr>
              <w:ind w:left="80"/>
              <w:spacing w:after="0" w:line="105" w:lineRule="exact"/>
              <w:rPr>
                <w:sz w:val="20"/>
                <w:szCs w:val="20"/>
                <w:color w:val="auto"/>
              </w:rPr>
            </w:pPr>
            <w:r>
              <w:rPr>
                <w:rFonts w:ascii="Arial" w:cs="Arial" w:eastAsia="Arial" w:hAnsi="Arial"/>
                <w:sz w:val="10"/>
                <w:szCs w:val="10"/>
                <w:color w:val="auto"/>
              </w:rPr>
              <w:t>$</w:t>
            </w:r>
          </w:p>
        </w:tc>
        <w:tc>
          <w:tcPr>
            <w:tcW w:w="680" w:type="dxa"/>
            <w:vAlign w:val="bottom"/>
            <w:gridSpan w:val="2"/>
            <w:shd w:val="clear" w:color="auto" w:fill="CCEEFF"/>
          </w:tcPr>
          <w:p>
            <w:pPr>
              <w:jc w:val="right"/>
              <w:ind w:right="80"/>
              <w:spacing w:after="0" w:line="105" w:lineRule="exact"/>
              <w:rPr>
                <w:sz w:val="20"/>
                <w:szCs w:val="20"/>
                <w:color w:val="auto"/>
              </w:rPr>
            </w:pPr>
            <w:r>
              <w:rPr>
                <w:rFonts w:ascii="Arial" w:cs="Arial" w:eastAsia="Arial" w:hAnsi="Arial"/>
                <w:sz w:val="10"/>
                <w:szCs w:val="10"/>
                <w:color w:val="auto"/>
              </w:rPr>
              <w:t>—</w:t>
            </w:r>
          </w:p>
        </w:tc>
      </w:tr>
      <w:tr>
        <w:trPr>
          <w:trHeight w:val="111"/>
        </w:trPr>
        <w:tc>
          <w:tcPr>
            <w:tcW w:w="1520" w:type="dxa"/>
            <w:vAlign w:val="bottom"/>
          </w:tcPr>
          <w:p>
            <w:pPr>
              <w:ind w:left="200"/>
              <w:spacing w:after="0" w:line="112" w:lineRule="exact"/>
              <w:rPr>
                <w:sz w:val="20"/>
                <w:szCs w:val="20"/>
                <w:color w:val="auto"/>
              </w:rPr>
            </w:pPr>
            <w:r>
              <w:rPr>
                <w:rFonts w:ascii="Arial" w:cs="Arial" w:eastAsia="Arial" w:hAnsi="Arial"/>
                <w:sz w:val="10"/>
                <w:szCs w:val="10"/>
                <w:color w:val="auto"/>
              </w:rPr>
              <w:t>Repurchase of common and</w:t>
            </w: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r>
      <w:tr>
        <w:trPr>
          <w:trHeight w:val="108"/>
        </w:trPr>
        <w:tc>
          <w:tcPr>
            <w:tcW w:w="1520" w:type="dxa"/>
            <w:vAlign w:val="bottom"/>
          </w:tcPr>
          <w:p>
            <w:pPr>
              <w:ind w:left="280"/>
              <w:spacing w:after="0" w:line="108" w:lineRule="exact"/>
              <w:rPr>
                <w:sz w:val="20"/>
                <w:szCs w:val="20"/>
                <w:color w:val="auto"/>
              </w:rPr>
            </w:pPr>
            <w:r>
              <w:rPr>
                <w:rFonts w:ascii="Arial" w:cs="Arial" w:eastAsia="Arial" w:hAnsi="Arial"/>
                <w:sz w:val="10"/>
                <w:szCs w:val="10"/>
                <w:color w:val="auto"/>
              </w:rPr>
              <w:t>redeemable preferred</w:t>
            </w: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r>
      <w:tr>
        <w:trPr>
          <w:trHeight w:val="105"/>
        </w:trPr>
        <w:tc>
          <w:tcPr>
            <w:tcW w:w="1520" w:type="dxa"/>
            <w:vAlign w:val="bottom"/>
          </w:tcPr>
          <w:p>
            <w:pPr>
              <w:ind w:left="280"/>
              <w:spacing w:after="0" w:line="105" w:lineRule="exact"/>
              <w:rPr>
                <w:sz w:val="20"/>
                <w:szCs w:val="20"/>
                <w:color w:val="auto"/>
              </w:rPr>
            </w:pPr>
            <w:r>
              <w:rPr>
                <w:rFonts w:ascii="Arial" w:cs="Arial" w:eastAsia="Arial" w:hAnsi="Arial"/>
                <w:sz w:val="10"/>
                <w:szCs w:val="10"/>
                <w:color w:val="auto"/>
              </w:rPr>
              <w:t>stock</w:t>
            </w:r>
          </w:p>
        </w:tc>
        <w:tc>
          <w:tcPr>
            <w:tcW w:w="560" w:type="dxa"/>
            <w:vAlign w:val="bottom"/>
            <w:gridSpan w:val="3"/>
          </w:tcPr>
          <w:p>
            <w:pPr>
              <w:jc w:val="right"/>
              <w:ind w:right="80"/>
              <w:spacing w:after="0" w:line="105" w:lineRule="exact"/>
              <w:rPr>
                <w:sz w:val="20"/>
                <w:szCs w:val="20"/>
                <w:color w:val="auto"/>
              </w:rPr>
            </w:pPr>
            <w:r>
              <w:rPr>
                <w:rFonts w:ascii="Arial" w:cs="Arial" w:eastAsia="Arial" w:hAnsi="Arial"/>
                <w:sz w:val="10"/>
                <w:szCs w:val="10"/>
                <w:color w:val="auto"/>
              </w:rPr>
              <w:t>(3.8)</w:t>
            </w: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gridSpan w:val="2"/>
          </w:tcPr>
          <w:p>
            <w:pPr>
              <w:jc w:val="right"/>
              <w:ind w:right="80"/>
              <w:spacing w:after="0" w:line="105" w:lineRule="exact"/>
              <w:rPr>
                <w:sz w:val="20"/>
                <w:szCs w:val="20"/>
                <w:color w:val="auto"/>
              </w:rPr>
            </w:pPr>
            <w:r>
              <w:rPr>
                <w:rFonts w:ascii="Arial" w:cs="Arial" w:eastAsia="Arial" w:hAnsi="Arial"/>
                <w:sz w:val="10"/>
                <w:szCs w:val="10"/>
                <w:color w:val="auto"/>
              </w:rPr>
              <w:t>(4.3)</w:t>
            </w:r>
          </w:p>
        </w:tc>
        <w:tc>
          <w:tcPr>
            <w:tcW w:w="580" w:type="dxa"/>
            <w:vAlign w:val="bottom"/>
            <w:gridSpan w:val="3"/>
          </w:tcPr>
          <w:p>
            <w:pPr>
              <w:jc w:val="right"/>
              <w:ind w:right="80"/>
              <w:spacing w:after="0" w:line="105" w:lineRule="exact"/>
              <w:rPr>
                <w:sz w:val="20"/>
                <w:szCs w:val="20"/>
                <w:color w:val="auto"/>
              </w:rPr>
            </w:pPr>
            <w:r>
              <w:rPr>
                <w:rFonts w:ascii="Arial" w:cs="Arial" w:eastAsia="Arial" w:hAnsi="Arial"/>
                <w:sz w:val="10"/>
                <w:szCs w:val="10"/>
                <w:color w:val="auto"/>
              </w:rPr>
              <w:t>(4.8)</w:t>
            </w: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Pr>
          <w:p>
            <w:pPr>
              <w:jc w:val="right"/>
              <w:spacing w:after="0" w:line="105" w:lineRule="exact"/>
              <w:rPr>
                <w:sz w:val="20"/>
                <w:szCs w:val="20"/>
                <w:color w:val="auto"/>
              </w:rPr>
            </w:pPr>
            <w:r>
              <w:rPr>
                <w:rFonts w:ascii="Arial" w:cs="Arial" w:eastAsia="Arial" w:hAnsi="Arial"/>
                <w:sz w:val="10"/>
                <w:szCs w:val="10"/>
                <w:color w:val="auto"/>
                <w:w w:val="79"/>
              </w:rPr>
              <w:t>—</w:t>
            </w: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jc w:val="right"/>
              <w:spacing w:after="0" w:line="105" w:lineRule="exact"/>
              <w:rPr>
                <w:sz w:val="20"/>
                <w:szCs w:val="20"/>
                <w:color w:val="auto"/>
              </w:rPr>
            </w:pPr>
            <w:r>
              <w:rPr>
                <w:rFonts w:ascii="Arial" w:cs="Arial" w:eastAsia="Arial" w:hAnsi="Arial"/>
                <w:sz w:val="10"/>
                <w:szCs w:val="10"/>
                <w:color w:val="auto"/>
              </w:rPr>
              <w:t>—</w:t>
            </w: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80" w:type="dxa"/>
            <w:vAlign w:val="bottom"/>
          </w:tcPr>
          <w:p>
            <w:pPr>
              <w:jc w:val="right"/>
              <w:spacing w:after="0" w:line="105" w:lineRule="exact"/>
              <w:rPr>
                <w:sz w:val="20"/>
                <w:szCs w:val="20"/>
                <w:color w:val="auto"/>
              </w:rPr>
            </w:pPr>
            <w:r>
              <w:rPr>
                <w:rFonts w:ascii="Arial" w:cs="Arial" w:eastAsia="Arial" w:hAnsi="Arial"/>
                <w:sz w:val="10"/>
                <w:szCs w:val="10"/>
                <w:color w:val="auto"/>
              </w:rPr>
              <w:t>—</w:t>
            </w: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gridSpan w:val="2"/>
          </w:tcPr>
          <w:p>
            <w:pPr>
              <w:jc w:val="right"/>
              <w:ind w:right="80"/>
              <w:spacing w:after="0" w:line="105" w:lineRule="exact"/>
              <w:rPr>
                <w:sz w:val="20"/>
                <w:szCs w:val="20"/>
                <w:color w:val="auto"/>
              </w:rPr>
            </w:pPr>
            <w:r>
              <w:rPr>
                <w:rFonts w:ascii="Arial" w:cs="Arial" w:eastAsia="Arial" w:hAnsi="Arial"/>
                <w:sz w:val="10"/>
                <w:szCs w:val="10"/>
                <w:color w:val="auto"/>
              </w:rPr>
              <w:t>(97.8)</w:t>
            </w: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gridSpan w:val="2"/>
          </w:tcPr>
          <w:p>
            <w:pPr>
              <w:jc w:val="right"/>
              <w:ind w:right="40"/>
              <w:spacing w:after="0" w:line="105" w:lineRule="exact"/>
              <w:rPr>
                <w:sz w:val="20"/>
                <w:szCs w:val="20"/>
                <w:color w:val="auto"/>
              </w:rPr>
            </w:pPr>
            <w:r>
              <w:rPr>
                <w:rFonts w:ascii="Arial" w:cs="Arial" w:eastAsia="Arial" w:hAnsi="Arial"/>
                <w:sz w:val="10"/>
                <w:szCs w:val="10"/>
                <w:color w:val="auto"/>
              </w:rPr>
              <w:t>(97.8)</w:t>
            </w:r>
          </w:p>
        </w:tc>
      </w:tr>
      <w:tr>
        <w:trPr>
          <w:trHeight w:val="108"/>
        </w:trPr>
        <w:tc>
          <w:tcPr>
            <w:tcW w:w="1520" w:type="dxa"/>
            <w:vAlign w:val="bottom"/>
            <w:shd w:val="clear" w:color="auto" w:fill="CCEEFF"/>
          </w:tcPr>
          <w:p>
            <w:pPr>
              <w:ind w:left="200"/>
              <w:spacing w:after="0" w:line="108" w:lineRule="exact"/>
              <w:rPr>
                <w:sz w:val="20"/>
                <w:szCs w:val="20"/>
                <w:color w:val="auto"/>
              </w:rPr>
            </w:pPr>
            <w:r>
              <w:rPr>
                <w:rFonts w:ascii="Arial" w:cs="Arial" w:eastAsia="Arial" w:hAnsi="Arial"/>
                <w:sz w:val="10"/>
                <w:szCs w:val="10"/>
                <w:color w:val="auto"/>
              </w:rPr>
              <w:t>Exercise of stock options</w:t>
            </w:r>
          </w:p>
        </w:tc>
        <w:tc>
          <w:tcPr>
            <w:tcW w:w="80" w:type="dxa"/>
            <w:vAlign w:val="bottom"/>
            <w:shd w:val="clear" w:color="auto" w:fill="CCEEFF"/>
          </w:tcPr>
          <w:p>
            <w:pPr>
              <w:spacing w:after="0"/>
              <w:rPr>
                <w:sz w:val="9"/>
                <w:szCs w:val="9"/>
                <w:color w:val="auto"/>
              </w:rPr>
            </w:pPr>
          </w:p>
        </w:tc>
        <w:tc>
          <w:tcPr>
            <w:tcW w:w="480" w:type="dxa"/>
            <w:vAlign w:val="bottom"/>
            <w:gridSpan w:val="2"/>
            <w:shd w:val="clear" w:color="auto" w:fill="CCEEFF"/>
          </w:tcPr>
          <w:p>
            <w:pPr>
              <w:jc w:val="right"/>
              <w:ind w:right="120"/>
              <w:spacing w:after="0" w:line="108" w:lineRule="exact"/>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20" w:type="dxa"/>
            <w:vAlign w:val="bottom"/>
            <w:gridSpan w:val="2"/>
            <w:shd w:val="clear" w:color="auto" w:fill="CCEEFF"/>
          </w:tcPr>
          <w:p>
            <w:pPr>
              <w:jc w:val="right"/>
              <w:ind w:right="120"/>
              <w:spacing w:after="0" w:line="108" w:lineRule="exact"/>
              <w:rPr>
                <w:sz w:val="20"/>
                <w:szCs w:val="20"/>
                <w:color w:val="auto"/>
              </w:rPr>
            </w:pPr>
            <w:r>
              <w:rPr>
                <w:rFonts w:ascii="Arial" w:cs="Arial" w:eastAsia="Arial" w:hAnsi="Arial"/>
                <w:sz w:val="10"/>
                <w:szCs w:val="10"/>
                <w:color w:val="auto"/>
              </w:rPr>
              <w:t>—</w:t>
            </w:r>
          </w:p>
        </w:tc>
        <w:tc>
          <w:tcPr>
            <w:tcW w:w="460" w:type="dxa"/>
            <w:vAlign w:val="bottom"/>
            <w:gridSpan w:val="2"/>
            <w:shd w:val="clear" w:color="auto" w:fill="CCEEFF"/>
          </w:tcPr>
          <w:p>
            <w:pPr>
              <w:jc w:val="right"/>
              <w:spacing w:after="0" w:line="108" w:lineRule="exact"/>
              <w:rPr>
                <w:sz w:val="20"/>
                <w:szCs w:val="20"/>
                <w:color w:val="auto"/>
              </w:rPr>
            </w:pPr>
            <w:r>
              <w:rPr>
                <w:rFonts w:ascii="Arial" w:cs="Arial" w:eastAsia="Arial" w:hAnsi="Arial"/>
                <w:sz w:val="10"/>
                <w:szCs w:val="10"/>
                <w:color w:val="auto"/>
              </w:rPr>
              <w:t>4.2</w:t>
            </w:r>
          </w:p>
        </w:tc>
        <w:tc>
          <w:tcPr>
            <w:tcW w:w="1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10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w w:val="79"/>
              </w:rPr>
              <w:t>—</w:t>
            </w:r>
          </w:p>
        </w:tc>
        <w:tc>
          <w:tcPr>
            <w:tcW w:w="1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6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rPr>
              <w:t>8.2</w:t>
            </w:r>
          </w:p>
        </w:tc>
        <w:tc>
          <w:tcPr>
            <w:tcW w:w="1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8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rPr>
              <w:t>—</w:t>
            </w:r>
          </w:p>
        </w:tc>
        <w:tc>
          <w:tcPr>
            <w:tcW w:w="1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00" w:type="dxa"/>
            <w:vAlign w:val="bottom"/>
            <w:gridSpan w:val="2"/>
            <w:shd w:val="clear" w:color="auto" w:fill="CCEEFF"/>
          </w:tcPr>
          <w:p>
            <w:pPr>
              <w:jc w:val="right"/>
              <w:ind w:right="120"/>
              <w:spacing w:after="0" w:line="108" w:lineRule="exact"/>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2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rPr>
              <w:t>8.2</w:t>
            </w:r>
          </w:p>
        </w:tc>
        <w:tc>
          <w:tcPr>
            <w:tcW w:w="60" w:type="dxa"/>
            <w:vAlign w:val="bottom"/>
            <w:shd w:val="clear" w:color="auto" w:fill="CCEEFF"/>
          </w:tcPr>
          <w:p>
            <w:pPr>
              <w:spacing w:after="0"/>
              <w:rPr>
                <w:sz w:val="9"/>
                <w:szCs w:val="9"/>
                <w:color w:val="auto"/>
              </w:rPr>
            </w:pPr>
          </w:p>
        </w:tc>
      </w:tr>
      <w:tr>
        <w:trPr>
          <w:trHeight w:val="111"/>
        </w:trPr>
        <w:tc>
          <w:tcPr>
            <w:tcW w:w="1520" w:type="dxa"/>
            <w:vAlign w:val="bottom"/>
          </w:tcPr>
          <w:p>
            <w:pPr>
              <w:ind w:left="200"/>
              <w:spacing w:after="0" w:line="112" w:lineRule="exact"/>
              <w:rPr>
                <w:sz w:val="20"/>
                <w:szCs w:val="20"/>
                <w:color w:val="auto"/>
              </w:rPr>
            </w:pPr>
            <w:r>
              <w:rPr>
                <w:rFonts w:ascii="Arial" w:cs="Arial" w:eastAsia="Arial" w:hAnsi="Arial"/>
                <w:sz w:val="10"/>
                <w:szCs w:val="10"/>
                <w:color w:val="auto"/>
              </w:rPr>
              <w:t>Stock-based compensation</w:t>
            </w: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r>
      <w:tr>
        <w:trPr>
          <w:trHeight w:val="105"/>
        </w:trPr>
        <w:tc>
          <w:tcPr>
            <w:tcW w:w="1520" w:type="dxa"/>
            <w:vAlign w:val="bottom"/>
          </w:tcPr>
          <w:p>
            <w:pPr>
              <w:ind w:left="280"/>
              <w:spacing w:after="0" w:line="105" w:lineRule="exact"/>
              <w:rPr>
                <w:sz w:val="20"/>
                <w:szCs w:val="20"/>
                <w:color w:val="auto"/>
              </w:rPr>
            </w:pPr>
            <w:r>
              <w:rPr>
                <w:rFonts w:ascii="Arial" w:cs="Arial" w:eastAsia="Arial" w:hAnsi="Arial"/>
                <w:sz w:val="10"/>
                <w:szCs w:val="10"/>
                <w:color w:val="auto"/>
              </w:rPr>
              <w:t>expense</w:t>
            </w:r>
          </w:p>
        </w:tc>
        <w:tc>
          <w:tcPr>
            <w:tcW w:w="80" w:type="dxa"/>
            <w:vAlign w:val="bottom"/>
          </w:tcPr>
          <w:p>
            <w:pPr>
              <w:spacing w:after="0"/>
              <w:rPr>
                <w:sz w:val="9"/>
                <w:szCs w:val="9"/>
                <w:color w:val="auto"/>
              </w:rPr>
            </w:pPr>
          </w:p>
        </w:tc>
        <w:tc>
          <w:tcPr>
            <w:tcW w:w="480" w:type="dxa"/>
            <w:vAlign w:val="bottom"/>
            <w:gridSpan w:val="2"/>
          </w:tcPr>
          <w:p>
            <w:pPr>
              <w:jc w:val="right"/>
              <w:ind w:right="120"/>
              <w:spacing w:after="0" w:line="105" w:lineRule="exact"/>
              <w:rPr>
                <w:sz w:val="20"/>
                <w:szCs w:val="20"/>
                <w:color w:val="auto"/>
              </w:rPr>
            </w:pPr>
            <w:r>
              <w:rPr>
                <w:rFonts w:ascii="Arial" w:cs="Arial" w:eastAsia="Arial" w:hAnsi="Arial"/>
                <w:sz w:val="10"/>
                <w:szCs w:val="10"/>
                <w:color w:val="auto"/>
              </w:rPr>
              <w:t>—</w:t>
            </w: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gridSpan w:val="2"/>
          </w:tcPr>
          <w:p>
            <w:pPr>
              <w:jc w:val="right"/>
              <w:ind w:right="120"/>
              <w:spacing w:after="0" w:line="105" w:lineRule="exact"/>
              <w:rPr>
                <w:sz w:val="20"/>
                <w:szCs w:val="20"/>
                <w:color w:val="auto"/>
              </w:rPr>
            </w:pPr>
            <w:r>
              <w:rPr>
                <w:rFonts w:ascii="Arial" w:cs="Arial" w:eastAsia="Arial" w:hAnsi="Arial"/>
                <w:sz w:val="10"/>
                <w:szCs w:val="10"/>
                <w:color w:val="auto"/>
              </w:rPr>
              <w:t>—</w:t>
            </w:r>
          </w:p>
        </w:tc>
        <w:tc>
          <w:tcPr>
            <w:tcW w:w="100" w:type="dxa"/>
            <w:vAlign w:val="bottom"/>
          </w:tcPr>
          <w:p>
            <w:pPr>
              <w:spacing w:after="0"/>
              <w:rPr>
                <w:sz w:val="9"/>
                <w:szCs w:val="9"/>
                <w:color w:val="auto"/>
              </w:rPr>
            </w:pPr>
          </w:p>
        </w:tc>
        <w:tc>
          <w:tcPr>
            <w:tcW w:w="480" w:type="dxa"/>
            <w:vAlign w:val="bottom"/>
            <w:gridSpan w:val="2"/>
          </w:tcPr>
          <w:p>
            <w:pPr>
              <w:jc w:val="right"/>
              <w:ind w:right="120"/>
              <w:spacing w:after="0" w:line="105" w:lineRule="exact"/>
              <w:rPr>
                <w:sz w:val="20"/>
                <w:szCs w:val="20"/>
                <w:color w:val="auto"/>
              </w:rPr>
            </w:pPr>
            <w:r>
              <w:rPr>
                <w:rFonts w:ascii="Arial" w:cs="Arial" w:eastAsia="Arial" w:hAnsi="Arial"/>
                <w:sz w:val="10"/>
                <w:szCs w:val="10"/>
                <w:color w:val="auto"/>
              </w:rPr>
              <w:t>—</w:t>
            </w: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Pr>
          <w:p>
            <w:pPr>
              <w:jc w:val="right"/>
              <w:spacing w:after="0" w:line="105" w:lineRule="exact"/>
              <w:rPr>
                <w:sz w:val="20"/>
                <w:szCs w:val="20"/>
                <w:color w:val="auto"/>
              </w:rPr>
            </w:pPr>
            <w:r>
              <w:rPr>
                <w:rFonts w:ascii="Arial" w:cs="Arial" w:eastAsia="Arial" w:hAnsi="Arial"/>
                <w:sz w:val="10"/>
                <w:szCs w:val="10"/>
                <w:color w:val="auto"/>
                <w:w w:val="79"/>
              </w:rPr>
              <w:t>—</w:t>
            </w: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jc w:val="right"/>
              <w:spacing w:after="0" w:line="105" w:lineRule="exact"/>
              <w:rPr>
                <w:sz w:val="20"/>
                <w:szCs w:val="20"/>
                <w:color w:val="auto"/>
              </w:rPr>
            </w:pPr>
            <w:r>
              <w:rPr>
                <w:rFonts w:ascii="Arial" w:cs="Arial" w:eastAsia="Arial" w:hAnsi="Arial"/>
                <w:sz w:val="10"/>
                <w:szCs w:val="10"/>
                <w:color w:val="auto"/>
              </w:rPr>
              <w:t>62.1</w:t>
            </w: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80" w:type="dxa"/>
            <w:vAlign w:val="bottom"/>
          </w:tcPr>
          <w:p>
            <w:pPr>
              <w:jc w:val="right"/>
              <w:spacing w:after="0" w:line="105" w:lineRule="exact"/>
              <w:rPr>
                <w:sz w:val="20"/>
                <w:szCs w:val="20"/>
                <w:color w:val="auto"/>
              </w:rPr>
            </w:pPr>
            <w:r>
              <w:rPr>
                <w:rFonts w:ascii="Arial" w:cs="Arial" w:eastAsia="Arial" w:hAnsi="Arial"/>
                <w:sz w:val="10"/>
                <w:szCs w:val="10"/>
                <w:color w:val="auto"/>
              </w:rPr>
              <w:t>—</w:t>
            </w: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gridSpan w:val="2"/>
          </w:tcPr>
          <w:p>
            <w:pPr>
              <w:jc w:val="right"/>
              <w:ind w:right="120"/>
              <w:spacing w:after="0" w:line="105" w:lineRule="exact"/>
              <w:rPr>
                <w:sz w:val="20"/>
                <w:szCs w:val="20"/>
                <w:color w:val="auto"/>
              </w:rPr>
            </w:pPr>
            <w:r>
              <w:rPr>
                <w:rFonts w:ascii="Arial" w:cs="Arial" w:eastAsia="Arial" w:hAnsi="Arial"/>
                <w:sz w:val="10"/>
                <w:szCs w:val="10"/>
                <w:color w:val="auto"/>
              </w:rPr>
              <w:t>—</w:t>
            </w: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jc w:val="right"/>
              <w:spacing w:after="0" w:line="105" w:lineRule="exact"/>
              <w:rPr>
                <w:sz w:val="20"/>
                <w:szCs w:val="20"/>
                <w:color w:val="auto"/>
              </w:rPr>
            </w:pPr>
            <w:r>
              <w:rPr>
                <w:rFonts w:ascii="Arial" w:cs="Arial" w:eastAsia="Arial" w:hAnsi="Arial"/>
                <w:sz w:val="10"/>
                <w:szCs w:val="10"/>
                <w:color w:val="auto"/>
              </w:rPr>
              <w:t>62.1</w:t>
            </w:r>
          </w:p>
        </w:tc>
        <w:tc>
          <w:tcPr>
            <w:tcW w:w="60" w:type="dxa"/>
            <w:vAlign w:val="bottom"/>
          </w:tcPr>
          <w:p>
            <w:pPr>
              <w:spacing w:after="0"/>
              <w:rPr>
                <w:sz w:val="9"/>
                <w:szCs w:val="9"/>
                <w:color w:val="auto"/>
              </w:rPr>
            </w:pPr>
          </w:p>
        </w:tc>
      </w:tr>
      <w:tr>
        <w:trPr>
          <w:trHeight w:val="108"/>
        </w:trPr>
        <w:tc>
          <w:tcPr>
            <w:tcW w:w="1520" w:type="dxa"/>
            <w:vAlign w:val="bottom"/>
            <w:shd w:val="clear" w:color="auto" w:fill="CCEEFF"/>
          </w:tcPr>
          <w:p>
            <w:pPr>
              <w:ind w:left="200"/>
              <w:spacing w:after="0" w:line="108" w:lineRule="exact"/>
              <w:rPr>
                <w:sz w:val="20"/>
                <w:szCs w:val="20"/>
                <w:color w:val="auto"/>
              </w:rPr>
            </w:pPr>
            <w:r>
              <w:rPr>
                <w:rFonts w:ascii="Arial" w:cs="Arial" w:eastAsia="Arial" w:hAnsi="Arial"/>
                <w:sz w:val="10"/>
                <w:szCs w:val="10"/>
                <w:color w:val="auto"/>
                <w:w w:val="99"/>
              </w:rPr>
              <w:t>Other comprehensive income</w:t>
            </w:r>
          </w:p>
        </w:tc>
        <w:tc>
          <w:tcPr>
            <w:tcW w:w="80" w:type="dxa"/>
            <w:vAlign w:val="bottom"/>
            <w:shd w:val="clear" w:color="auto" w:fill="CCEEFF"/>
          </w:tcPr>
          <w:p>
            <w:pPr>
              <w:spacing w:after="0"/>
              <w:rPr>
                <w:sz w:val="9"/>
                <w:szCs w:val="9"/>
                <w:color w:val="auto"/>
              </w:rPr>
            </w:pPr>
          </w:p>
        </w:tc>
        <w:tc>
          <w:tcPr>
            <w:tcW w:w="480" w:type="dxa"/>
            <w:vAlign w:val="bottom"/>
            <w:gridSpan w:val="2"/>
            <w:shd w:val="clear" w:color="auto" w:fill="CCEEFF"/>
          </w:tcPr>
          <w:p>
            <w:pPr>
              <w:jc w:val="right"/>
              <w:ind w:right="120"/>
              <w:spacing w:after="0" w:line="108" w:lineRule="exact"/>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20" w:type="dxa"/>
            <w:vAlign w:val="bottom"/>
            <w:gridSpan w:val="2"/>
            <w:shd w:val="clear" w:color="auto" w:fill="CCEEFF"/>
          </w:tcPr>
          <w:p>
            <w:pPr>
              <w:jc w:val="right"/>
              <w:ind w:right="120"/>
              <w:spacing w:after="0" w:line="108" w:lineRule="exact"/>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9"/>
                <w:szCs w:val="9"/>
                <w:color w:val="auto"/>
              </w:rPr>
            </w:pPr>
          </w:p>
        </w:tc>
        <w:tc>
          <w:tcPr>
            <w:tcW w:w="480" w:type="dxa"/>
            <w:vAlign w:val="bottom"/>
            <w:gridSpan w:val="2"/>
            <w:shd w:val="clear" w:color="auto" w:fill="CCEEFF"/>
          </w:tcPr>
          <w:p>
            <w:pPr>
              <w:jc w:val="right"/>
              <w:ind w:right="120"/>
              <w:spacing w:after="0" w:line="108" w:lineRule="exact"/>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10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w w:val="79"/>
              </w:rPr>
              <w:t>—</w:t>
            </w:r>
          </w:p>
        </w:tc>
        <w:tc>
          <w:tcPr>
            <w:tcW w:w="1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6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rPr>
              <w:t>—</w:t>
            </w:r>
          </w:p>
        </w:tc>
        <w:tc>
          <w:tcPr>
            <w:tcW w:w="1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8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rPr>
              <w:t>0.2</w:t>
            </w:r>
          </w:p>
        </w:tc>
        <w:tc>
          <w:tcPr>
            <w:tcW w:w="1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00" w:type="dxa"/>
            <w:vAlign w:val="bottom"/>
            <w:gridSpan w:val="2"/>
            <w:shd w:val="clear" w:color="auto" w:fill="CCEEFF"/>
          </w:tcPr>
          <w:p>
            <w:pPr>
              <w:jc w:val="right"/>
              <w:ind w:right="120"/>
              <w:spacing w:after="0" w:line="108" w:lineRule="exact"/>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2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rPr>
              <w:t>0.2</w:t>
            </w:r>
          </w:p>
        </w:tc>
        <w:tc>
          <w:tcPr>
            <w:tcW w:w="60" w:type="dxa"/>
            <w:vAlign w:val="bottom"/>
            <w:shd w:val="clear" w:color="auto" w:fill="CCEEFF"/>
          </w:tcPr>
          <w:p>
            <w:pPr>
              <w:spacing w:after="0"/>
              <w:rPr>
                <w:sz w:val="9"/>
                <w:szCs w:val="9"/>
                <w:color w:val="auto"/>
              </w:rPr>
            </w:pPr>
          </w:p>
        </w:tc>
      </w:tr>
      <w:tr>
        <w:trPr>
          <w:trHeight w:val="108"/>
        </w:trPr>
        <w:tc>
          <w:tcPr>
            <w:tcW w:w="1520" w:type="dxa"/>
            <w:vAlign w:val="bottom"/>
          </w:tcPr>
          <w:p>
            <w:pPr>
              <w:ind w:left="200"/>
              <w:spacing w:after="0" w:line="108" w:lineRule="exact"/>
              <w:rPr>
                <w:sz w:val="20"/>
                <w:szCs w:val="20"/>
                <w:color w:val="auto"/>
              </w:rPr>
            </w:pPr>
            <w:r>
              <w:rPr>
                <w:rFonts w:ascii="Arial" w:cs="Arial" w:eastAsia="Arial" w:hAnsi="Arial"/>
                <w:sz w:val="10"/>
                <w:szCs w:val="10"/>
                <w:color w:val="auto"/>
              </w:rPr>
              <w:t>Net loss</w:t>
            </w:r>
          </w:p>
        </w:tc>
        <w:tc>
          <w:tcPr>
            <w:tcW w:w="80" w:type="dxa"/>
            <w:vAlign w:val="bottom"/>
          </w:tcPr>
          <w:p>
            <w:pPr>
              <w:spacing w:after="0"/>
              <w:rPr>
                <w:sz w:val="9"/>
                <w:szCs w:val="9"/>
                <w:color w:val="auto"/>
              </w:rPr>
            </w:pPr>
          </w:p>
        </w:tc>
        <w:tc>
          <w:tcPr>
            <w:tcW w:w="480" w:type="dxa"/>
            <w:vAlign w:val="bottom"/>
            <w:gridSpan w:val="2"/>
          </w:tcPr>
          <w:p>
            <w:pPr>
              <w:jc w:val="right"/>
              <w:ind w:right="120"/>
              <w:spacing w:after="0" w:line="108" w:lineRule="exact"/>
              <w:rPr>
                <w:sz w:val="20"/>
                <w:szCs w:val="20"/>
                <w:color w:val="auto"/>
              </w:rPr>
            </w:pPr>
            <w:r>
              <w:rPr>
                <w:rFonts w:ascii="Arial" w:cs="Arial" w:eastAsia="Arial" w:hAnsi="Arial"/>
                <w:sz w:val="10"/>
                <w:szCs w:val="10"/>
                <w:color w:val="auto"/>
              </w:rPr>
              <w:t>—</w:t>
            </w: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gridSpan w:val="2"/>
          </w:tcPr>
          <w:p>
            <w:pPr>
              <w:jc w:val="right"/>
              <w:ind w:right="120"/>
              <w:spacing w:after="0" w:line="108" w:lineRule="exact"/>
              <w:rPr>
                <w:sz w:val="20"/>
                <w:szCs w:val="20"/>
                <w:color w:val="auto"/>
              </w:rPr>
            </w:pPr>
            <w:r>
              <w:rPr>
                <w:rFonts w:ascii="Arial" w:cs="Arial" w:eastAsia="Arial" w:hAnsi="Arial"/>
                <w:sz w:val="10"/>
                <w:szCs w:val="10"/>
                <w:color w:val="auto"/>
              </w:rPr>
              <w:t>—</w:t>
            </w:r>
          </w:p>
        </w:tc>
        <w:tc>
          <w:tcPr>
            <w:tcW w:w="100" w:type="dxa"/>
            <w:vAlign w:val="bottom"/>
          </w:tcPr>
          <w:p>
            <w:pPr>
              <w:spacing w:after="0"/>
              <w:rPr>
                <w:sz w:val="9"/>
                <w:szCs w:val="9"/>
                <w:color w:val="auto"/>
              </w:rPr>
            </w:pPr>
          </w:p>
        </w:tc>
        <w:tc>
          <w:tcPr>
            <w:tcW w:w="480" w:type="dxa"/>
            <w:vAlign w:val="bottom"/>
            <w:gridSpan w:val="2"/>
          </w:tcPr>
          <w:p>
            <w:pPr>
              <w:jc w:val="right"/>
              <w:ind w:right="120"/>
              <w:spacing w:after="0" w:line="108" w:lineRule="exact"/>
              <w:rPr>
                <w:sz w:val="20"/>
                <w:szCs w:val="20"/>
                <w:color w:val="auto"/>
              </w:rPr>
            </w:pPr>
            <w:r>
              <w:rPr>
                <w:rFonts w:ascii="Arial" w:cs="Arial" w:eastAsia="Arial" w:hAnsi="Arial"/>
                <w:sz w:val="10"/>
                <w:szCs w:val="10"/>
                <w:color w:val="auto"/>
              </w:rPr>
              <w:t>—</w:t>
            </w: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Pr>
          <w:p>
            <w:pPr>
              <w:jc w:val="right"/>
              <w:spacing w:after="0" w:line="108" w:lineRule="exact"/>
              <w:rPr>
                <w:sz w:val="20"/>
                <w:szCs w:val="20"/>
                <w:color w:val="auto"/>
              </w:rPr>
            </w:pPr>
            <w:r>
              <w:rPr>
                <w:rFonts w:ascii="Arial" w:cs="Arial" w:eastAsia="Arial" w:hAnsi="Arial"/>
                <w:sz w:val="10"/>
                <w:szCs w:val="10"/>
                <w:color w:val="auto"/>
                <w:w w:val="79"/>
              </w:rPr>
              <w:t>—</w:t>
            </w: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jc w:val="right"/>
              <w:spacing w:after="0" w:line="108" w:lineRule="exact"/>
              <w:rPr>
                <w:sz w:val="20"/>
                <w:szCs w:val="20"/>
                <w:color w:val="auto"/>
              </w:rPr>
            </w:pPr>
            <w:r>
              <w:rPr>
                <w:rFonts w:ascii="Arial" w:cs="Arial" w:eastAsia="Arial" w:hAnsi="Arial"/>
                <w:sz w:val="10"/>
                <w:szCs w:val="10"/>
                <w:color w:val="auto"/>
              </w:rPr>
              <w:t>—</w:t>
            </w: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80" w:type="dxa"/>
            <w:vAlign w:val="bottom"/>
          </w:tcPr>
          <w:p>
            <w:pPr>
              <w:jc w:val="right"/>
              <w:spacing w:after="0" w:line="108" w:lineRule="exact"/>
              <w:rPr>
                <w:sz w:val="20"/>
                <w:szCs w:val="20"/>
                <w:color w:val="auto"/>
              </w:rPr>
            </w:pPr>
            <w:r>
              <w:rPr>
                <w:rFonts w:ascii="Arial" w:cs="Arial" w:eastAsia="Arial" w:hAnsi="Arial"/>
                <w:sz w:val="10"/>
                <w:szCs w:val="10"/>
                <w:color w:val="auto"/>
              </w:rPr>
              <w:t>—</w:t>
            </w: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gridSpan w:val="2"/>
          </w:tcPr>
          <w:p>
            <w:pPr>
              <w:jc w:val="right"/>
              <w:ind w:right="80"/>
              <w:spacing w:after="0" w:line="108" w:lineRule="exact"/>
              <w:rPr>
                <w:sz w:val="20"/>
                <w:szCs w:val="20"/>
                <w:color w:val="auto"/>
              </w:rPr>
            </w:pPr>
            <w:r>
              <w:rPr>
                <w:rFonts w:ascii="Arial" w:cs="Arial" w:eastAsia="Arial" w:hAnsi="Arial"/>
                <w:sz w:val="10"/>
                <w:szCs w:val="10"/>
                <w:color w:val="auto"/>
              </w:rPr>
              <w:t>(195.6)</w:t>
            </w: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gridSpan w:val="2"/>
          </w:tcPr>
          <w:p>
            <w:pPr>
              <w:jc w:val="right"/>
              <w:ind w:right="40"/>
              <w:spacing w:after="0" w:line="108" w:lineRule="exact"/>
              <w:rPr>
                <w:sz w:val="20"/>
                <w:szCs w:val="20"/>
                <w:color w:val="auto"/>
              </w:rPr>
            </w:pPr>
            <w:r>
              <w:rPr>
                <w:rFonts w:ascii="Arial" w:cs="Arial" w:eastAsia="Arial" w:hAnsi="Arial"/>
                <w:sz w:val="10"/>
                <w:szCs w:val="10"/>
                <w:color w:val="auto"/>
              </w:rPr>
              <w:t>(195.6)</w:t>
            </w:r>
          </w:p>
        </w:tc>
      </w:tr>
      <w:tr>
        <w:trPr>
          <w:trHeight w:val="20"/>
        </w:trPr>
        <w:tc>
          <w:tcPr>
            <w:tcW w:w="1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06"/>
        </w:trPr>
        <w:tc>
          <w:tcPr>
            <w:tcW w:w="1520" w:type="dxa"/>
            <w:vAlign w:val="bottom"/>
            <w:shd w:val="clear" w:color="auto" w:fill="CCEEFF"/>
          </w:tcPr>
          <w:p>
            <w:pPr>
              <w:spacing w:after="0" w:line="106" w:lineRule="exact"/>
              <w:rPr>
                <w:sz w:val="20"/>
                <w:szCs w:val="20"/>
                <w:color w:val="auto"/>
              </w:rPr>
            </w:pPr>
            <w:r>
              <w:rPr>
                <w:rFonts w:ascii="Arial" w:cs="Arial" w:eastAsia="Arial" w:hAnsi="Arial"/>
                <w:sz w:val="10"/>
                <w:szCs w:val="10"/>
                <w:color w:val="auto"/>
              </w:rPr>
              <w:t>Balance — June 30, 2019</w:t>
            </w:r>
          </w:p>
        </w:tc>
        <w:tc>
          <w:tcPr>
            <w:tcW w:w="80" w:type="dxa"/>
            <w:vAlign w:val="bottom"/>
            <w:shd w:val="clear" w:color="auto" w:fill="CCEEFF"/>
          </w:tcPr>
          <w:p>
            <w:pPr>
              <w:spacing w:after="0"/>
              <w:rPr>
                <w:sz w:val="9"/>
                <w:szCs w:val="9"/>
                <w:color w:val="auto"/>
              </w:rPr>
            </w:pPr>
          </w:p>
        </w:tc>
        <w:tc>
          <w:tcPr>
            <w:tcW w:w="360" w:type="dxa"/>
            <w:vAlign w:val="bottom"/>
            <w:shd w:val="clear" w:color="auto" w:fill="CCEEFF"/>
          </w:tcPr>
          <w:p>
            <w:pPr>
              <w:jc w:val="right"/>
              <w:spacing w:after="0" w:line="106" w:lineRule="exact"/>
              <w:rPr>
                <w:sz w:val="20"/>
                <w:szCs w:val="20"/>
                <w:color w:val="auto"/>
              </w:rPr>
            </w:pPr>
            <w:r>
              <w:rPr>
                <w:rFonts w:ascii="Arial" w:cs="Arial" w:eastAsia="Arial" w:hAnsi="Arial"/>
                <w:sz w:val="10"/>
                <w:szCs w:val="10"/>
                <w:color w:val="auto"/>
              </w:rPr>
              <w:t>210.6</w:t>
            </w:r>
          </w:p>
        </w:tc>
        <w:tc>
          <w:tcPr>
            <w:tcW w:w="120" w:type="dxa"/>
            <w:vAlign w:val="bottom"/>
            <w:shd w:val="clear" w:color="auto" w:fill="CCEEFF"/>
          </w:tcPr>
          <w:p>
            <w:pPr>
              <w:spacing w:after="0"/>
              <w:rPr>
                <w:sz w:val="9"/>
                <w:szCs w:val="9"/>
                <w:color w:val="auto"/>
              </w:rPr>
            </w:pPr>
          </w:p>
        </w:tc>
        <w:tc>
          <w:tcPr>
            <w:tcW w:w="200" w:type="dxa"/>
            <w:vAlign w:val="bottom"/>
            <w:gridSpan w:val="2"/>
            <w:shd w:val="clear" w:color="auto" w:fill="CCEEFF"/>
          </w:tcPr>
          <w:p>
            <w:pPr>
              <w:ind w:left="80"/>
              <w:spacing w:after="0" w:line="106" w:lineRule="exact"/>
              <w:rPr>
                <w:sz w:val="20"/>
                <w:szCs w:val="20"/>
                <w:color w:val="auto"/>
              </w:rPr>
            </w:pPr>
            <w:r>
              <w:rPr>
                <w:rFonts w:ascii="Arial" w:cs="Arial" w:eastAsia="Arial" w:hAnsi="Arial"/>
                <w:sz w:val="10"/>
                <w:szCs w:val="10"/>
                <w:color w:val="auto"/>
              </w:rPr>
              <w:t>$</w:t>
            </w:r>
          </w:p>
        </w:tc>
        <w:tc>
          <w:tcPr>
            <w:tcW w:w="300" w:type="dxa"/>
            <w:vAlign w:val="bottom"/>
            <w:shd w:val="clear" w:color="auto" w:fill="CCEEFF"/>
          </w:tcPr>
          <w:p>
            <w:pPr>
              <w:jc w:val="right"/>
              <w:spacing w:after="0" w:line="106" w:lineRule="exact"/>
              <w:rPr>
                <w:sz w:val="20"/>
                <w:szCs w:val="20"/>
                <w:color w:val="auto"/>
              </w:rPr>
            </w:pPr>
            <w:r>
              <w:rPr>
                <w:rFonts w:ascii="Arial" w:cs="Arial" w:eastAsia="Arial" w:hAnsi="Arial"/>
                <w:sz w:val="10"/>
                <w:szCs w:val="10"/>
                <w:color w:val="auto"/>
              </w:rPr>
              <w:t>941.1</w:t>
            </w:r>
          </w:p>
        </w:tc>
        <w:tc>
          <w:tcPr>
            <w:tcW w:w="120" w:type="dxa"/>
            <w:vAlign w:val="bottom"/>
            <w:shd w:val="clear" w:color="auto" w:fill="CCEEFF"/>
          </w:tcPr>
          <w:p>
            <w:pPr>
              <w:spacing w:after="0"/>
              <w:rPr>
                <w:sz w:val="9"/>
                <w:szCs w:val="9"/>
                <w:color w:val="auto"/>
              </w:rPr>
            </w:pPr>
          </w:p>
        </w:tc>
        <w:tc>
          <w:tcPr>
            <w:tcW w:w="460" w:type="dxa"/>
            <w:vAlign w:val="bottom"/>
            <w:gridSpan w:val="2"/>
            <w:shd w:val="clear" w:color="auto" w:fill="CCEEFF"/>
          </w:tcPr>
          <w:p>
            <w:pPr>
              <w:jc w:val="right"/>
              <w:spacing w:after="0" w:line="106" w:lineRule="exact"/>
              <w:rPr>
                <w:sz w:val="20"/>
                <w:szCs w:val="20"/>
                <w:color w:val="auto"/>
              </w:rPr>
            </w:pPr>
            <w:r>
              <w:rPr>
                <w:rFonts w:ascii="Arial" w:cs="Arial" w:eastAsia="Arial" w:hAnsi="Arial"/>
                <w:sz w:val="10"/>
                <w:szCs w:val="10"/>
                <w:color w:val="auto"/>
              </w:rPr>
              <w:t>25.3</w:t>
            </w:r>
          </w:p>
        </w:tc>
        <w:tc>
          <w:tcPr>
            <w:tcW w:w="120" w:type="dxa"/>
            <w:vAlign w:val="bottom"/>
            <w:shd w:val="clear" w:color="auto" w:fill="CCEEFF"/>
          </w:tcPr>
          <w:p>
            <w:pPr>
              <w:spacing w:after="0"/>
              <w:rPr>
                <w:sz w:val="9"/>
                <w:szCs w:val="9"/>
                <w:color w:val="auto"/>
              </w:rPr>
            </w:pPr>
          </w:p>
        </w:tc>
        <w:tc>
          <w:tcPr>
            <w:tcW w:w="400" w:type="dxa"/>
            <w:vAlign w:val="bottom"/>
            <w:gridSpan w:val="2"/>
            <w:shd w:val="clear" w:color="auto" w:fill="CCEEFF"/>
          </w:tcPr>
          <w:p>
            <w:pPr>
              <w:jc w:val="right"/>
              <w:ind w:right="260"/>
              <w:spacing w:after="0" w:line="106" w:lineRule="exact"/>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jc w:val="right"/>
              <w:spacing w:after="0" w:line="106" w:lineRule="exact"/>
              <w:rPr>
                <w:sz w:val="20"/>
                <w:szCs w:val="20"/>
                <w:color w:val="auto"/>
              </w:rPr>
            </w:pPr>
            <w:r>
              <w:rPr>
                <w:rFonts w:ascii="Arial" w:cs="Arial" w:eastAsia="Arial" w:hAnsi="Arial"/>
                <w:sz w:val="10"/>
                <w:szCs w:val="10"/>
                <w:color w:val="auto"/>
                <w:w w:val="79"/>
              </w:rPr>
              <w:t>—</w:t>
            </w:r>
          </w:p>
        </w:tc>
        <w:tc>
          <w:tcPr>
            <w:tcW w:w="260" w:type="dxa"/>
            <w:vAlign w:val="bottom"/>
            <w:gridSpan w:val="2"/>
            <w:shd w:val="clear" w:color="auto" w:fill="CCEEFF"/>
          </w:tcPr>
          <w:p>
            <w:pPr>
              <w:ind w:left="180"/>
              <w:spacing w:after="0" w:line="106" w:lineRule="exact"/>
              <w:rPr>
                <w:sz w:val="20"/>
                <w:szCs w:val="20"/>
                <w:color w:val="auto"/>
              </w:rPr>
            </w:pPr>
            <w:r>
              <w:rPr>
                <w:rFonts w:ascii="Arial" w:cs="Arial" w:eastAsia="Arial" w:hAnsi="Arial"/>
                <w:sz w:val="10"/>
                <w:szCs w:val="10"/>
                <w:color w:val="auto"/>
              </w:rPr>
              <w:t>$</w:t>
            </w:r>
          </w:p>
        </w:tc>
        <w:tc>
          <w:tcPr>
            <w:tcW w:w="460" w:type="dxa"/>
            <w:vAlign w:val="bottom"/>
            <w:shd w:val="clear" w:color="auto" w:fill="CCEEFF"/>
          </w:tcPr>
          <w:p>
            <w:pPr>
              <w:jc w:val="right"/>
              <w:spacing w:after="0" w:line="106" w:lineRule="exact"/>
              <w:rPr>
                <w:sz w:val="20"/>
                <w:szCs w:val="20"/>
                <w:color w:val="auto"/>
              </w:rPr>
            </w:pPr>
            <w:r>
              <w:rPr>
                <w:rFonts w:ascii="Arial" w:cs="Arial" w:eastAsia="Arial" w:hAnsi="Arial"/>
                <w:sz w:val="10"/>
                <w:szCs w:val="10"/>
                <w:color w:val="auto"/>
              </w:rPr>
              <w:t>90.7</w:t>
            </w:r>
          </w:p>
        </w:tc>
        <w:tc>
          <w:tcPr>
            <w:tcW w:w="320" w:type="dxa"/>
            <w:vAlign w:val="bottom"/>
            <w:gridSpan w:val="2"/>
            <w:shd w:val="clear" w:color="auto" w:fill="CCEEFF"/>
          </w:tcPr>
          <w:p>
            <w:pPr>
              <w:ind w:left="180"/>
              <w:spacing w:after="0" w:line="106" w:lineRule="exact"/>
              <w:rPr>
                <w:sz w:val="20"/>
                <w:szCs w:val="20"/>
                <w:color w:val="auto"/>
              </w:rPr>
            </w:pPr>
            <w:r>
              <w:rPr>
                <w:rFonts w:ascii="Arial" w:cs="Arial" w:eastAsia="Arial" w:hAnsi="Arial"/>
                <w:sz w:val="10"/>
                <w:szCs w:val="10"/>
                <w:color w:val="auto"/>
              </w:rPr>
              <w:t>$</w:t>
            </w:r>
          </w:p>
        </w:tc>
        <w:tc>
          <w:tcPr>
            <w:tcW w:w="680" w:type="dxa"/>
            <w:vAlign w:val="bottom"/>
            <w:shd w:val="clear" w:color="auto" w:fill="CCEEFF"/>
          </w:tcPr>
          <w:p>
            <w:pPr>
              <w:jc w:val="right"/>
              <w:spacing w:after="0" w:line="106" w:lineRule="exact"/>
              <w:rPr>
                <w:sz w:val="20"/>
                <w:szCs w:val="20"/>
                <w:color w:val="auto"/>
              </w:rPr>
            </w:pPr>
            <w:r>
              <w:rPr>
                <w:rFonts w:ascii="Arial" w:cs="Arial" w:eastAsia="Arial" w:hAnsi="Arial"/>
                <w:sz w:val="10"/>
                <w:szCs w:val="10"/>
                <w:color w:val="auto"/>
              </w:rPr>
              <w:t>0.2</w:t>
            </w:r>
          </w:p>
        </w:tc>
        <w:tc>
          <w:tcPr>
            <w:tcW w:w="280" w:type="dxa"/>
            <w:vAlign w:val="bottom"/>
            <w:gridSpan w:val="2"/>
            <w:shd w:val="clear" w:color="auto" w:fill="CCEEFF"/>
          </w:tcPr>
          <w:p>
            <w:pPr>
              <w:ind w:left="180"/>
              <w:spacing w:after="0" w:line="106" w:lineRule="exact"/>
              <w:rPr>
                <w:sz w:val="20"/>
                <w:szCs w:val="20"/>
                <w:color w:val="auto"/>
              </w:rPr>
            </w:pPr>
            <w:r>
              <w:rPr>
                <w:rFonts w:ascii="Arial" w:cs="Arial" w:eastAsia="Arial" w:hAnsi="Arial"/>
                <w:sz w:val="10"/>
                <w:szCs w:val="10"/>
                <w:color w:val="auto"/>
              </w:rPr>
              <w:t>$</w:t>
            </w:r>
          </w:p>
        </w:tc>
        <w:tc>
          <w:tcPr>
            <w:tcW w:w="700" w:type="dxa"/>
            <w:vAlign w:val="bottom"/>
            <w:gridSpan w:val="2"/>
            <w:shd w:val="clear" w:color="auto" w:fill="CCEEFF"/>
          </w:tcPr>
          <w:p>
            <w:pPr>
              <w:jc w:val="right"/>
              <w:ind w:right="80"/>
              <w:spacing w:after="0" w:line="106" w:lineRule="exact"/>
              <w:rPr>
                <w:sz w:val="20"/>
                <w:szCs w:val="20"/>
                <w:color w:val="auto"/>
              </w:rPr>
            </w:pPr>
            <w:r>
              <w:rPr>
                <w:rFonts w:ascii="Arial" w:cs="Arial" w:eastAsia="Arial" w:hAnsi="Arial"/>
                <w:sz w:val="10"/>
                <w:szCs w:val="10"/>
                <w:color w:val="auto"/>
              </w:rPr>
              <w:t>(629.5)</w:t>
            </w:r>
          </w:p>
        </w:tc>
        <w:tc>
          <w:tcPr>
            <w:tcW w:w="200" w:type="dxa"/>
            <w:vAlign w:val="bottom"/>
            <w:gridSpan w:val="2"/>
            <w:shd w:val="clear" w:color="auto" w:fill="CCEEFF"/>
          </w:tcPr>
          <w:p>
            <w:pPr>
              <w:ind w:left="80"/>
              <w:spacing w:after="0" w:line="106" w:lineRule="exact"/>
              <w:rPr>
                <w:sz w:val="20"/>
                <w:szCs w:val="20"/>
                <w:color w:val="auto"/>
              </w:rPr>
            </w:pPr>
            <w:r>
              <w:rPr>
                <w:rFonts w:ascii="Arial" w:cs="Arial" w:eastAsia="Arial" w:hAnsi="Arial"/>
                <w:sz w:val="10"/>
                <w:szCs w:val="10"/>
                <w:color w:val="auto"/>
              </w:rPr>
              <w:t>$</w:t>
            </w:r>
          </w:p>
        </w:tc>
        <w:tc>
          <w:tcPr>
            <w:tcW w:w="680" w:type="dxa"/>
            <w:vAlign w:val="bottom"/>
            <w:gridSpan w:val="2"/>
            <w:shd w:val="clear" w:color="auto" w:fill="CCEEFF"/>
          </w:tcPr>
          <w:p>
            <w:pPr>
              <w:jc w:val="right"/>
              <w:ind w:right="40"/>
              <w:spacing w:after="0" w:line="106" w:lineRule="exact"/>
              <w:rPr>
                <w:sz w:val="20"/>
                <w:szCs w:val="20"/>
                <w:color w:val="auto"/>
              </w:rPr>
            </w:pPr>
            <w:r>
              <w:rPr>
                <w:rFonts w:ascii="Arial" w:cs="Arial" w:eastAsia="Arial" w:hAnsi="Arial"/>
                <w:sz w:val="10"/>
                <w:szCs w:val="10"/>
                <w:color w:val="auto"/>
              </w:rPr>
              <w:t>(538.6)</w:t>
            </w:r>
          </w:p>
        </w:tc>
      </w:tr>
      <w:tr>
        <w:trPr>
          <w:trHeight w:val="27"/>
        </w:trPr>
        <w:tc>
          <w:tcPr>
            <w:tcW w:w="152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bl>
    <w:p>
      <w:pPr>
        <w:spacing w:after="0" w:line="154" w:lineRule="exact"/>
        <w:rPr>
          <w:sz w:val="20"/>
          <w:szCs w:val="20"/>
          <w:color w:val="auto"/>
        </w:rPr>
      </w:pPr>
    </w:p>
    <w:p>
      <w:pPr>
        <w:jc w:val="center"/>
        <w:ind w:right="-1220"/>
        <w:spacing w:after="0"/>
        <w:rPr>
          <w:sz w:val="20"/>
          <w:szCs w:val="20"/>
          <w:color w:val="auto"/>
        </w:rPr>
      </w:pPr>
      <w:r>
        <w:rPr>
          <w:rFonts w:ascii="Arial" w:cs="Arial" w:eastAsia="Arial" w:hAnsi="Arial"/>
          <w:sz w:val="11"/>
          <w:szCs w:val="11"/>
          <w:color w:val="auto"/>
        </w:rPr>
        <w:t>See accompanying notes to these consolidated financial statements.</w:t>
      </w:r>
    </w:p>
    <w:p>
      <w:pPr>
        <w:spacing w:after="0" w:line="99" w:lineRule="exact"/>
        <w:rPr>
          <w:sz w:val="20"/>
          <w:szCs w:val="20"/>
          <w:color w:val="auto"/>
        </w:rPr>
      </w:pPr>
    </w:p>
    <w:p>
      <w:pPr>
        <w:jc w:val="center"/>
        <w:ind w:right="-1220"/>
        <w:spacing w:after="0"/>
        <w:rPr>
          <w:sz w:val="20"/>
          <w:szCs w:val="20"/>
          <w:color w:val="auto"/>
        </w:rPr>
      </w:pPr>
      <w:r>
        <w:rPr>
          <w:rFonts w:ascii="Arial" w:cs="Arial" w:eastAsia="Arial" w:hAnsi="Arial"/>
          <w:sz w:val="11"/>
          <w:szCs w:val="11"/>
          <w:color w:val="auto"/>
        </w:rPr>
        <w:t>F-7</w:t>
      </w:r>
    </w:p>
    <w:p>
      <w:pPr>
        <w:sectPr>
          <w:pgSz w:w="11900" w:h="16838" w:orient="portrait"/>
          <w:cols w:equalWidth="0" w:num="1">
            <w:col w:w="10239"/>
          </w:cols>
          <w:pgMar w:left="220" w:top="354" w:right="1440" w:bottom="1440" w:gutter="0" w:footer="0" w:header="0"/>
        </w:sectPr>
      </w:pPr>
    </w:p>
    <w:bookmarkStart w:id="171" w:name="page172"/>
    <w:bookmarkEnd w:id="171"/>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hyperlink w:anchor="page5">
        <w:r>
          <w:rPr>
            <w:rFonts w:ascii="Arial" w:cs="Arial" w:eastAsia="Arial" w:hAnsi="Arial"/>
            <w:sz w:val="12"/>
            <w:szCs w:val="12"/>
            <w:b w:val="1"/>
            <w:bCs w:val="1"/>
            <w:u w:val="single" w:color="auto"/>
            <w:color w:val="0000EE"/>
          </w:rPr>
          <w:t>Table of Contents</w:t>
        </w:r>
      </w:hyperlink>
    </w:p>
    <w:p>
      <w:pPr>
        <w:spacing w:after="0" w:line="200" w:lineRule="exact"/>
        <w:rPr>
          <w:sz w:val="20"/>
          <w:szCs w:val="20"/>
          <w:color w:val="auto"/>
        </w:rPr>
      </w:pPr>
    </w:p>
    <w:p>
      <w:pPr>
        <w:jc w:val="center"/>
        <w:ind w:right="-1220"/>
        <w:spacing w:after="0"/>
        <w:rPr>
          <w:sz w:val="20"/>
          <w:szCs w:val="20"/>
          <w:color w:val="auto"/>
        </w:rPr>
      </w:pPr>
      <w:r>
        <w:rPr>
          <w:rFonts w:ascii="Arial" w:cs="Arial" w:eastAsia="Arial" w:hAnsi="Arial"/>
          <w:sz w:val="12"/>
          <w:szCs w:val="12"/>
          <w:b w:val="1"/>
          <w:bCs w:val="1"/>
          <w:color w:val="auto"/>
        </w:rPr>
        <w:t>PELOTON INTERACTIVE, INC.</w:t>
      </w:r>
    </w:p>
    <w:p>
      <w:pPr>
        <w:spacing w:after="0" w:line="11" w:lineRule="exact"/>
        <w:rPr>
          <w:sz w:val="20"/>
          <w:szCs w:val="20"/>
          <w:color w:val="auto"/>
        </w:rPr>
      </w:pPr>
    </w:p>
    <w:p>
      <w:pPr>
        <w:jc w:val="center"/>
        <w:ind w:right="-1220"/>
        <w:spacing w:after="0"/>
        <w:rPr>
          <w:sz w:val="20"/>
          <w:szCs w:val="20"/>
          <w:color w:val="auto"/>
        </w:rPr>
      </w:pPr>
      <w:r>
        <w:rPr>
          <w:rFonts w:ascii="Arial" w:cs="Arial" w:eastAsia="Arial" w:hAnsi="Arial"/>
          <w:sz w:val="12"/>
          <w:szCs w:val="12"/>
          <w:b w:val="1"/>
          <w:bCs w:val="1"/>
          <w:color w:val="auto"/>
        </w:rPr>
        <w:t>NOTES TO CONSOLIDATED FINANCIAL STATEMENTS</w:t>
      </w:r>
    </w:p>
    <w:p>
      <w:pPr>
        <w:spacing w:after="0" w:line="59" w:lineRule="exact"/>
        <w:rPr>
          <w:sz w:val="20"/>
          <w:szCs w:val="20"/>
          <w:color w:val="auto"/>
        </w:rPr>
      </w:pPr>
    </w:p>
    <w:p>
      <w:pPr>
        <w:ind w:left="2060"/>
        <w:spacing w:after="0"/>
        <w:rPr>
          <w:sz w:val="20"/>
          <w:szCs w:val="20"/>
          <w:color w:val="auto"/>
        </w:rPr>
      </w:pPr>
      <w:r>
        <w:rPr>
          <w:rFonts w:ascii="Arial" w:cs="Arial" w:eastAsia="Arial" w:hAnsi="Arial"/>
          <w:sz w:val="11"/>
          <w:szCs w:val="11"/>
          <w:b w:val="1"/>
          <w:bCs w:val="1"/>
          <w:color w:val="auto"/>
        </w:rPr>
        <w:t>1. Description of Business and Basis of Presentation</w:t>
      </w:r>
    </w:p>
    <w:p>
      <w:pPr>
        <w:spacing w:after="0" w:line="144" w:lineRule="exact"/>
        <w:rPr>
          <w:sz w:val="20"/>
          <w:szCs w:val="20"/>
          <w:color w:val="auto"/>
        </w:rPr>
      </w:pPr>
    </w:p>
    <w:p>
      <w:pPr>
        <w:ind w:left="2060"/>
        <w:spacing w:after="0"/>
        <w:rPr>
          <w:sz w:val="20"/>
          <w:szCs w:val="20"/>
          <w:color w:val="auto"/>
        </w:rPr>
      </w:pPr>
      <w:r>
        <w:rPr>
          <w:rFonts w:ascii="Arial" w:cs="Arial" w:eastAsia="Arial" w:hAnsi="Arial"/>
          <w:sz w:val="11"/>
          <w:szCs w:val="11"/>
          <w:b w:val="1"/>
          <w:bCs w:val="1"/>
          <w:i w:val="1"/>
          <w:iCs w:val="1"/>
          <w:color w:val="auto"/>
        </w:rPr>
        <w:t>Description and Organization</w:t>
      </w:r>
    </w:p>
    <w:p>
      <w:pPr>
        <w:spacing w:after="0" w:line="84" w:lineRule="exact"/>
        <w:rPr>
          <w:sz w:val="20"/>
          <w:szCs w:val="20"/>
          <w:color w:val="auto"/>
        </w:rPr>
      </w:pPr>
    </w:p>
    <w:p>
      <w:pPr>
        <w:jc w:val="both"/>
        <w:ind w:left="2060" w:right="839"/>
        <w:spacing w:after="0" w:line="241" w:lineRule="auto"/>
        <w:rPr>
          <w:sz w:val="20"/>
          <w:szCs w:val="20"/>
          <w:color w:val="auto"/>
        </w:rPr>
      </w:pPr>
      <w:r>
        <w:rPr>
          <w:rFonts w:ascii="Arial" w:cs="Arial" w:eastAsia="Arial" w:hAnsi="Arial"/>
          <w:sz w:val="11"/>
          <w:szCs w:val="11"/>
          <w:color w:val="auto"/>
        </w:rPr>
        <w:t>Peloton Interactive, Inc. (“Peloton” or the “Company”) is the largest interactive fitness platform in the world with a loyal community of Members, which we define as any individual who has a Peloton account. The Company pioneered connected, technology-enabled fitness and the streaming of immersive, instructor-led boutique classes to its Members anytime, anywhere. The Company makes fitness entertaining, approachable, effective, and convenient while fostering social connections that encourage its Members to be the best versions of themselves.</w:t>
      </w:r>
    </w:p>
    <w:p>
      <w:pPr>
        <w:spacing w:after="0" w:line="140" w:lineRule="exact"/>
        <w:rPr>
          <w:sz w:val="20"/>
          <w:szCs w:val="20"/>
          <w:color w:val="auto"/>
        </w:rPr>
      </w:pPr>
    </w:p>
    <w:p>
      <w:pPr>
        <w:jc w:val="both"/>
        <w:ind w:left="2060" w:right="839"/>
        <w:spacing w:after="0" w:line="241" w:lineRule="auto"/>
        <w:rPr>
          <w:sz w:val="20"/>
          <w:szCs w:val="20"/>
          <w:color w:val="auto"/>
        </w:rPr>
      </w:pPr>
      <w:r>
        <w:rPr>
          <w:rFonts w:ascii="Arial" w:cs="Arial" w:eastAsia="Arial" w:hAnsi="Arial"/>
          <w:sz w:val="11"/>
          <w:szCs w:val="11"/>
          <w:color w:val="auto"/>
        </w:rPr>
        <w:t>The Company markets and sells its interactive fitness products (“Connected Fitness Products”) directly through its retail showrooms and at www.onepeloton.com. The Company was founded in 2012 and incorporated in the State of Delaware in 2015. As of June 30, 2019, the Company had established wholly owned subsidiaries in the United States, the United Kingdom, Canada, and Germany and its corporate headquarters is in New York, New York.</w:t>
      </w:r>
    </w:p>
    <w:p>
      <w:pPr>
        <w:spacing w:after="0" w:line="140" w:lineRule="exact"/>
        <w:rPr>
          <w:sz w:val="20"/>
          <w:szCs w:val="20"/>
          <w:color w:val="auto"/>
        </w:rPr>
      </w:pPr>
    </w:p>
    <w:p>
      <w:pPr>
        <w:jc w:val="both"/>
        <w:ind w:left="2060" w:right="839"/>
        <w:spacing w:after="0" w:line="245" w:lineRule="auto"/>
        <w:rPr>
          <w:sz w:val="20"/>
          <w:szCs w:val="20"/>
          <w:color w:val="auto"/>
        </w:rPr>
      </w:pPr>
      <w:r>
        <w:rPr>
          <w:rFonts w:ascii="Arial" w:cs="Arial" w:eastAsia="Arial" w:hAnsi="Arial"/>
          <w:sz w:val="11"/>
          <w:szCs w:val="11"/>
          <w:color w:val="auto"/>
        </w:rPr>
        <w:t>The Company organizes its business into the following three reportable segments: Connected Fitness Products, Subscription and Other. See Note 17, Segment Information, for further discussion of the Company’s segment reporting structure.</w:t>
      </w:r>
    </w:p>
    <w:p>
      <w:pPr>
        <w:spacing w:after="0" w:line="198" w:lineRule="exact"/>
        <w:rPr>
          <w:sz w:val="20"/>
          <w:szCs w:val="20"/>
          <w:color w:val="auto"/>
        </w:rPr>
      </w:pPr>
    </w:p>
    <w:p>
      <w:pPr>
        <w:ind w:left="2060"/>
        <w:spacing w:after="0"/>
        <w:rPr>
          <w:sz w:val="20"/>
          <w:szCs w:val="20"/>
          <w:color w:val="auto"/>
        </w:rPr>
      </w:pPr>
      <w:r>
        <w:rPr>
          <w:rFonts w:ascii="Arial" w:cs="Arial" w:eastAsia="Arial" w:hAnsi="Arial"/>
          <w:sz w:val="11"/>
          <w:szCs w:val="11"/>
          <w:b w:val="1"/>
          <w:bCs w:val="1"/>
          <w:i w:val="1"/>
          <w:iCs w:val="1"/>
          <w:color w:val="auto"/>
        </w:rPr>
        <w:t>Basis of Presentation</w:t>
      </w:r>
    </w:p>
    <w:p>
      <w:pPr>
        <w:spacing w:after="0" w:line="84" w:lineRule="exact"/>
        <w:rPr>
          <w:sz w:val="20"/>
          <w:szCs w:val="20"/>
          <w:color w:val="auto"/>
        </w:rPr>
      </w:pPr>
    </w:p>
    <w:p>
      <w:pPr>
        <w:ind w:left="2060"/>
        <w:spacing w:after="0"/>
        <w:rPr>
          <w:sz w:val="20"/>
          <w:szCs w:val="20"/>
          <w:color w:val="auto"/>
        </w:rPr>
      </w:pPr>
      <w:r>
        <w:rPr>
          <w:rFonts w:ascii="Arial" w:cs="Arial" w:eastAsia="Arial" w:hAnsi="Arial"/>
          <w:sz w:val="11"/>
          <w:szCs w:val="11"/>
          <w:color w:val="auto"/>
        </w:rPr>
        <w:t>The financial statements of the Company have been prepared in accordance with U.S. generally accepted accounting principles (“GAAP”).</w:t>
      </w:r>
    </w:p>
    <w:p>
      <w:pPr>
        <w:spacing w:after="0" w:line="144" w:lineRule="exact"/>
        <w:rPr>
          <w:sz w:val="20"/>
          <w:szCs w:val="20"/>
          <w:color w:val="auto"/>
        </w:rPr>
      </w:pPr>
    </w:p>
    <w:p>
      <w:pPr>
        <w:jc w:val="both"/>
        <w:ind w:left="2060" w:right="839"/>
        <w:spacing w:after="0" w:line="241" w:lineRule="auto"/>
        <w:rPr>
          <w:sz w:val="20"/>
          <w:szCs w:val="20"/>
          <w:color w:val="auto"/>
        </w:rPr>
      </w:pPr>
      <w:r>
        <w:rPr>
          <w:rFonts w:ascii="Arial" w:cs="Arial" w:eastAsia="Arial" w:hAnsi="Arial"/>
          <w:sz w:val="11"/>
          <w:szCs w:val="11"/>
          <w:color w:val="auto"/>
        </w:rPr>
        <w:t>Certain monetary amounts, percentages, and other figures included elsewhere in these financial statements have been subject to rounding adjustments. Accordingly, figures shown as totals in certain tables may not be the arithmetic aggregation of the figures that precede them, and figures expressed as percentages in the text may not total 100% or, as applicable, when aggregated may not be the arithmetic aggregation of the percentages that precede them.</w:t>
      </w:r>
    </w:p>
    <w:p>
      <w:pPr>
        <w:spacing w:after="0" w:line="201" w:lineRule="exact"/>
        <w:rPr>
          <w:sz w:val="20"/>
          <w:szCs w:val="20"/>
          <w:color w:val="auto"/>
        </w:rPr>
      </w:pPr>
    </w:p>
    <w:p>
      <w:pPr>
        <w:ind w:left="2060"/>
        <w:spacing w:after="0"/>
        <w:rPr>
          <w:sz w:val="20"/>
          <w:szCs w:val="20"/>
          <w:color w:val="auto"/>
        </w:rPr>
      </w:pPr>
      <w:r>
        <w:rPr>
          <w:rFonts w:ascii="Arial" w:cs="Arial" w:eastAsia="Arial" w:hAnsi="Arial"/>
          <w:sz w:val="11"/>
          <w:szCs w:val="11"/>
          <w:b w:val="1"/>
          <w:bCs w:val="1"/>
          <w:i w:val="1"/>
          <w:iCs w:val="1"/>
          <w:color w:val="auto"/>
        </w:rPr>
        <w:t>Basis of Consolidation</w:t>
      </w:r>
    </w:p>
    <w:p>
      <w:pPr>
        <w:spacing w:after="0" w:line="84" w:lineRule="exact"/>
        <w:rPr>
          <w:sz w:val="20"/>
          <w:szCs w:val="20"/>
          <w:color w:val="auto"/>
        </w:rPr>
      </w:pPr>
    </w:p>
    <w:p>
      <w:pPr>
        <w:jc w:val="both"/>
        <w:ind w:left="2060" w:right="839"/>
        <w:spacing w:after="0" w:line="245" w:lineRule="auto"/>
        <w:rPr>
          <w:sz w:val="20"/>
          <w:szCs w:val="20"/>
          <w:color w:val="auto"/>
        </w:rPr>
      </w:pPr>
      <w:r>
        <w:rPr>
          <w:rFonts w:ascii="Arial" w:cs="Arial" w:eastAsia="Arial" w:hAnsi="Arial"/>
          <w:sz w:val="11"/>
          <w:szCs w:val="11"/>
          <w:color w:val="auto"/>
        </w:rPr>
        <w:t>The consolidated financial statements include the accounts of Peloton Interactive, Inc. and its subsidiaries in which the Company has a controlling financial interest. All significant intercompany balances and transactions have been eliminated.</w:t>
      </w:r>
    </w:p>
    <w:p>
      <w:pPr>
        <w:spacing w:after="0" w:line="198" w:lineRule="exact"/>
        <w:rPr>
          <w:sz w:val="20"/>
          <w:szCs w:val="20"/>
          <w:color w:val="auto"/>
        </w:rPr>
      </w:pPr>
    </w:p>
    <w:p>
      <w:pPr>
        <w:ind w:left="2060"/>
        <w:spacing w:after="0"/>
        <w:rPr>
          <w:sz w:val="20"/>
          <w:szCs w:val="20"/>
          <w:color w:val="auto"/>
        </w:rPr>
      </w:pPr>
      <w:r>
        <w:rPr>
          <w:rFonts w:ascii="Arial" w:cs="Arial" w:eastAsia="Arial" w:hAnsi="Arial"/>
          <w:sz w:val="11"/>
          <w:szCs w:val="11"/>
          <w:b w:val="1"/>
          <w:bCs w:val="1"/>
          <w:i w:val="1"/>
          <w:iCs w:val="1"/>
          <w:color w:val="auto"/>
        </w:rPr>
        <w:t>Unaudited Pro Forma Balance Sheet Information</w:t>
      </w:r>
    </w:p>
    <w:p>
      <w:pPr>
        <w:spacing w:after="0" w:line="84" w:lineRule="exact"/>
        <w:rPr>
          <w:sz w:val="20"/>
          <w:szCs w:val="20"/>
          <w:color w:val="auto"/>
        </w:rPr>
      </w:pPr>
    </w:p>
    <w:p>
      <w:pPr>
        <w:jc w:val="both"/>
        <w:ind w:left="2060" w:right="839"/>
        <w:spacing w:after="0" w:line="241" w:lineRule="auto"/>
        <w:rPr>
          <w:sz w:val="20"/>
          <w:szCs w:val="20"/>
          <w:color w:val="auto"/>
        </w:rPr>
      </w:pPr>
      <w:r>
        <w:rPr>
          <w:rFonts w:ascii="Arial" w:cs="Arial" w:eastAsia="Arial" w:hAnsi="Arial"/>
          <w:sz w:val="11"/>
          <w:szCs w:val="11"/>
          <w:color w:val="auto"/>
        </w:rPr>
        <w:t>The unaudited pro forma balance sheet information as of June 30, 2019 presents the Company’s stockholders’ deficit as though all of the Company’s redeemable convertible preferred stock outstanding had automatically converted into an aggregate of 210,640,629 shares of the Company’s common stock, upon the completion of a qualifying initial public offering (“IPO”) of the Company’s common stock. The shares of common stock issuable and the proceeds expected to be received by the Company upon the completion of a qualifying IPO are excluded from such pro forma financial information.</w:t>
      </w:r>
    </w:p>
    <w:p>
      <w:pPr>
        <w:spacing w:after="0" w:line="201" w:lineRule="exact"/>
        <w:rPr>
          <w:sz w:val="20"/>
          <w:szCs w:val="20"/>
          <w:color w:val="auto"/>
        </w:rPr>
      </w:pPr>
    </w:p>
    <w:p>
      <w:pPr>
        <w:ind w:left="2060"/>
        <w:spacing w:after="0"/>
        <w:rPr>
          <w:sz w:val="20"/>
          <w:szCs w:val="20"/>
          <w:color w:val="auto"/>
        </w:rPr>
      </w:pPr>
      <w:r>
        <w:rPr>
          <w:rFonts w:ascii="Arial" w:cs="Arial" w:eastAsia="Arial" w:hAnsi="Arial"/>
          <w:sz w:val="11"/>
          <w:szCs w:val="11"/>
          <w:b w:val="1"/>
          <w:bCs w:val="1"/>
          <w:color w:val="auto"/>
        </w:rPr>
        <w:t>2. Summary of Significant Accounting Policies</w:t>
      </w:r>
    </w:p>
    <w:p>
      <w:pPr>
        <w:spacing w:after="0" w:line="72" w:lineRule="exact"/>
        <w:rPr>
          <w:sz w:val="20"/>
          <w:szCs w:val="20"/>
          <w:color w:val="auto"/>
        </w:rPr>
      </w:pPr>
    </w:p>
    <w:p>
      <w:pPr>
        <w:ind w:left="2060"/>
        <w:spacing w:after="0"/>
        <w:rPr>
          <w:sz w:val="20"/>
          <w:szCs w:val="20"/>
          <w:color w:val="auto"/>
        </w:rPr>
      </w:pPr>
      <w:r>
        <w:rPr>
          <w:rFonts w:ascii="Arial" w:cs="Arial" w:eastAsia="Arial" w:hAnsi="Arial"/>
          <w:sz w:val="11"/>
          <w:szCs w:val="11"/>
          <w:b w:val="1"/>
          <w:bCs w:val="1"/>
          <w:i w:val="1"/>
          <w:iCs w:val="1"/>
          <w:color w:val="auto"/>
        </w:rPr>
        <w:t>Cash and Cash Equivalents</w:t>
      </w:r>
    </w:p>
    <w:p>
      <w:pPr>
        <w:spacing w:after="0" w:line="84" w:lineRule="exact"/>
        <w:rPr>
          <w:sz w:val="20"/>
          <w:szCs w:val="20"/>
          <w:color w:val="auto"/>
        </w:rPr>
      </w:pPr>
    </w:p>
    <w:p>
      <w:pPr>
        <w:jc w:val="both"/>
        <w:ind w:left="2060" w:right="839"/>
        <w:spacing w:after="0" w:line="241" w:lineRule="auto"/>
        <w:rPr>
          <w:sz w:val="20"/>
          <w:szCs w:val="20"/>
          <w:color w:val="auto"/>
        </w:rPr>
      </w:pPr>
      <w:r>
        <w:rPr>
          <w:rFonts w:ascii="Arial" w:cs="Arial" w:eastAsia="Arial" w:hAnsi="Arial"/>
          <w:sz w:val="11"/>
          <w:szCs w:val="11"/>
          <w:color w:val="auto"/>
        </w:rPr>
        <w:t>The Company considers all cash and short-term investments purchased with maturities of three months or less when acquired to be cash equivalents. As of June 30, 2018 and 2019, the Company’s cash and cash equivalents were substantially held in money market and operating accounts. At various times during the fiscal years ended June 30, 2018 and 2019, the balances of cash at financial institutions exceeded the federally insured limit. The Company has not experienced any losses in such accounts and believes cash and cash equivalents are not subject to any significant credit risk.</w:t>
      </w:r>
    </w:p>
    <w:p>
      <w:pPr>
        <w:spacing w:after="0" w:line="95" w:lineRule="exact"/>
        <w:rPr>
          <w:sz w:val="20"/>
          <w:szCs w:val="20"/>
          <w:color w:val="auto"/>
        </w:rPr>
      </w:pPr>
    </w:p>
    <w:p>
      <w:pPr>
        <w:ind w:left="5660"/>
        <w:spacing w:after="0"/>
        <w:rPr>
          <w:sz w:val="20"/>
          <w:szCs w:val="20"/>
          <w:color w:val="auto"/>
        </w:rPr>
      </w:pPr>
      <w:r>
        <w:rPr>
          <w:rFonts w:ascii="Arial" w:cs="Arial" w:eastAsia="Arial" w:hAnsi="Arial"/>
          <w:sz w:val="11"/>
          <w:szCs w:val="11"/>
          <w:color w:val="auto"/>
        </w:rPr>
        <w:t>F-8</w:t>
      </w:r>
    </w:p>
    <w:p>
      <w:pPr>
        <w:sectPr>
          <w:pgSz w:w="11900" w:h="16838" w:orient="portrait"/>
          <w:cols w:equalWidth="0" w:num="1">
            <w:col w:w="10239"/>
          </w:cols>
          <w:pgMar w:left="220" w:top="354" w:right="1440" w:bottom="1440" w:gutter="0" w:footer="0" w:header="0"/>
        </w:sectPr>
      </w:pPr>
    </w:p>
    <w:bookmarkStart w:id="172" w:name="page173"/>
    <w:bookmarkEnd w:id="172"/>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hyperlink w:anchor="page5">
        <w:r>
          <w:rPr>
            <w:rFonts w:ascii="Arial" w:cs="Arial" w:eastAsia="Arial" w:hAnsi="Arial"/>
            <w:sz w:val="12"/>
            <w:szCs w:val="12"/>
            <w:b w:val="1"/>
            <w:bCs w:val="1"/>
            <w:u w:val="single" w:color="auto"/>
            <w:color w:val="0000EE"/>
          </w:rPr>
          <w:t>Table of Contents</w:t>
        </w:r>
      </w:hyperlink>
    </w:p>
    <w:p>
      <w:pPr>
        <w:spacing w:after="0" w:line="200" w:lineRule="exact"/>
        <w:rPr>
          <w:sz w:val="20"/>
          <w:szCs w:val="20"/>
          <w:color w:val="auto"/>
        </w:rPr>
      </w:pPr>
    </w:p>
    <w:p>
      <w:pPr>
        <w:jc w:val="center"/>
        <w:ind w:right="-1220"/>
        <w:spacing w:after="0"/>
        <w:rPr>
          <w:sz w:val="20"/>
          <w:szCs w:val="20"/>
          <w:color w:val="auto"/>
        </w:rPr>
      </w:pPr>
      <w:r>
        <w:rPr>
          <w:rFonts w:ascii="Arial" w:cs="Arial" w:eastAsia="Arial" w:hAnsi="Arial"/>
          <w:sz w:val="12"/>
          <w:szCs w:val="12"/>
          <w:b w:val="1"/>
          <w:bCs w:val="1"/>
          <w:color w:val="auto"/>
        </w:rPr>
        <w:t>PELOTON INTERACTIVE, INC.</w:t>
      </w:r>
    </w:p>
    <w:p>
      <w:pPr>
        <w:spacing w:after="0" w:line="11" w:lineRule="exact"/>
        <w:rPr>
          <w:sz w:val="20"/>
          <w:szCs w:val="20"/>
          <w:color w:val="auto"/>
        </w:rPr>
      </w:pPr>
    </w:p>
    <w:p>
      <w:pPr>
        <w:jc w:val="center"/>
        <w:ind w:right="-1220"/>
        <w:spacing w:after="0"/>
        <w:rPr>
          <w:sz w:val="20"/>
          <w:szCs w:val="20"/>
          <w:color w:val="auto"/>
        </w:rPr>
      </w:pPr>
      <w:r>
        <w:rPr>
          <w:rFonts w:ascii="Arial" w:cs="Arial" w:eastAsia="Arial" w:hAnsi="Arial"/>
          <w:sz w:val="12"/>
          <w:szCs w:val="12"/>
          <w:b w:val="1"/>
          <w:bCs w:val="1"/>
          <w:color w:val="auto"/>
        </w:rPr>
        <w:t>NOTES TO CONSOLIDATED FINANCIAL STATEMENTS</w:t>
      </w:r>
    </w:p>
    <w:p>
      <w:pPr>
        <w:spacing w:after="0" w:line="68" w:lineRule="exact"/>
        <w:rPr>
          <w:sz w:val="20"/>
          <w:szCs w:val="20"/>
          <w:color w:val="auto"/>
        </w:rPr>
      </w:pPr>
    </w:p>
    <w:p>
      <w:pPr>
        <w:ind w:left="2060"/>
        <w:spacing w:after="0"/>
        <w:rPr>
          <w:sz w:val="20"/>
          <w:szCs w:val="20"/>
          <w:color w:val="auto"/>
        </w:rPr>
      </w:pPr>
      <w:r>
        <w:rPr>
          <w:rFonts w:ascii="Arial" w:cs="Arial" w:eastAsia="Arial" w:hAnsi="Arial"/>
          <w:sz w:val="11"/>
          <w:szCs w:val="11"/>
          <w:b w:val="1"/>
          <w:bCs w:val="1"/>
          <w:i w:val="1"/>
          <w:iCs w:val="1"/>
          <w:color w:val="auto"/>
        </w:rPr>
        <w:t>Restricted Cash</w:t>
      </w:r>
    </w:p>
    <w:p>
      <w:pPr>
        <w:spacing w:after="0" w:line="84" w:lineRule="exact"/>
        <w:rPr>
          <w:sz w:val="20"/>
          <w:szCs w:val="20"/>
          <w:color w:val="auto"/>
        </w:rPr>
      </w:pPr>
    </w:p>
    <w:p>
      <w:pPr>
        <w:ind w:left="2060"/>
        <w:spacing w:after="0"/>
        <w:rPr>
          <w:sz w:val="20"/>
          <w:szCs w:val="20"/>
          <w:color w:val="auto"/>
        </w:rPr>
      </w:pPr>
      <w:r>
        <w:rPr>
          <w:rFonts w:ascii="Arial" w:cs="Arial" w:eastAsia="Arial" w:hAnsi="Arial"/>
          <w:sz w:val="11"/>
          <w:szCs w:val="11"/>
          <w:color w:val="auto"/>
        </w:rPr>
        <w:t>Restricted cash primarily consists of cash held in reserve accounts related to operating lease obligations.</w:t>
      </w:r>
    </w:p>
    <w:p>
      <w:pPr>
        <w:spacing w:after="0" w:line="204" w:lineRule="exact"/>
        <w:rPr>
          <w:sz w:val="20"/>
          <w:szCs w:val="20"/>
          <w:color w:val="auto"/>
        </w:rPr>
      </w:pPr>
    </w:p>
    <w:p>
      <w:pPr>
        <w:ind w:left="2060"/>
        <w:spacing w:after="0"/>
        <w:rPr>
          <w:sz w:val="20"/>
          <w:szCs w:val="20"/>
          <w:color w:val="auto"/>
        </w:rPr>
      </w:pPr>
      <w:r>
        <w:rPr>
          <w:rFonts w:ascii="Arial" w:cs="Arial" w:eastAsia="Arial" w:hAnsi="Arial"/>
          <w:sz w:val="11"/>
          <w:szCs w:val="11"/>
          <w:b w:val="1"/>
          <w:bCs w:val="1"/>
          <w:i w:val="1"/>
          <w:iCs w:val="1"/>
          <w:color w:val="auto"/>
        </w:rPr>
        <w:t>Accounts Receivable, Net of Allowances</w:t>
      </w:r>
    </w:p>
    <w:p>
      <w:pPr>
        <w:spacing w:after="0" w:line="84" w:lineRule="exact"/>
        <w:rPr>
          <w:sz w:val="20"/>
          <w:szCs w:val="20"/>
          <w:color w:val="auto"/>
        </w:rPr>
      </w:pPr>
    </w:p>
    <w:p>
      <w:pPr>
        <w:jc w:val="both"/>
        <w:ind w:left="2060" w:right="839"/>
        <w:spacing w:after="0" w:line="245" w:lineRule="auto"/>
        <w:rPr>
          <w:sz w:val="20"/>
          <w:szCs w:val="20"/>
          <w:color w:val="auto"/>
        </w:rPr>
      </w:pPr>
      <w:r>
        <w:rPr>
          <w:rFonts w:ascii="Arial" w:cs="Arial" w:eastAsia="Arial" w:hAnsi="Arial"/>
          <w:sz w:val="11"/>
          <w:szCs w:val="11"/>
          <w:color w:val="auto"/>
        </w:rPr>
        <w:t>The Company’s accounts receivable primarily represent amounts due from third-party sales processors. On a periodic basis, the Company evaluates accounts receivable estimated to be uncollectible, which to date have not been material, and provides allowances, as necessary, for doubtful accounts.</w:t>
      </w:r>
    </w:p>
    <w:p>
      <w:pPr>
        <w:spacing w:after="0" w:line="198" w:lineRule="exact"/>
        <w:rPr>
          <w:sz w:val="20"/>
          <w:szCs w:val="20"/>
          <w:color w:val="auto"/>
        </w:rPr>
      </w:pPr>
    </w:p>
    <w:p>
      <w:pPr>
        <w:ind w:left="2060"/>
        <w:spacing w:after="0"/>
        <w:rPr>
          <w:sz w:val="20"/>
          <w:szCs w:val="20"/>
          <w:color w:val="auto"/>
        </w:rPr>
      </w:pPr>
      <w:r>
        <w:rPr>
          <w:rFonts w:ascii="Arial" w:cs="Arial" w:eastAsia="Arial" w:hAnsi="Arial"/>
          <w:sz w:val="11"/>
          <w:szCs w:val="11"/>
          <w:b w:val="1"/>
          <w:bCs w:val="1"/>
          <w:i w:val="1"/>
          <w:iCs w:val="1"/>
          <w:color w:val="auto"/>
        </w:rPr>
        <w:t>Revenue Recognition</w:t>
      </w:r>
    </w:p>
    <w:p>
      <w:pPr>
        <w:spacing w:after="0" w:line="74" w:lineRule="exact"/>
        <w:rPr>
          <w:sz w:val="20"/>
          <w:szCs w:val="20"/>
          <w:color w:val="auto"/>
        </w:rPr>
      </w:pPr>
    </w:p>
    <w:p>
      <w:pPr>
        <w:ind w:left="2060"/>
        <w:spacing w:after="0"/>
        <w:rPr>
          <w:sz w:val="20"/>
          <w:szCs w:val="20"/>
          <w:color w:val="auto"/>
        </w:rPr>
      </w:pPr>
      <w:r>
        <w:rPr>
          <w:rFonts w:ascii="Arial" w:cs="Arial" w:eastAsia="Arial" w:hAnsi="Arial"/>
          <w:sz w:val="11"/>
          <w:szCs w:val="11"/>
          <w:i w:val="1"/>
          <w:iCs w:val="1"/>
          <w:color w:val="auto"/>
        </w:rPr>
        <w:t>Adoption of Topic 606</w:t>
      </w:r>
    </w:p>
    <w:p>
      <w:pPr>
        <w:spacing w:after="0" w:line="82" w:lineRule="exact"/>
        <w:rPr>
          <w:sz w:val="20"/>
          <w:szCs w:val="20"/>
          <w:color w:val="auto"/>
        </w:rPr>
      </w:pPr>
    </w:p>
    <w:p>
      <w:pPr>
        <w:jc w:val="both"/>
        <w:ind w:left="2060" w:right="839"/>
        <w:spacing w:after="0" w:line="241" w:lineRule="auto"/>
        <w:rPr>
          <w:sz w:val="20"/>
          <w:szCs w:val="20"/>
          <w:color w:val="auto"/>
        </w:rPr>
      </w:pPr>
      <w:r>
        <w:rPr>
          <w:rFonts w:ascii="Arial" w:cs="Arial" w:eastAsia="Arial" w:hAnsi="Arial"/>
          <w:sz w:val="11"/>
          <w:szCs w:val="11"/>
          <w:color w:val="auto"/>
        </w:rPr>
        <w:t>On July 1, 2018, the Company adopted ASU 2014-09 and all subsequent amendments. The Company elected to apply the standard and all related ASUs retrospectively to each prior reporting period presented. The adoption of the new standard had no material impact on the measurement or recognition of revenue, resulting in no adjustments to the prior periods. Additional disclosures, however, have been added in accordance with ASU 2014-09. Refer to Note 3, Revenue.</w:t>
      </w:r>
    </w:p>
    <w:p>
      <w:pPr>
        <w:spacing w:after="0" w:line="201" w:lineRule="exact"/>
        <w:rPr>
          <w:sz w:val="20"/>
          <w:szCs w:val="20"/>
          <w:color w:val="auto"/>
        </w:rPr>
      </w:pPr>
    </w:p>
    <w:p>
      <w:pPr>
        <w:ind w:left="2060"/>
        <w:spacing w:after="0"/>
        <w:rPr>
          <w:sz w:val="20"/>
          <w:szCs w:val="20"/>
          <w:color w:val="auto"/>
        </w:rPr>
      </w:pPr>
      <w:r>
        <w:rPr>
          <w:rFonts w:ascii="Arial" w:cs="Arial" w:eastAsia="Arial" w:hAnsi="Arial"/>
          <w:sz w:val="11"/>
          <w:szCs w:val="11"/>
          <w:b w:val="1"/>
          <w:bCs w:val="1"/>
          <w:i w:val="1"/>
          <w:iCs w:val="1"/>
          <w:color w:val="auto"/>
        </w:rPr>
        <w:t>Shipping and Delivery Fees</w:t>
      </w:r>
    </w:p>
    <w:p>
      <w:pPr>
        <w:spacing w:after="0" w:line="84" w:lineRule="exact"/>
        <w:rPr>
          <w:sz w:val="20"/>
          <w:szCs w:val="20"/>
          <w:color w:val="auto"/>
        </w:rPr>
      </w:pPr>
    </w:p>
    <w:p>
      <w:pPr>
        <w:ind w:left="2060"/>
        <w:spacing w:after="0"/>
        <w:rPr>
          <w:sz w:val="20"/>
          <w:szCs w:val="20"/>
          <w:color w:val="auto"/>
        </w:rPr>
      </w:pPr>
      <w:r>
        <w:rPr>
          <w:rFonts w:ascii="Arial" w:cs="Arial" w:eastAsia="Arial" w:hAnsi="Arial"/>
          <w:sz w:val="11"/>
          <w:szCs w:val="11"/>
          <w:color w:val="auto"/>
        </w:rPr>
        <w:t>The Company accounts for shipping, delivery and installation fees, net of discounts and refunds, billed to customers as revenue.</w:t>
      </w:r>
    </w:p>
    <w:p>
      <w:pPr>
        <w:spacing w:after="0" w:line="204" w:lineRule="exact"/>
        <w:rPr>
          <w:sz w:val="20"/>
          <w:szCs w:val="20"/>
          <w:color w:val="auto"/>
        </w:rPr>
      </w:pPr>
    </w:p>
    <w:p>
      <w:pPr>
        <w:ind w:left="2060"/>
        <w:spacing w:after="0"/>
        <w:rPr>
          <w:sz w:val="20"/>
          <w:szCs w:val="20"/>
          <w:color w:val="auto"/>
        </w:rPr>
      </w:pPr>
      <w:r>
        <w:rPr>
          <w:rFonts w:ascii="Arial" w:cs="Arial" w:eastAsia="Arial" w:hAnsi="Arial"/>
          <w:sz w:val="11"/>
          <w:szCs w:val="11"/>
          <w:b w:val="1"/>
          <w:bCs w:val="1"/>
          <w:i w:val="1"/>
          <w:iCs w:val="1"/>
          <w:color w:val="auto"/>
        </w:rPr>
        <w:t>Sales Taxes</w:t>
      </w:r>
    </w:p>
    <w:p>
      <w:pPr>
        <w:spacing w:after="0" w:line="84" w:lineRule="exact"/>
        <w:rPr>
          <w:sz w:val="20"/>
          <w:szCs w:val="20"/>
          <w:color w:val="auto"/>
        </w:rPr>
      </w:pPr>
    </w:p>
    <w:p>
      <w:pPr>
        <w:ind w:left="2060"/>
        <w:spacing w:after="0"/>
        <w:rPr>
          <w:sz w:val="20"/>
          <w:szCs w:val="20"/>
          <w:color w:val="auto"/>
        </w:rPr>
      </w:pPr>
      <w:r>
        <w:rPr>
          <w:rFonts w:ascii="Arial" w:cs="Arial" w:eastAsia="Arial" w:hAnsi="Arial"/>
          <w:sz w:val="10"/>
          <w:szCs w:val="10"/>
          <w:color w:val="auto"/>
        </w:rPr>
        <w:t>Sales tax collected from customers and remitted to governmental authorities is not included in revenue and is reflected as a liability on the balance sheet.</w:t>
      </w:r>
    </w:p>
    <w:p>
      <w:pPr>
        <w:spacing w:after="0" w:line="215" w:lineRule="exact"/>
        <w:rPr>
          <w:sz w:val="20"/>
          <w:szCs w:val="20"/>
          <w:color w:val="auto"/>
        </w:rPr>
      </w:pPr>
    </w:p>
    <w:p>
      <w:pPr>
        <w:ind w:left="2060"/>
        <w:spacing w:after="0"/>
        <w:rPr>
          <w:sz w:val="20"/>
          <w:szCs w:val="20"/>
          <w:color w:val="auto"/>
        </w:rPr>
      </w:pPr>
      <w:r>
        <w:rPr>
          <w:rFonts w:ascii="Arial" w:cs="Arial" w:eastAsia="Arial" w:hAnsi="Arial"/>
          <w:sz w:val="11"/>
          <w:szCs w:val="11"/>
          <w:b w:val="1"/>
          <w:bCs w:val="1"/>
          <w:i w:val="1"/>
          <w:iCs w:val="1"/>
          <w:color w:val="auto"/>
        </w:rPr>
        <w:t>Inventories</w:t>
      </w:r>
    </w:p>
    <w:p>
      <w:pPr>
        <w:spacing w:after="0" w:line="84" w:lineRule="exact"/>
        <w:rPr>
          <w:sz w:val="20"/>
          <w:szCs w:val="20"/>
          <w:color w:val="auto"/>
        </w:rPr>
      </w:pPr>
    </w:p>
    <w:p>
      <w:pPr>
        <w:jc w:val="both"/>
        <w:ind w:left="2060" w:right="839"/>
        <w:spacing w:after="0" w:line="241" w:lineRule="auto"/>
        <w:rPr>
          <w:sz w:val="20"/>
          <w:szCs w:val="20"/>
          <w:color w:val="auto"/>
        </w:rPr>
      </w:pPr>
      <w:r>
        <w:rPr>
          <w:rFonts w:ascii="Arial" w:cs="Arial" w:eastAsia="Arial" w:hAnsi="Arial"/>
          <w:sz w:val="11"/>
          <w:szCs w:val="11"/>
          <w:color w:val="auto"/>
        </w:rPr>
        <w:t>Inventories consist of finished goods, which are generally purchased from contract manufacturers. Connected Fitness Product, accessories, and apparel inventories are stated at the lower of cost or market on a weighted-average cost basis. The Company assesses the valuation of inventory and periodically adjusts the value for estimated excess and obsolete inventory based upon estimates of future demand and market conditions, as well as damaged or otherwise impaired goods. Spare parts are recorded as inventory and recognized in cost of goods sold as consumed.</w:t>
      </w:r>
    </w:p>
    <w:p>
      <w:pPr>
        <w:spacing w:after="0" w:line="201" w:lineRule="exact"/>
        <w:rPr>
          <w:sz w:val="20"/>
          <w:szCs w:val="20"/>
          <w:color w:val="auto"/>
        </w:rPr>
      </w:pPr>
    </w:p>
    <w:p>
      <w:pPr>
        <w:ind w:left="2060"/>
        <w:spacing w:after="0"/>
        <w:rPr>
          <w:sz w:val="20"/>
          <w:szCs w:val="20"/>
          <w:color w:val="auto"/>
        </w:rPr>
      </w:pPr>
      <w:r>
        <w:rPr>
          <w:rFonts w:ascii="Arial" w:cs="Arial" w:eastAsia="Arial" w:hAnsi="Arial"/>
          <w:sz w:val="11"/>
          <w:szCs w:val="11"/>
          <w:b w:val="1"/>
          <w:bCs w:val="1"/>
          <w:i w:val="1"/>
          <w:iCs w:val="1"/>
          <w:color w:val="auto"/>
        </w:rPr>
        <w:t>Marketable Securities</w:t>
      </w:r>
    </w:p>
    <w:p>
      <w:pPr>
        <w:spacing w:after="0" w:line="84" w:lineRule="exact"/>
        <w:rPr>
          <w:sz w:val="20"/>
          <w:szCs w:val="20"/>
          <w:color w:val="auto"/>
        </w:rPr>
      </w:pPr>
    </w:p>
    <w:p>
      <w:pPr>
        <w:jc w:val="both"/>
        <w:ind w:left="2060" w:right="839"/>
        <w:spacing w:after="0"/>
        <w:rPr>
          <w:sz w:val="20"/>
          <w:szCs w:val="20"/>
          <w:color w:val="auto"/>
        </w:rPr>
      </w:pPr>
      <w:r>
        <w:rPr>
          <w:rFonts w:ascii="Arial" w:cs="Arial" w:eastAsia="Arial" w:hAnsi="Arial"/>
          <w:sz w:val="11"/>
          <w:szCs w:val="11"/>
          <w:color w:val="auto"/>
        </w:rPr>
        <w:t>The Company classifies its marketable debt securities as available-for-sale and, accordingly, records them at fair value. Marketable securities with original maturities of greater than three months and remaining maturities of less than one year are classified as current investments. Investments with maturities beyond one year may be classified as current based on their highly liquid nature and because such marketable securities represent the investment of cash that is available for current operations. Unrealized holding gains and losses, which are immaterial, are excluded from earnings and are reported net of tax in other comprehensive income until realized. Dividend and interest income is recognized when earned. Realized gains and losses, are included in earnings and are derived using the specific identification method for determining the cost of securities sold.</w:t>
      </w:r>
    </w:p>
    <w:p>
      <w:pPr>
        <w:spacing w:after="0" w:line="202" w:lineRule="exact"/>
        <w:rPr>
          <w:sz w:val="20"/>
          <w:szCs w:val="20"/>
          <w:color w:val="auto"/>
        </w:rPr>
      </w:pPr>
    </w:p>
    <w:p>
      <w:pPr>
        <w:ind w:left="2060"/>
        <w:spacing w:after="0"/>
        <w:rPr>
          <w:sz w:val="20"/>
          <w:szCs w:val="20"/>
          <w:color w:val="auto"/>
        </w:rPr>
      </w:pPr>
      <w:r>
        <w:rPr>
          <w:rFonts w:ascii="Arial" w:cs="Arial" w:eastAsia="Arial" w:hAnsi="Arial"/>
          <w:sz w:val="11"/>
          <w:szCs w:val="11"/>
          <w:b w:val="1"/>
          <w:bCs w:val="1"/>
          <w:i w:val="1"/>
          <w:iCs w:val="1"/>
          <w:color w:val="auto"/>
        </w:rPr>
        <w:t>Property and Equipment</w:t>
      </w:r>
    </w:p>
    <w:p>
      <w:pPr>
        <w:spacing w:after="0" w:line="84" w:lineRule="exact"/>
        <w:rPr>
          <w:sz w:val="20"/>
          <w:szCs w:val="20"/>
          <w:color w:val="auto"/>
        </w:rPr>
      </w:pPr>
    </w:p>
    <w:p>
      <w:pPr>
        <w:jc w:val="both"/>
        <w:ind w:left="2060" w:right="839"/>
        <w:spacing w:after="0" w:line="242" w:lineRule="auto"/>
        <w:rPr>
          <w:sz w:val="20"/>
          <w:szCs w:val="20"/>
          <w:color w:val="auto"/>
        </w:rPr>
      </w:pPr>
      <w:r>
        <w:rPr>
          <w:rFonts w:ascii="Arial" w:cs="Arial" w:eastAsia="Arial" w:hAnsi="Arial"/>
          <w:sz w:val="11"/>
          <w:szCs w:val="11"/>
          <w:color w:val="auto"/>
        </w:rPr>
        <w:t>Property and equipment are stated at cost less accumulated depreciation. Depreciation of property and equipment is calculated using the straight-line method over the estimated useful lives of the assets. For leasehold improvements, the useful life is the lesser of the applicable lease term or the expected asset life. Charges for repairs and maintenance that do</w:t>
      </w:r>
    </w:p>
    <w:p>
      <w:pPr>
        <w:spacing w:after="0" w:line="95" w:lineRule="exact"/>
        <w:rPr>
          <w:sz w:val="20"/>
          <w:szCs w:val="20"/>
          <w:color w:val="auto"/>
        </w:rPr>
      </w:pPr>
    </w:p>
    <w:p>
      <w:pPr>
        <w:ind w:left="5660"/>
        <w:spacing w:after="0"/>
        <w:rPr>
          <w:sz w:val="20"/>
          <w:szCs w:val="20"/>
          <w:color w:val="auto"/>
        </w:rPr>
      </w:pPr>
      <w:r>
        <w:rPr>
          <w:rFonts w:ascii="Arial" w:cs="Arial" w:eastAsia="Arial" w:hAnsi="Arial"/>
          <w:sz w:val="11"/>
          <w:szCs w:val="11"/>
          <w:color w:val="auto"/>
        </w:rPr>
        <w:t>F-9</w:t>
      </w:r>
    </w:p>
    <w:p>
      <w:pPr>
        <w:sectPr>
          <w:pgSz w:w="11900" w:h="16838" w:orient="portrait"/>
          <w:cols w:equalWidth="0" w:num="1">
            <w:col w:w="10239"/>
          </w:cols>
          <w:pgMar w:left="220" w:top="354" w:right="1440" w:bottom="1440" w:gutter="0" w:footer="0" w:header="0"/>
        </w:sectPr>
      </w:pPr>
    </w:p>
    <w:bookmarkStart w:id="173" w:name="page174"/>
    <w:bookmarkEnd w:id="173"/>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hyperlink w:anchor="page5">
        <w:r>
          <w:rPr>
            <w:rFonts w:ascii="Arial" w:cs="Arial" w:eastAsia="Arial" w:hAnsi="Arial"/>
            <w:sz w:val="12"/>
            <w:szCs w:val="12"/>
            <w:b w:val="1"/>
            <w:bCs w:val="1"/>
            <w:u w:val="single" w:color="auto"/>
            <w:color w:val="0000EE"/>
          </w:rPr>
          <w:t>Table of Contents</w:t>
        </w:r>
      </w:hyperlink>
    </w:p>
    <w:p>
      <w:pPr>
        <w:spacing w:after="0" w:line="200" w:lineRule="exact"/>
        <w:rPr>
          <w:sz w:val="20"/>
          <w:szCs w:val="20"/>
          <w:color w:val="auto"/>
        </w:rPr>
      </w:pPr>
    </w:p>
    <w:p>
      <w:pPr>
        <w:jc w:val="center"/>
        <w:ind w:right="-1220"/>
        <w:spacing w:after="0"/>
        <w:rPr>
          <w:sz w:val="20"/>
          <w:szCs w:val="20"/>
          <w:color w:val="auto"/>
        </w:rPr>
      </w:pPr>
      <w:r>
        <w:rPr>
          <w:rFonts w:ascii="Arial" w:cs="Arial" w:eastAsia="Arial" w:hAnsi="Arial"/>
          <w:sz w:val="12"/>
          <w:szCs w:val="12"/>
          <w:b w:val="1"/>
          <w:bCs w:val="1"/>
          <w:color w:val="auto"/>
        </w:rPr>
        <w:t>PELOTON INTERACTIVE, INC.</w:t>
      </w:r>
    </w:p>
    <w:p>
      <w:pPr>
        <w:spacing w:after="0" w:line="11" w:lineRule="exact"/>
        <w:rPr>
          <w:sz w:val="20"/>
          <w:szCs w:val="20"/>
          <w:color w:val="auto"/>
        </w:rPr>
      </w:pPr>
    </w:p>
    <w:p>
      <w:pPr>
        <w:jc w:val="center"/>
        <w:ind w:right="-1220"/>
        <w:spacing w:after="0"/>
        <w:rPr>
          <w:sz w:val="20"/>
          <w:szCs w:val="20"/>
          <w:color w:val="auto"/>
        </w:rPr>
      </w:pPr>
      <w:r>
        <w:rPr>
          <w:rFonts w:ascii="Arial" w:cs="Arial" w:eastAsia="Arial" w:hAnsi="Arial"/>
          <w:sz w:val="12"/>
          <w:szCs w:val="12"/>
          <w:b w:val="1"/>
          <w:bCs w:val="1"/>
          <w:color w:val="auto"/>
        </w:rPr>
        <w:t>NOTES TO CONSOLIDATED FINANCIAL STATEMENTS</w:t>
      </w:r>
    </w:p>
    <w:p>
      <w:pPr>
        <w:spacing w:after="0" w:line="80" w:lineRule="exact"/>
        <w:rPr>
          <w:sz w:val="20"/>
          <w:szCs w:val="20"/>
          <w:color w:val="auto"/>
        </w:rPr>
      </w:pPr>
    </w:p>
    <w:p>
      <w:pPr>
        <w:jc w:val="both"/>
        <w:ind w:left="2060" w:right="839"/>
        <w:spacing w:after="0" w:line="242" w:lineRule="auto"/>
        <w:rPr>
          <w:sz w:val="20"/>
          <w:szCs w:val="20"/>
          <w:color w:val="auto"/>
        </w:rPr>
      </w:pPr>
      <w:r>
        <w:rPr>
          <w:rFonts w:ascii="Arial" w:cs="Arial" w:eastAsia="Arial" w:hAnsi="Arial"/>
          <w:sz w:val="11"/>
          <w:szCs w:val="11"/>
          <w:color w:val="auto"/>
        </w:rPr>
        <w:t>not improve or extend the lives of the respective assets are expensed as incurred. The Company capitalizes the cost of pre-production tooling which it owns during a supply arrangement. Pre-production tooling and engineering costs the Company will not own or will not be used in producing products under long-term supply arrangements are expensed as incurred.</w:t>
      </w:r>
    </w:p>
    <w:p>
      <w:pPr>
        <w:spacing w:after="0" w:line="200" w:lineRule="exact"/>
        <w:rPr>
          <w:sz w:val="20"/>
          <w:szCs w:val="20"/>
          <w:color w:val="auto"/>
        </w:rPr>
      </w:pPr>
    </w:p>
    <w:p>
      <w:pPr>
        <w:ind w:left="2060"/>
        <w:spacing w:after="0"/>
        <w:rPr>
          <w:sz w:val="20"/>
          <w:szCs w:val="20"/>
          <w:color w:val="auto"/>
        </w:rPr>
      </w:pPr>
      <w:r>
        <w:rPr>
          <w:rFonts w:ascii="Arial" w:cs="Arial" w:eastAsia="Arial" w:hAnsi="Arial"/>
          <w:sz w:val="11"/>
          <w:szCs w:val="11"/>
          <w:b w:val="1"/>
          <w:bCs w:val="1"/>
          <w:i w:val="1"/>
          <w:iCs w:val="1"/>
          <w:color w:val="auto"/>
        </w:rPr>
        <w:t>Internal-Use Software</w:t>
      </w:r>
    </w:p>
    <w:p>
      <w:pPr>
        <w:spacing w:after="0" w:line="84" w:lineRule="exact"/>
        <w:rPr>
          <w:sz w:val="20"/>
          <w:szCs w:val="20"/>
          <w:color w:val="auto"/>
        </w:rPr>
      </w:pPr>
    </w:p>
    <w:p>
      <w:pPr>
        <w:jc w:val="both"/>
        <w:ind w:left="2060" w:right="839"/>
        <w:spacing w:after="0" w:line="270" w:lineRule="auto"/>
        <w:rPr>
          <w:sz w:val="20"/>
          <w:szCs w:val="20"/>
          <w:color w:val="auto"/>
        </w:rPr>
      </w:pPr>
      <w:r>
        <w:rPr>
          <w:rFonts w:ascii="Arial" w:cs="Arial" w:eastAsia="Arial" w:hAnsi="Arial"/>
          <w:sz w:val="10"/>
          <w:szCs w:val="10"/>
          <w:color w:val="auto"/>
        </w:rPr>
        <w:t>The Company capitalizes certain qualified costs incurred in connection with the development of internal-use software. The Company evaluates the costs incurred during the application development stage of internal use software and website development to determine whether the costs meet the criteria for capitalization. Costs related to preliminary project activities and post implementation activities including maintenance are expensed as incurred. Capitalized costs related to internal-use software are amortized on a straight-line basis over the estimated useful life of the software, not to exceed three years. Capitalized costs less accumulated amortization are included within property and equipment, net on the consolidated balance sheets.</w:t>
      </w:r>
    </w:p>
    <w:p>
      <w:pPr>
        <w:spacing w:after="0" w:line="188" w:lineRule="exact"/>
        <w:rPr>
          <w:sz w:val="20"/>
          <w:szCs w:val="20"/>
          <w:color w:val="auto"/>
        </w:rPr>
      </w:pPr>
    </w:p>
    <w:p>
      <w:pPr>
        <w:ind w:left="2060"/>
        <w:spacing w:after="0"/>
        <w:rPr>
          <w:sz w:val="20"/>
          <w:szCs w:val="20"/>
          <w:color w:val="auto"/>
        </w:rPr>
      </w:pPr>
      <w:r>
        <w:rPr>
          <w:rFonts w:ascii="Arial" w:cs="Arial" w:eastAsia="Arial" w:hAnsi="Arial"/>
          <w:sz w:val="11"/>
          <w:szCs w:val="11"/>
          <w:b w:val="1"/>
          <w:bCs w:val="1"/>
          <w:i w:val="1"/>
          <w:iCs w:val="1"/>
          <w:color w:val="auto"/>
        </w:rPr>
        <w:t>Goodwill and Intangible Assets</w:t>
      </w:r>
    </w:p>
    <w:p>
      <w:pPr>
        <w:spacing w:after="0" w:line="84" w:lineRule="exact"/>
        <w:rPr>
          <w:sz w:val="20"/>
          <w:szCs w:val="20"/>
          <w:color w:val="auto"/>
        </w:rPr>
      </w:pPr>
    </w:p>
    <w:p>
      <w:pPr>
        <w:jc w:val="both"/>
        <w:ind w:left="2060" w:right="839"/>
        <w:spacing w:after="0" w:line="242" w:lineRule="auto"/>
        <w:rPr>
          <w:sz w:val="20"/>
          <w:szCs w:val="20"/>
          <w:color w:val="auto"/>
        </w:rPr>
      </w:pPr>
      <w:r>
        <w:rPr>
          <w:rFonts w:ascii="Arial" w:cs="Arial" w:eastAsia="Arial" w:hAnsi="Arial"/>
          <w:sz w:val="11"/>
          <w:szCs w:val="11"/>
          <w:color w:val="auto"/>
        </w:rPr>
        <w:t>Goodwill represents the excess of the aggregate of the consideration transferred and the amount recognized for non-controlling interest, if any, over the fair value of identifiable assets acquired and liabilities assumed in a business combination. The Company has no intangible assets with indefinite useful lives.</w:t>
      </w:r>
    </w:p>
    <w:p>
      <w:pPr>
        <w:spacing w:after="0" w:line="140" w:lineRule="exact"/>
        <w:rPr>
          <w:sz w:val="20"/>
          <w:szCs w:val="20"/>
          <w:color w:val="auto"/>
        </w:rPr>
      </w:pPr>
    </w:p>
    <w:p>
      <w:pPr>
        <w:jc w:val="both"/>
        <w:ind w:left="2060" w:right="839"/>
        <w:spacing w:after="0" w:line="242" w:lineRule="auto"/>
        <w:rPr>
          <w:sz w:val="20"/>
          <w:szCs w:val="20"/>
          <w:color w:val="auto"/>
        </w:rPr>
      </w:pPr>
      <w:r>
        <w:rPr>
          <w:rFonts w:ascii="Arial" w:cs="Arial" w:eastAsia="Arial" w:hAnsi="Arial"/>
          <w:sz w:val="11"/>
          <w:szCs w:val="11"/>
          <w:color w:val="auto"/>
        </w:rPr>
        <w:t>Intangible assets other than goodwill are comprised of acquired developed technology. At initial recognition, intangible assets acquired in a business combination are recognized at their fair value as of the date of acquisition. Following initial recognition, intangible assets are carried at cost less accumulated amortization and impairment losses, if any, and are amortized on a straight-line basis over the estimated useful life of the asset.</w:t>
      </w:r>
    </w:p>
    <w:p>
      <w:pPr>
        <w:spacing w:after="0" w:line="140" w:lineRule="exact"/>
        <w:rPr>
          <w:sz w:val="20"/>
          <w:szCs w:val="20"/>
          <w:color w:val="auto"/>
        </w:rPr>
      </w:pPr>
    </w:p>
    <w:p>
      <w:pPr>
        <w:jc w:val="both"/>
        <w:ind w:left="2060" w:right="839"/>
        <w:spacing w:after="0"/>
        <w:rPr>
          <w:sz w:val="20"/>
          <w:szCs w:val="20"/>
          <w:color w:val="auto"/>
        </w:rPr>
      </w:pPr>
      <w:r>
        <w:rPr>
          <w:rFonts w:ascii="Arial" w:cs="Arial" w:eastAsia="Arial" w:hAnsi="Arial"/>
          <w:sz w:val="11"/>
          <w:szCs w:val="11"/>
          <w:color w:val="auto"/>
        </w:rPr>
        <w:t>The Company reviews goodwill for impairment annually or whenever events or changes in circumstances indicate that an impairment may exist. In conducting its annual impairment test, the Company first reviews qualitative factors to determine whether it is more likely than not that the fair value of the reporting unit is less than its carrying amount. If factors indicate that the fair value of the reporting unit is less than its carrying amount, the Company performs a quantitative assessment and the fair value of the reporting unit is determined by analyzing the expected present value of future cash flows. If the carrying value of the reporting unit continues to exceed its fair value, the implied fair value of the reporting unit’s goodwill is calculated and an impairment loss equal to the excess is recorded. The Company performs its annual impairment tests in the fourth quarter of each fiscal year.</w:t>
      </w:r>
    </w:p>
    <w:p>
      <w:pPr>
        <w:spacing w:after="0" w:line="142" w:lineRule="exact"/>
        <w:rPr>
          <w:sz w:val="20"/>
          <w:szCs w:val="20"/>
          <w:color w:val="auto"/>
        </w:rPr>
      </w:pPr>
    </w:p>
    <w:p>
      <w:pPr>
        <w:jc w:val="both"/>
        <w:ind w:left="2060" w:right="839"/>
        <w:spacing w:after="0" w:line="245" w:lineRule="auto"/>
        <w:rPr>
          <w:sz w:val="20"/>
          <w:szCs w:val="20"/>
          <w:color w:val="auto"/>
        </w:rPr>
      </w:pPr>
      <w:r>
        <w:rPr>
          <w:rFonts w:ascii="Arial" w:cs="Arial" w:eastAsia="Arial" w:hAnsi="Arial"/>
          <w:sz w:val="11"/>
          <w:szCs w:val="11"/>
          <w:color w:val="auto"/>
        </w:rPr>
        <w:t>The Company assesses the impairment of intangible assets whenever events or changes in circumstances indicate that the carrying amount may not be recoverable.</w:t>
      </w:r>
    </w:p>
    <w:p>
      <w:pPr>
        <w:spacing w:after="0" w:line="198" w:lineRule="exact"/>
        <w:rPr>
          <w:sz w:val="20"/>
          <w:szCs w:val="20"/>
          <w:color w:val="auto"/>
        </w:rPr>
      </w:pPr>
    </w:p>
    <w:p>
      <w:pPr>
        <w:ind w:left="2060"/>
        <w:spacing w:after="0"/>
        <w:rPr>
          <w:sz w:val="20"/>
          <w:szCs w:val="20"/>
          <w:color w:val="auto"/>
        </w:rPr>
      </w:pPr>
      <w:r>
        <w:rPr>
          <w:rFonts w:ascii="Arial" w:cs="Arial" w:eastAsia="Arial" w:hAnsi="Arial"/>
          <w:sz w:val="11"/>
          <w:szCs w:val="11"/>
          <w:b w:val="1"/>
          <w:bCs w:val="1"/>
          <w:i w:val="1"/>
          <w:iCs w:val="1"/>
          <w:color w:val="auto"/>
        </w:rPr>
        <w:t>Impairment of Long-Lived Assets</w:t>
      </w:r>
    </w:p>
    <w:p>
      <w:pPr>
        <w:spacing w:after="0" w:line="84" w:lineRule="exact"/>
        <w:rPr>
          <w:sz w:val="20"/>
          <w:szCs w:val="20"/>
          <w:color w:val="auto"/>
        </w:rPr>
      </w:pPr>
    </w:p>
    <w:p>
      <w:pPr>
        <w:jc w:val="both"/>
        <w:ind w:left="2060" w:right="839"/>
        <w:spacing w:after="0" w:line="241" w:lineRule="auto"/>
        <w:rPr>
          <w:sz w:val="20"/>
          <w:szCs w:val="20"/>
          <w:color w:val="auto"/>
        </w:rPr>
      </w:pPr>
      <w:r>
        <w:rPr>
          <w:rFonts w:ascii="Arial" w:cs="Arial" w:eastAsia="Arial" w:hAnsi="Arial"/>
          <w:sz w:val="11"/>
          <w:szCs w:val="11"/>
          <w:color w:val="auto"/>
        </w:rPr>
        <w:t>Long-lived assets are reviewed for impairment whenever events or changes in circumstances indicate that the carrying amount of an asset may not be recoverable. Recoverability of assets to be held and used is measured by a comparison of the carrying amount of an asset to future undiscounted net cash flows expected to be generated by the asset. If the carrying amount of an asset exceeds its estimated undiscounted net future cash flows, an impairment charge is recognized for the amount by which the carrying amount of the asset exceeds fair value.</w:t>
      </w:r>
    </w:p>
    <w:p>
      <w:pPr>
        <w:spacing w:after="0" w:line="201" w:lineRule="exact"/>
        <w:rPr>
          <w:sz w:val="20"/>
          <w:szCs w:val="20"/>
          <w:color w:val="auto"/>
        </w:rPr>
      </w:pPr>
    </w:p>
    <w:p>
      <w:pPr>
        <w:ind w:left="2060"/>
        <w:spacing w:after="0"/>
        <w:rPr>
          <w:sz w:val="20"/>
          <w:szCs w:val="20"/>
          <w:color w:val="auto"/>
        </w:rPr>
      </w:pPr>
      <w:r>
        <w:rPr>
          <w:rFonts w:ascii="Arial" w:cs="Arial" w:eastAsia="Arial" w:hAnsi="Arial"/>
          <w:sz w:val="11"/>
          <w:szCs w:val="11"/>
          <w:b w:val="1"/>
          <w:bCs w:val="1"/>
          <w:i w:val="1"/>
          <w:iCs w:val="1"/>
          <w:color w:val="auto"/>
        </w:rPr>
        <w:t>Cost of Revenue</w:t>
      </w:r>
    </w:p>
    <w:p>
      <w:pPr>
        <w:spacing w:after="0" w:line="74" w:lineRule="exact"/>
        <w:rPr>
          <w:sz w:val="20"/>
          <w:szCs w:val="20"/>
          <w:color w:val="auto"/>
        </w:rPr>
      </w:pPr>
    </w:p>
    <w:p>
      <w:pPr>
        <w:ind w:left="2060"/>
        <w:spacing w:after="0"/>
        <w:rPr>
          <w:sz w:val="20"/>
          <w:szCs w:val="20"/>
          <w:color w:val="auto"/>
        </w:rPr>
      </w:pPr>
      <w:r>
        <w:rPr>
          <w:rFonts w:ascii="Arial" w:cs="Arial" w:eastAsia="Arial" w:hAnsi="Arial"/>
          <w:sz w:val="11"/>
          <w:szCs w:val="11"/>
          <w:i w:val="1"/>
          <w:iCs w:val="1"/>
          <w:color w:val="auto"/>
        </w:rPr>
        <w:t>Connected Fitness Products</w:t>
      </w:r>
    </w:p>
    <w:p>
      <w:pPr>
        <w:spacing w:after="0" w:line="82" w:lineRule="exact"/>
        <w:rPr>
          <w:sz w:val="20"/>
          <w:szCs w:val="20"/>
          <w:color w:val="auto"/>
        </w:rPr>
      </w:pPr>
    </w:p>
    <w:p>
      <w:pPr>
        <w:jc w:val="both"/>
        <w:ind w:left="2060" w:right="839"/>
        <w:spacing w:after="0" w:line="242" w:lineRule="auto"/>
        <w:rPr>
          <w:sz w:val="20"/>
          <w:szCs w:val="20"/>
          <w:color w:val="auto"/>
        </w:rPr>
      </w:pPr>
      <w:r>
        <w:rPr>
          <w:rFonts w:ascii="Arial" w:cs="Arial" w:eastAsia="Arial" w:hAnsi="Arial"/>
          <w:sz w:val="11"/>
          <w:szCs w:val="11"/>
          <w:color w:val="auto"/>
        </w:rPr>
        <w:t>Cost of revenue consists of product costs, including manufacturing costs, duties and other applicable importing costs, shipping and handling costs, packaging, warranty replacement costs, fulfillment costs, warehousing costs, and certain allocated costs related to management, facilities, and personnel-related expenses associated with supply chain logistics.</w:t>
      </w:r>
    </w:p>
    <w:p>
      <w:pPr>
        <w:spacing w:after="0" w:line="95" w:lineRule="exact"/>
        <w:rPr>
          <w:sz w:val="20"/>
          <w:szCs w:val="20"/>
          <w:color w:val="auto"/>
        </w:rPr>
      </w:pPr>
    </w:p>
    <w:p>
      <w:pPr>
        <w:ind w:left="5620"/>
        <w:spacing w:after="0"/>
        <w:rPr>
          <w:sz w:val="20"/>
          <w:szCs w:val="20"/>
          <w:color w:val="auto"/>
        </w:rPr>
      </w:pPr>
      <w:r>
        <w:rPr>
          <w:rFonts w:ascii="Arial" w:cs="Arial" w:eastAsia="Arial" w:hAnsi="Arial"/>
          <w:sz w:val="11"/>
          <w:szCs w:val="11"/>
          <w:color w:val="auto"/>
        </w:rPr>
        <w:t>F-10</w:t>
      </w:r>
    </w:p>
    <w:p>
      <w:pPr>
        <w:sectPr>
          <w:pgSz w:w="11900" w:h="16838" w:orient="portrait"/>
          <w:cols w:equalWidth="0" w:num="1">
            <w:col w:w="10239"/>
          </w:cols>
          <w:pgMar w:left="220" w:top="355" w:right="1440" w:bottom="1440" w:gutter="0" w:footer="0" w:header="0"/>
        </w:sectPr>
      </w:pPr>
    </w:p>
    <w:bookmarkStart w:id="174" w:name="page175"/>
    <w:bookmarkEnd w:id="174"/>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hyperlink w:anchor="page5">
        <w:r>
          <w:rPr>
            <w:rFonts w:ascii="Arial" w:cs="Arial" w:eastAsia="Arial" w:hAnsi="Arial"/>
            <w:sz w:val="12"/>
            <w:szCs w:val="12"/>
            <w:b w:val="1"/>
            <w:bCs w:val="1"/>
            <w:u w:val="single" w:color="auto"/>
            <w:color w:val="0000EE"/>
          </w:rPr>
          <w:t>Table of Contents</w:t>
        </w:r>
      </w:hyperlink>
    </w:p>
    <w:p>
      <w:pPr>
        <w:spacing w:after="0" w:line="200" w:lineRule="exact"/>
        <w:rPr>
          <w:sz w:val="20"/>
          <w:szCs w:val="20"/>
          <w:color w:val="auto"/>
        </w:rPr>
      </w:pPr>
    </w:p>
    <w:p>
      <w:pPr>
        <w:jc w:val="center"/>
        <w:ind w:right="-1220"/>
        <w:spacing w:after="0"/>
        <w:rPr>
          <w:sz w:val="20"/>
          <w:szCs w:val="20"/>
          <w:color w:val="auto"/>
        </w:rPr>
      </w:pPr>
      <w:r>
        <w:rPr>
          <w:rFonts w:ascii="Arial" w:cs="Arial" w:eastAsia="Arial" w:hAnsi="Arial"/>
          <w:sz w:val="12"/>
          <w:szCs w:val="12"/>
          <w:b w:val="1"/>
          <w:bCs w:val="1"/>
          <w:color w:val="auto"/>
        </w:rPr>
        <w:t>PELOTON INTERACTIVE, INC.</w:t>
      </w:r>
    </w:p>
    <w:p>
      <w:pPr>
        <w:spacing w:after="0" w:line="11" w:lineRule="exact"/>
        <w:rPr>
          <w:sz w:val="20"/>
          <w:szCs w:val="20"/>
          <w:color w:val="auto"/>
        </w:rPr>
      </w:pPr>
    </w:p>
    <w:p>
      <w:pPr>
        <w:jc w:val="center"/>
        <w:ind w:right="-1220"/>
        <w:spacing w:after="0"/>
        <w:rPr>
          <w:sz w:val="20"/>
          <w:szCs w:val="20"/>
          <w:color w:val="auto"/>
        </w:rPr>
      </w:pPr>
      <w:r>
        <w:rPr>
          <w:rFonts w:ascii="Arial" w:cs="Arial" w:eastAsia="Arial" w:hAnsi="Arial"/>
          <w:sz w:val="12"/>
          <w:szCs w:val="12"/>
          <w:b w:val="1"/>
          <w:bCs w:val="1"/>
          <w:color w:val="auto"/>
        </w:rPr>
        <w:t>NOTES TO CONSOLIDATED FINANCIAL STATEMENTS</w:t>
      </w:r>
    </w:p>
    <w:p>
      <w:pPr>
        <w:spacing w:after="0" w:line="70" w:lineRule="exact"/>
        <w:rPr>
          <w:sz w:val="20"/>
          <w:szCs w:val="20"/>
          <w:color w:val="auto"/>
        </w:rPr>
      </w:pPr>
    </w:p>
    <w:p>
      <w:pPr>
        <w:ind w:left="2060"/>
        <w:spacing w:after="0"/>
        <w:rPr>
          <w:sz w:val="20"/>
          <w:szCs w:val="20"/>
          <w:color w:val="auto"/>
        </w:rPr>
      </w:pPr>
      <w:r>
        <w:rPr>
          <w:rFonts w:ascii="Arial" w:cs="Arial" w:eastAsia="Arial" w:hAnsi="Arial"/>
          <w:sz w:val="11"/>
          <w:szCs w:val="11"/>
          <w:i w:val="1"/>
          <w:iCs w:val="1"/>
          <w:color w:val="auto"/>
        </w:rPr>
        <w:t>Subscription</w:t>
      </w:r>
    </w:p>
    <w:p>
      <w:pPr>
        <w:spacing w:after="0" w:line="82" w:lineRule="exact"/>
        <w:rPr>
          <w:sz w:val="20"/>
          <w:szCs w:val="20"/>
          <w:color w:val="auto"/>
        </w:rPr>
      </w:pPr>
    </w:p>
    <w:p>
      <w:pPr>
        <w:jc w:val="both"/>
        <w:ind w:left="2060" w:right="839"/>
        <w:spacing w:after="0" w:line="241" w:lineRule="auto"/>
        <w:rPr>
          <w:sz w:val="20"/>
          <w:szCs w:val="20"/>
          <w:color w:val="auto"/>
        </w:rPr>
      </w:pPr>
      <w:r>
        <w:rPr>
          <w:rFonts w:ascii="Arial" w:cs="Arial" w:eastAsia="Arial" w:hAnsi="Arial"/>
          <w:sz w:val="11"/>
          <w:szCs w:val="11"/>
          <w:color w:val="auto"/>
        </w:rPr>
        <w:t>Subscription cost of revenue includes costs associated with content creation and cost to stream content to our Members across the Company’s platform. These costs consist of both fixed costs, including studio rent and occupancy, other studio overhead and instructor and production personnel costs, and variable costs, including music royalty fees, content costs for past use, third-party platform streaming costs, and payment processing fees for our monthly subscription billings.</w:t>
      </w:r>
    </w:p>
    <w:p>
      <w:pPr>
        <w:spacing w:after="0" w:line="201" w:lineRule="exact"/>
        <w:rPr>
          <w:sz w:val="20"/>
          <w:szCs w:val="20"/>
          <w:color w:val="auto"/>
        </w:rPr>
      </w:pPr>
    </w:p>
    <w:p>
      <w:pPr>
        <w:ind w:left="2060"/>
        <w:spacing w:after="0"/>
        <w:rPr>
          <w:sz w:val="20"/>
          <w:szCs w:val="20"/>
          <w:color w:val="auto"/>
        </w:rPr>
      </w:pPr>
      <w:r>
        <w:rPr>
          <w:rFonts w:ascii="Arial" w:cs="Arial" w:eastAsia="Arial" w:hAnsi="Arial"/>
          <w:sz w:val="11"/>
          <w:szCs w:val="11"/>
          <w:b w:val="1"/>
          <w:bCs w:val="1"/>
          <w:i w:val="1"/>
          <w:iCs w:val="1"/>
          <w:color w:val="auto"/>
        </w:rPr>
        <w:t>Music Royalty Fees</w:t>
      </w:r>
    </w:p>
    <w:p>
      <w:pPr>
        <w:spacing w:after="0" w:line="84" w:lineRule="exact"/>
        <w:rPr>
          <w:sz w:val="20"/>
          <w:szCs w:val="20"/>
          <w:color w:val="auto"/>
        </w:rPr>
      </w:pPr>
    </w:p>
    <w:p>
      <w:pPr>
        <w:jc w:val="both"/>
        <w:ind w:left="2060" w:right="839"/>
        <w:spacing w:after="0"/>
        <w:rPr>
          <w:sz w:val="20"/>
          <w:szCs w:val="20"/>
          <w:color w:val="auto"/>
        </w:rPr>
      </w:pPr>
      <w:r>
        <w:rPr>
          <w:rFonts w:ascii="Arial" w:cs="Arial" w:eastAsia="Arial" w:hAnsi="Arial"/>
          <w:sz w:val="11"/>
          <w:szCs w:val="11"/>
          <w:color w:val="auto"/>
        </w:rPr>
        <w:t>The Company recognizes music royalty fees on all music it streams to Members as these fees are incurred in accordance with the terms of the relevant license agreement with the music rights holder. The incurrence of the royalties is primarily driven by content usage by the Company’s Members on a fee-per-play basis through the use of the Company’s Subscriptions and classified within subscription cost of revenue within the Company’s statement of operations. The Company’s license agreements with music rights holders generally include provisions for advance royalties as well as minimum guarantees. When a minimum guarantee is paid in advance, the guarantee is recorded as a prepaid expense and amortized to subscription cost of revenue.</w:t>
      </w:r>
    </w:p>
    <w:p>
      <w:pPr>
        <w:spacing w:after="0" w:line="142" w:lineRule="exact"/>
        <w:rPr>
          <w:sz w:val="20"/>
          <w:szCs w:val="20"/>
          <w:color w:val="auto"/>
        </w:rPr>
      </w:pPr>
    </w:p>
    <w:p>
      <w:pPr>
        <w:jc w:val="both"/>
        <w:ind w:left="2060" w:right="839"/>
        <w:spacing w:after="0"/>
        <w:rPr>
          <w:sz w:val="20"/>
          <w:szCs w:val="20"/>
          <w:color w:val="auto"/>
        </w:rPr>
      </w:pPr>
      <w:r>
        <w:rPr>
          <w:rFonts w:ascii="Arial" w:cs="Arial" w:eastAsia="Arial" w:hAnsi="Arial"/>
          <w:sz w:val="11"/>
          <w:szCs w:val="11"/>
          <w:color w:val="auto"/>
        </w:rPr>
        <w:t>As the Company executes music license agreements with various music rights holders for go-forward usage, the Company may also simultaneously enter into a settlement agreement whereby the Company is released from all potential licensor claims regarding the Company’s alleged past use of copyrighted material in exchange for a negotiated payment. These are referred to as “content costs for past use” and are recorded within subscription cost of revenue. The Company has entered into agreements with music rights holders who represent all the music catalogs that the Company needs to operate its service, however, given the uncertain and opaque nature of music rights ownership, the Company’s archived library may continue to include music for which certain rights or fractional interests have not been accurately determined or fully licensed. Prior to the execution of a music license agreement, the Company estimates and records a charge based upon license agreements previously entered into and the market share and size of the music rights holder.</w:t>
      </w:r>
    </w:p>
    <w:p>
      <w:pPr>
        <w:spacing w:after="0" w:line="201" w:lineRule="exact"/>
        <w:rPr>
          <w:sz w:val="20"/>
          <w:szCs w:val="20"/>
          <w:color w:val="auto"/>
        </w:rPr>
      </w:pPr>
    </w:p>
    <w:p>
      <w:pPr>
        <w:ind w:left="2060"/>
        <w:spacing w:after="0"/>
        <w:rPr>
          <w:sz w:val="20"/>
          <w:szCs w:val="20"/>
          <w:color w:val="auto"/>
        </w:rPr>
      </w:pPr>
      <w:r>
        <w:rPr>
          <w:rFonts w:ascii="Arial" w:cs="Arial" w:eastAsia="Arial" w:hAnsi="Arial"/>
          <w:sz w:val="11"/>
          <w:szCs w:val="11"/>
          <w:b w:val="1"/>
          <w:bCs w:val="1"/>
          <w:i w:val="1"/>
          <w:iCs w:val="1"/>
          <w:color w:val="auto"/>
        </w:rPr>
        <w:t>Income Taxes</w:t>
      </w:r>
    </w:p>
    <w:p>
      <w:pPr>
        <w:spacing w:after="0" w:line="84" w:lineRule="exact"/>
        <w:rPr>
          <w:sz w:val="20"/>
          <w:szCs w:val="20"/>
          <w:color w:val="auto"/>
        </w:rPr>
      </w:pPr>
    </w:p>
    <w:p>
      <w:pPr>
        <w:jc w:val="both"/>
        <w:ind w:left="2060" w:right="839"/>
        <w:spacing w:after="0"/>
        <w:rPr>
          <w:sz w:val="20"/>
          <w:szCs w:val="20"/>
          <w:color w:val="auto"/>
        </w:rPr>
      </w:pPr>
      <w:r>
        <w:rPr>
          <w:rFonts w:ascii="Arial" w:cs="Arial" w:eastAsia="Arial" w:hAnsi="Arial"/>
          <w:sz w:val="11"/>
          <w:szCs w:val="11"/>
          <w:color w:val="auto"/>
        </w:rPr>
        <w:t>The Company utilizes the asset and liability method for computing its income tax provision. Deferred tax assets and liabilities reflect the expected future consequences of temporary differences between the financial reporting and tax bases of assets and liabilities as well as operating loss, capital loss, and tax credit carryforwards, using enacted tax rates. Management makes estimates, assumptions, and judgments to determine the Company’s provision for income taxes, deferred tax assets and liabilities, and any valuation allowance recorded against deferred tax assets. The Company assesses the likelihood that its deferred tax assets will be recovered from future taxable income and, to the extent the Company believes recovery is not likely, establishes a valuation allowance.</w:t>
      </w:r>
    </w:p>
    <w:p>
      <w:pPr>
        <w:spacing w:after="0" w:line="142" w:lineRule="exact"/>
        <w:rPr>
          <w:sz w:val="20"/>
          <w:szCs w:val="20"/>
          <w:color w:val="auto"/>
        </w:rPr>
      </w:pPr>
    </w:p>
    <w:p>
      <w:pPr>
        <w:jc w:val="both"/>
        <w:ind w:left="2060" w:right="839"/>
        <w:spacing w:after="0" w:line="241" w:lineRule="auto"/>
        <w:rPr>
          <w:sz w:val="20"/>
          <w:szCs w:val="20"/>
          <w:color w:val="auto"/>
        </w:rPr>
      </w:pPr>
      <w:r>
        <w:rPr>
          <w:rFonts w:ascii="Arial" w:cs="Arial" w:eastAsia="Arial" w:hAnsi="Arial"/>
          <w:sz w:val="11"/>
          <w:szCs w:val="11"/>
          <w:color w:val="auto"/>
        </w:rPr>
        <w:t>The Company recognizes the tax benefit from an uncertain tax position only if it is more likely than not the tax position will be sustained on examination by the taxing authorities based on the technical merits of the position. The tax benefits recognized from such positions are then measured based on the largest benefit that has a greater than 50% likelihood of being realized upon settlement. Interest and penalties related to unrecognized tax benefits, which to date have not been material, are recognized within income tax expense.</w:t>
      </w:r>
    </w:p>
    <w:p>
      <w:pPr>
        <w:spacing w:after="0" w:line="201" w:lineRule="exact"/>
        <w:rPr>
          <w:sz w:val="20"/>
          <w:szCs w:val="20"/>
          <w:color w:val="auto"/>
        </w:rPr>
      </w:pPr>
    </w:p>
    <w:p>
      <w:pPr>
        <w:ind w:left="2060"/>
        <w:spacing w:after="0"/>
        <w:rPr>
          <w:sz w:val="20"/>
          <w:szCs w:val="20"/>
          <w:color w:val="auto"/>
        </w:rPr>
      </w:pPr>
      <w:r>
        <w:rPr>
          <w:rFonts w:ascii="Arial" w:cs="Arial" w:eastAsia="Arial" w:hAnsi="Arial"/>
          <w:sz w:val="11"/>
          <w:szCs w:val="11"/>
          <w:b w:val="1"/>
          <w:bCs w:val="1"/>
          <w:i w:val="1"/>
          <w:iCs w:val="1"/>
          <w:color w:val="auto"/>
        </w:rPr>
        <w:t>Research and Development Costs</w:t>
      </w:r>
    </w:p>
    <w:p>
      <w:pPr>
        <w:spacing w:after="0" w:line="84" w:lineRule="exact"/>
        <w:rPr>
          <w:sz w:val="20"/>
          <w:szCs w:val="20"/>
          <w:color w:val="auto"/>
        </w:rPr>
      </w:pPr>
    </w:p>
    <w:p>
      <w:pPr>
        <w:jc w:val="both"/>
        <w:ind w:left="2060" w:right="839"/>
        <w:spacing w:after="0" w:line="241" w:lineRule="auto"/>
        <w:rPr>
          <w:sz w:val="20"/>
          <w:szCs w:val="20"/>
          <w:color w:val="auto"/>
        </w:rPr>
      </w:pPr>
      <w:r>
        <w:rPr>
          <w:rFonts w:ascii="Arial" w:cs="Arial" w:eastAsia="Arial" w:hAnsi="Arial"/>
          <w:sz w:val="11"/>
          <w:szCs w:val="11"/>
          <w:color w:val="auto"/>
        </w:rPr>
        <w:t>Research and development expenses consist primarily of personnel- and facilities-related expenses, consulting and contractor expenses, tooling and prototype materials and software platform expenses. Substantially all of the Company’s research and development expenses are related to developing new products and services and improving existing products and services. Research and development expenses are expensed as incurred. For the fiscal years ended June 30, 2017, 2018, and 2019, research and development costs were $13.0 million, $23.4 million, $54.8 million, respectively.</w:t>
      </w:r>
    </w:p>
    <w:p>
      <w:pPr>
        <w:spacing w:after="0" w:line="95" w:lineRule="exact"/>
        <w:rPr>
          <w:sz w:val="20"/>
          <w:szCs w:val="20"/>
          <w:color w:val="auto"/>
        </w:rPr>
      </w:pPr>
    </w:p>
    <w:p>
      <w:pPr>
        <w:ind w:left="5620"/>
        <w:spacing w:after="0"/>
        <w:rPr>
          <w:sz w:val="20"/>
          <w:szCs w:val="20"/>
          <w:color w:val="auto"/>
        </w:rPr>
      </w:pPr>
      <w:r>
        <w:rPr>
          <w:rFonts w:ascii="Arial" w:cs="Arial" w:eastAsia="Arial" w:hAnsi="Arial"/>
          <w:sz w:val="11"/>
          <w:szCs w:val="11"/>
          <w:color w:val="auto"/>
        </w:rPr>
        <w:t>F-11</w:t>
      </w:r>
    </w:p>
    <w:p>
      <w:pPr>
        <w:sectPr>
          <w:pgSz w:w="11900" w:h="16838" w:orient="portrait"/>
          <w:cols w:equalWidth="0" w:num="1">
            <w:col w:w="10239"/>
          </w:cols>
          <w:pgMar w:left="220" w:top="354" w:right="1440" w:bottom="1440" w:gutter="0" w:footer="0" w:header="0"/>
        </w:sectPr>
      </w:pPr>
    </w:p>
    <w:bookmarkStart w:id="175" w:name="page176"/>
    <w:bookmarkEnd w:id="175"/>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hyperlink w:anchor="page5">
        <w:r>
          <w:rPr>
            <w:rFonts w:ascii="Arial" w:cs="Arial" w:eastAsia="Arial" w:hAnsi="Arial"/>
            <w:sz w:val="12"/>
            <w:szCs w:val="12"/>
            <w:b w:val="1"/>
            <w:bCs w:val="1"/>
            <w:u w:val="single" w:color="auto"/>
            <w:color w:val="0000EE"/>
          </w:rPr>
          <w:t>Table of Contents</w:t>
        </w:r>
      </w:hyperlink>
    </w:p>
    <w:p>
      <w:pPr>
        <w:spacing w:after="0" w:line="200" w:lineRule="exact"/>
        <w:rPr>
          <w:sz w:val="20"/>
          <w:szCs w:val="20"/>
          <w:color w:val="auto"/>
        </w:rPr>
      </w:pPr>
    </w:p>
    <w:p>
      <w:pPr>
        <w:jc w:val="center"/>
        <w:ind w:right="-1220"/>
        <w:spacing w:after="0"/>
        <w:rPr>
          <w:sz w:val="20"/>
          <w:szCs w:val="20"/>
          <w:color w:val="auto"/>
        </w:rPr>
      </w:pPr>
      <w:r>
        <w:rPr>
          <w:rFonts w:ascii="Arial" w:cs="Arial" w:eastAsia="Arial" w:hAnsi="Arial"/>
          <w:sz w:val="12"/>
          <w:szCs w:val="12"/>
          <w:b w:val="1"/>
          <w:bCs w:val="1"/>
          <w:color w:val="auto"/>
        </w:rPr>
        <w:t>PELOTON INTERACTIVE, INC.</w:t>
      </w:r>
    </w:p>
    <w:p>
      <w:pPr>
        <w:spacing w:after="0" w:line="11" w:lineRule="exact"/>
        <w:rPr>
          <w:sz w:val="20"/>
          <w:szCs w:val="20"/>
          <w:color w:val="auto"/>
        </w:rPr>
      </w:pPr>
    </w:p>
    <w:p>
      <w:pPr>
        <w:jc w:val="center"/>
        <w:ind w:right="-1220"/>
        <w:spacing w:after="0"/>
        <w:rPr>
          <w:sz w:val="20"/>
          <w:szCs w:val="20"/>
          <w:color w:val="auto"/>
        </w:rPr>
      </w:pPr>
      <w:r>
        <w:rPr>
          <w:rFonts w:ascii="Arial" w:cs="Arial" w:eastAsia="Arial" w:hAnsi="Arial"/>
          <w:sz w:val="12"/>
          <w:szCs w:val="12"/>
          <w:b w:val="1"/>
          <w:bCs w:val="1"/>
          <w:color w:val="auto"/>
        </w:rPr>
        <w:t>NOTES TO CONSOLIDATED FINANCIAL STATEMENTS</w:t>
      </w:r>
    </w:p>
    <w:p>
      <w:pPr>
        <w:spacing w:after="0" w:line="68" w:lineRule="exact"/>
        <w:rPr>
          <w:sz w:val="20"/>
          <w:szCs w:val="20"/>
          <w:color w:val="auto"/>
        </w:rPr>
      </w:pPr>
    </w:p>
    <w:p>
      <w:pPr>
        <w:ind w:left="2060"/>
        <w:spacing w:after="0"/>
        <w:rPr>
          <w:sz w:val="20"/>
          <w:szCs w:val="20"/>
          <w:color w:val="auto"/>
        </w:rPr>
      </w:pPr>
      <w:r>
        <w:rPr>
          <w:rFonts w:ascii="Arial" w:cs="Arial" w:eastAsia="Arial" w:hAnsi="Arial"/>
          <w:sz w:val="11"/>
          <w:szCs w:val="11"/>
          <w:b w:val="1"/>
          <w:bCs w:val="1"/>
          <w:i w:val="1"/>
          <w:iCs w:val="1"/>
          <w:color w:val="auto"/>
        </w:rPr>
        <w:t>Stock-Based Compensation</w:t>
      </w:r>
    </w:p>
    <w:p>
      <w:pPr>
        <w:spacing w:after="0" w:line="84" w:lineRule="exact"/>
        <w:rPr>
          <w:sz w:val="20"/>
          <w:szCs w:val="20"/>
          <w:color w:val="auto"/>
        </w:rPr>
      </w:pPr>
    </w:p>
    <w:p>
      <w:pPr>
        <w:jc w:val="both"/>
        <w:ind w:left="2060" w:right="839"/>
        <w:spacing w:after="0" w:line="239" w:lineRule="auto"/>
        <w:rPr>
          <w:sz w:val="20"/>
          <w:szCs w:val="20"/>
          <w:color w:val="auto"/>
        </w:rPr>
      </w:pPr>
      <w:r>
        <w:rPr>
          <w:rFonts w:ascii="Arial" w:cs="Arial" w:eastAsia="Arial" w:hAnsi="Arial"/>
          <w:sz w:val="11"/>
          <w:szCs w:val="11"/>
          <w:color w:val="auto"/>
        </w:rPr>
        <w:t>Stock-based awards are measured at the grant date based on the fair value of the award and are recognized as expense, net of actual forfeitures, on a straight-line basis over the requisite service period, which is generally the vesting period of the respective award. For performance-based options issued, the value of the instrument is measured at the grant date as the fair value of the award and expensed over the vesting term under an accelerated attribution method when the performance targets are considered probable of being achieved. The Company estimates the fair value of stock options using the Black-Scholes option pricing model. The determination of the grant date fair value of stock awards issued is affected by a number of variables, including the fair value of the Company’s common stock, the expected common stock price volatility over the expected life of the options, the expected term of the stock option, risk-free interest rates, and the expected dividend yield of the Company’s common stock. The Company derives its volatility from the average historical stock volatilities of several peer public companies over a period equivalent to the expected term of the awards. The Company estimates the expected term based on the simplified method for employee stock options considered to be “plain vanilla” options, as the Company’s historical share option exercise experience does not provide a reasonable basis upon which to estimate the expected term. The risk-free interest rate is based on the United States Treasury yield curve in effect at the time of grant. Expected dividend yield is 0.0% as the Company has not paid and does not anticipate paying dividends on its common stock.</w:t>
      </w:r>
    </w:p>
    <w:p>
      <w:pPr>
        <w:spacing w:after="0" w:line="146" w:lineRule="exact"/>
        <w:rPr>
          <w:sz w:val="20"/>
          <w:szCs w:val="20"/>
          <w:color w:val="auto"/>
        </w:rPr>
      </w:pPr>
    </w:p>
    <w:p>
      <w:pPr>
        <w:jc w:val="both"/>
        <w:ind w:left="2060" w:right="839"/>
        <w:spacing w:after="0" w:line="245" w:lineRule="auto"/>
        <w:rPr>
          <w:sz w:val="20"/>
          <w:szCs w:val="20"/>
          <w:color w:val="auto"/>
        </w:rPr>
      </w:pPr>
      <w:r>
        <w:rPr>
          <w:rFonts w:ascii="Arial" w:cs="Arial" w:eastAsia="Arial" w:hAnsi="Arial"/>
          <w:sz w:val="11"/>
          <w:szCs w:val="11"/>
          <w:color w:val="auto"/>
        </w:rPr>
        <w:t>Generally, the Company’s stock options plans permit early exercise. The unvested portion of shares exercised is recorded as a liability on the Company’s balance sheet and reclassified to equity as vesting occurs.</w:t>
      </w:r>
    </w:p>
    <w:p>
      <w:pPr>
        <w:spacing w:after="0" w:line="198" w:lineRule="exact"/>
        <w:rPr>
          <w:sz w:val="20"/>
          <w:szCs w:val="20"/>
          <w:color w:val="auto"/>
        </w:rPr>
      </w:pPr>
    </w:p>
    <w:p>
      <w:pPr>
        <w:ind w:left="2060"/>
        <w:spacing w:after="0"/>
        <w:rPr>
          <w:sz w:val="20"/>
          <w:szCs w:val="20"/>
          <w:color w:val="auto"/>
        </w:rPr>
      </w:pPr>
      <w:r>
        <w:rPr>
          <w:rFonts w:ascii="Arial" w:cs="Arial" w:eastAsia="Arial" w:hAnsi="Arial"/>
          <w:sz w:val="11"/>
          <w:szCs w:val="11"/>
          <w:b w:val="1"/>
          <w:bCs w:val="1"/>
          <w:i w:val="1"/>
          <w:iCs w:val="1"/>
          <w:color w:val="auto"/>
        </w:rPr>
        <w:t>Common Stock Valuations</w:t>
      </w:r>
    </w:p>
    <w:p>
      <w:pPr>
        <w:spacing w:after="0" w:line="84" w:lineRule="exact"/>
        <w:rPr>
          <w:sz w:val="20"/>
          <w:szCs w:val="20"/>
          <w:color w:val="auto"/>
        </w:rPr>
      </w:pPr>
    </w:p>
    <w:p>
      <w:pPr>
        <w:jc w:val="both"/>
        <w:ind w:left="2060" w:right="839"/>
        <w:spacing w:after="0" w:line="241" w:lineRule="auto"/>
        <w:rPr>
          <w:sz w:val="20"/>
          <w:szCs w:val="20"/>
          <w:color w:val="auto"/>
        </w:rPr>
      </w:pPr>
      <w:r>
        <w:rPr>
          <w:rFonts w:ascii="Arial" w:cs="Arial" w:eastAsia="Arial" w:hAnsi="Arial"/>
          <w:sz w:val="11"/>
          <w:szCs w:val="11"/>
          <w:color w:val="auto"/>
        </w:rPr>
        <w:t>The Company has historically granted stock options at exercise prices equal to the fair value as determined by the Company’s Board of Directors (“Board of Directors”) on the date of grant. In the absence of a public trading market, the Board of Directors, with input from management, exercises significant judgment and consider numerous objective and subjective factors to determine the fair value of the Company’s common stock as of the date of each stock option grant, including:</w:t>
      </w:r>
    </w:p>
    <w:p>
      <w:pPr>
        <w:spacing w:after="0" w:line="77" w:lineRule="exact"/>
        <w:rPr>
          <w:sz w:val="20"/>
          <w:szCs w:val="20"/>
          <w:color w:val="auto"/>
        </w:rPr>
      </w:pPr>
    </w:p>
    <w:p>
      <w:pPr>
        <w:ind w:left="2560" w:hanging="141"/>
        <w:spacing w:after="0"/>
        <w:tabs>
          <w:tab w:leader="none" w:pos="2560" w:val="left"/>
        </w:tabs>
        <w:numPr>
          <w:ilvl w:val="0"/>
          <w:numId w:val="109"/>
        </w:numPr>
        <w:rPr>
          <w:rFonts w:ascii="Arial" w:cs="Arial" w:eastAsia="Arial" w:hAnsi="Arial"/>
          <w:sz w:val="11"/>
          <w:szCs w:val="11"/>
          <w:color w:val="auto"/>
        </w:rPr>
      </w:pPr>
      <w:r>
        <w:rPr>
          <w:rFonts w:ascii="Arial" w:cs="Arial" w:eastAsia="Arial" w:hAnsi="Arial"/>
          <w:sz w:val="11"/>
          <w:szCs w:val="11"/>
          <w:color w:val="auto"/>
        </w:rPr>
        <w:t>relevant precedent transactions involving the Company’s capital stock;</w:t>
      </w:r>
    </w:p>
    <w:p>
      <w:pPr>
        <w:spacing w:after="0" w:line="80" w:lineRule="exact"/>
        <w:rPr>
          <w:rFonts w:ascii="Arial" w:cs="Arial" w:eastAsia="Arial" w:hAnsi="Arial"/>
          <w:sz w:val="11"/>
          <w:szCs w:val="11"/>
          <w:color w:val="auto"/>
        </w:rPr>
      </w:pPr>
    </w:p>
    <w:p>
      <w:pPr>
        <w:ind w:left="2560" w:right="839" w:hanging="141"/>
        <w:spacing w:after="0" w:line="245" w:lineRule="auto"/>
        <w:tabs>
          <w:tab w:leader="none" w:pos="2560" w:val="left"/>
        </w:tabs>
        <w:numPr>
          <w:ilvl w:val="0"/>
          <w:numId w:val="109"/>
        </w:numPr>
        <w:rPr>
          <w:rFonts w:ascii="Arial" w:cs="Arial" w:eastAsia="Arial" w:hAnsi="Arial"/>
          <w:sz w:val="11"/>
          <w:szCs w:val="11"/>
          <w:color w:val="auto"/>
        </w:rPr>
      </w:pPr>
      <w:r>
        <w:rPr>
          <w:rFonts w:ascii="Arial" w:cs="Arial" w:eastAsia="Arial" w:hAnsi="Arial"/>
          <w:sz w:val="11"/>
          <w:szCs w:val="11"/>
          <w:color w:val="auto"/>
        </w:rPr>
        <w:t>the liquidation preferences, rights, preferences, and privileges of the Company’s redeemable convertible preferred stock relative to the common stock;</w:t>
      </w:r>
    </w:p>
    <w:p>
      <w:pPr>
        <w:spacing w:after="0" w:line="75" w:lineRule="exact"/>
        <w:rPr>
          <w:rFonts w:ascii="Arial" w:cs="Arial" w:eastAsia="Arial" w:hAnsi="Arial"/>
          <w:sz w:val="11"/>
          <w:szCs w:val="11"/>
          <w:color w:val="auto"/>
        </w:rPr>
      </w:pPr>
    </w:p>
    <w:p>
      <w:pPr>
        <w:ind w:left="2560" w:hanging="141"/>
        <w:spacing w:after="0"/>
        <w:tabs>
          <w:tab w:leader="none" w:pos="2560" w:val="left"/>
        </w:tabs>
        <w:numPr>
          <w:ilvl w:val="0"/>
          <w:numId w:val="109"/>
        </w:numPr>
        <w:rPr>
          <w:rFonts w:ascii="Arial" w:cs="Arial" w:eastAsia="Arial" w:hAnsi="Arial"/>
          <w:sz w:val="11"/>
          <w:szCs w:val="11"/>
          <w:color w:val="auto"/>
        </w:rPr>
      </w:pPr>
      <w:r>
        <w:rPr>
          <w:rFonts w:ascii="Arial" w:cs="Arial" w:eastAsia="Arial" w:hAnsi="Arial"/>
          <w:sz w:val="11"/>
          <w:szCs w:val="11"/>
          <w:color w:val="auto"/>
        </w:rPr>
        <w:t>the Company’s actual operating and financial performance;</w:t>
      </w:r>
    </w:p>
    <w:p>
      <w:pPr>
        <w:spacing w:after="0" w:line="80" w:lineRule="exact"/>
        <w:rPr>
          <w:rFonts w:ascii="Arial" w:cs="Arial" w:eastAsia="Arial" w:hAnsi="Arial"/>
          <w:sz w:val="11"/>
          <w:szCs w:val="11"/>
          <w:color w:val="auto"/>
        </w:rPr>
      </w:pPr>
    </w:p>
    <w:p>
      <w:pPr>
        <w:ind w:left="2560" w:hanging="141"/>
        <w:spacing w:after="0"/>
        <w:tabs>
          <w:tab w:leader="none" w:pos="2560" w:val="left"/>
        </w:tabs>
        <w:numPr>
          <w:ilvl w:val="0"/>
          <w:numId w:val="109"/>
        </w:numPr>
        <w:rPr>
          <w:rFonts w:ascii="Arial" w:cs="Arial" w:eastAsia="Arial" w:hAnsi="Arial"/>
          <w:sz w:val="11"/>
          <w:szCs w:val="11"/>
          <w:color w:val="auto"/>
        </w:rPr>
      </w:pPr>
      <w:r>
        <w:rPr>
          <w:rFonts w:ascii="Arial" w:cs="Arial" w:eastAsia="Arial" w:hAnsi="Arial"/>
          <w:sz w:val="11"/>
          <w:szCs w:val="11"/>
          <w:color w:val="auto"/>
        </w:rPr>
        <w:t>current business conditions and projections;</w:t>
      </w:r>
    </w:p>
    <w:p>
      <w:pPr>
        <w:spacing w:after="0" w:line="80" w:lineRule="exact"/>
        <w:rPr>
          <w:rFonts w:ascii="Arial" w:cs="Arial" w:eastAsia="Arial" w:hAnsi="Arial"/>
          <w:sz w:val="11"/>
          <w:szCs w:val="11"/>
          <w:color w:val="auto"/>
        </w:rPr>
      </w:pPr>
    </w:p>
    <w:p>
      <w:pPr>
        <w:ind w:left="2560" w:hanging="141"/>
        <w:spacing w:after="0"/>
        <w:tabs>
          <w:tab w:leader="none" w:pos="2560" w:val="left"/>
        </w:tabs>
        <w:numPr>
          <w:ilvl w:val="0"/>
          <w:numId w:val="109"/>
        </w:numPr>
        <w:rPr>
          <w:rFonts w:ascii="Arial" w:cs="Arial" w:eastAsia="Arial" w:hAnsi="Arial"/>
          <w:sz w:val="11"/>
          <w:szCs w:val="11"/>
          <w:color w:val="auto"/>
        </w:rPr>
      </w:pPr>
      <w:r>
        <w:rPr>
          <w:rFonts w:ascii="Arial" w:cs="Arial" w:eastAsia="Arial" w:hAnsi="Arial"/>
          <w:sz w:val="11"/>
          <w:szCs w:val="11"/>
          <w:color w:val="auto"/>
        </w:rPr>
        <w:t>the Company’s stage of development;</w:t>
      </w:r>
    </w:p>
    <w:p>
      <w:pPr>
        <w:spacing w:after="0" w:line="80" w:lineRule="exact"/>
        <w:rPr>
          <w:rFonts w:ascii="Arial" w:cs="Arial" w:eastAsia="Arial" w:hAnsi="Arial"/>
          <w:sz w:val="11"/>
          <w:szCs w:val="11"/>
          <w:color w:val="auto"/>
        </w:rPr>
      </w:pPr>
    </w:p>
    <w:p>
      <w:pPr>
        <w:ind w:left="2560" w:right="839" w:hanging="141"/>
        <w:spacing w:after="0" w:line="245" w:lineRule="auto"/>
        <w:tabs>
          <w:tab w:leader="none" w:pos="2560" w:val="left"/>
        </w:tabs>
        <w:numPr>
          <w:ilvl w:val="0"/>
          <w:numId w:val="109"/>
        </w:numPr>
        <w:rPr>
          <w:rFonts w:ascii="Arial" w:cs="Arial" w:eastAsia="Arial" w:hAnsi="Arial"/>
          <w:sz w:val="11"/>
          <w:szCs w:val="11"/>
          <w:color w:val="auto"/>
        </w:rPr>
      </w:pPr>
      <w:r>
        <w:rPr>
          <w:rFonts w:ascii="Arial" w:cs="Arial" w:eastAsia="Arial" w:hAnsi="Arial"/>
          <w:sz w:val="11"/>
          <w:szCs w:val="11"/>
          <w:color w:val="auto"/>
        </w:rPr>
        <w:t>the likelihood and timing of achieving a liquidity event for the shares of common stock underlying the stock options, such as an initial public offering, given prevailing market conditions;</w:t>
      </w:r>
    </w:p>
    <w:p>
      <w:pPr>
        <w:spacing w:after="0" w:line="75" w:lineRule="exact"/>
        <w:rPr>
          <w:rFonts w:ascii="Arial" w:cs="Arial" w:eastAsia="Arial" w:hAnsi="Arial"/>
          <w:sz w:val="11"/>
          <w:szCs w:val="11"/>
          <w:color w:val="auto"/>
        </w:rPr>
      </w:pPr>
    </w:p>
    <w:p>
      <w:pPr>
        <w:ind w:left="2560" w:hanging="141"/>
        <w:spacing w:after="0"/>
        <w:tabs>
          <w:tab w:leader="none" w:pos="2560" w:val="left"/>
        </w:tabs>
        <w:numPr>
          <w:ilvl w:val="0"/>
          <w:numId w:val="109"/>
        </w:numPr>
        <w:rPr>
          <w:rFonts w:ascii="Arial" w:cs="Arial" w:eastAsia="Arial" w:hAnsi="Arial"/>
          <w:sz w:val="11"/>
          <w:szCs w:val="11"/>
          <w:color w:val="auto"/>
        </w:rPr>
      </w:pPr>
      <w:r>
        <w:rPr>
          <w:rFonts w:ascii="Arial" w:cs="Arial" w:eastAsia="Arial" w:hAnsi="Arial"/>
          <w:sz w:val="11"/>
          <w:szCs w:val="11"/>
          <w:color w:val="auto"/>
        </w:rPr>
        <w:t>any adjustment necessary to recognize a lack of marketability of the common stock underlying the granted options;</w:t>
      </w:r>
    </w:p>
    <w:p>
      <w:pPr>
        <w:spacing w:after="0" w:line="80" w:lineRule="exact"/>
        <w:rPr>
          <w:rFonts w:ascii="Arial" w:cs="Arial" w:eastAsia="Arial" w:hAnsi="Arial"/>
          <w:sz w:val="11"/>
          <w:szCs w:val="11"/>
          <w:color w:val="auto"/>
        </w:rPr>
      </w:pPr>
    </w:p>
    <w:p>
      <w:pPr>
        <w:ind w:left="2560" w:hanging="141"/>
        <w:spacing w:after="0"/>
        <w:tabs>
          <w:tab w:leader="none" w:pos="2560" w:val="left"/>
        </w:tabs>
        <w:numPr>
          <w:ilvl w:val="0"/>
          <w:numId w:val="109"/>
        </w:numPr>
        <w:rPr>
          <w:rFonts w:ascii="Arial" w:cs="Arial" w:eastAsia="Arial" w:hAnsi="Arial"/>
          <w:sz w:val="11"/>
          <w:szCs w:val="11"/>
          <w:color w:val="auto"/>
        </w:rPr>
      </w:pPr>
      <w:r>
        <w:rPr>
          <w:rFonts w:ascii="Arial" w:cs="Arial" w:eastAsia="Arial" w:hAnsi="Arial"/>
          <w:sz w:val="11"/>
          <w:szCs w:val="11"/>
          <w:color w:val="auto"/>
        </w:rPr>
        <w:t>recent secondary stock sales and tender offers;</w:t>
      </w:r>
    </w:p>
    <w:p>
      <w:pPr>
        <w:spacing w:after="0" w:line="80" w:lineRule="exact"/>
        <w:rPr>
          <w:rFonts w:ascii="Arial" w:cs="Arial" w:eastAsia="Arial" w:hAnsi="Arial"/>
          <w:sz w:val="11"/>
          <w:szCs w:val="11"/>
          <w:color w:val="auto"/>
        </w:rPr>
      </w:pPr>
    </w:p>
    <w:p>
      <w:pPr>
        <w:ind w:left="2560" w:hanging="141"/>
        <w:spacing w:after="0"/>
        <w:tabs>
          <w:tab w:leader="none" w:pos="2560" w:val="left"/>
        </w:tabs>
        <w:numPr>
          <w:ilvl w:val="0"/>
          <w:numId w:val="109"/>
        </w:numPr>
        <w:rPr>
          <w:rFonts w:ascii="Arial" w:cs="Arial" w:eastAsia="Arial" w:hAnsi="Arial"/>
          <w:sz w:val="11"/>
          <w:szCs w:val="11"/>
          <w:color w:val="auto"/>
        </w:rPr>
      </w:pPr>
      <w:r>
        <w:rPr>
          <w:rFonts w:ascii="Arial" w:cs="Arial" w:eastAsia="Arial" w:hAnsi="Arial"/>
          <w:sz w:val="11"/>
          <w:szCs w:val="11"/>
          <w:color w:val="auto"/>
        </w:rPr>
        <w:t>the market performance of comparable publicly traded companies; and</w:t>
      </w:r>
    </w:p>
    <w:p>
      <w:pPr>
        <w:spacing w:after="0" w:line="80" w:lineRule="exact"/>
        <w:rPr>
          <w:rFonts w:ascii="Arial" w:cs="Arial" w:eastAsia="Arial" w:hAnsi="Arial"/>
          <w:sz w:val="11"/>
          <w:szCs w:val="11"/>
          <w:color w:val="auto"/>
        </w:rPr>
      </w:pPr>
    </w:p>
    <w:p>
      <w:pPr>
        <w:ind w:left="2560" w:hanging="141"/>
        <w:spacing w:after="0"/>
        <w:tabs>
          <w:tab w:leader="none" w:pos="2560" w:val="left"/>
        </w:tabs>
        <w:numPr>
          <w:ilvl w:val="0"/>
          <w:numId w:val="109"/>
        </w:numPr>
        <w:rPr>
          <w:rFonts w:ascii="Arial" w:cs="Arial" w:eastAsia="Arial" w:hAnsi="Arial"/>
          <w:sz w:val="11"/>
          <w:szCs w:val="11"/>
          <w:color w:val="auto"/>
        </w:rPr>
      </w:pPr>
      <w:r>
        <w:rPr>
          <w:rFonts w:ascii="Arial" w:cs="Arial" w:eastAsia="Arial" w:hAnsi="Arial"/>
          <w:sz w:val="11"/>
          <w:szCs w:val="11"/>
          <w:color w:val="auto"/>
        </w:rPr>
        <w:t>U.S. and global capital market conditions.</w:t>
      </w:r>
    </w:p>
    <w:p>
      <w:pPr>
        <w:spacing w:after="0" w:line="144" w:lineRule="exact"/>
        <w:rPr>
          <w:sz w:val="20"/>
          <w:szCs w:val="20"/>
          <w:color w:val="auto"/>
        </w:rPr>
      </w:pPr>
    </w:p>
    <w:p>
      <w:pPr>
        <w:jc w:val="both"/>
        <w:ind w:left="2060" w:right="839"/>
        <w:spacing w:after="0" w:line="242" w:lineRule="auto"/>
        <w:rPr>
          <w:sz w:val="20"/>
          <w:szCs w:val="20"/>
          <w:color w:val="auto"/>
        </w:rPr>
      </w:pPr>
      <w:r>
        <w:rPr>
          <w:rFonts w:ascii="Arial" w:cs="Arial" w:eastAsia="Arial" w:hAnsi="Arial"/>
          <w:sz w:val="11"/>
          <w:szCs w:val="11"/>
          <w:color w:val="auto"/>
        </w:rPr>
        <w:t>In addition, the Board of Directors considers the independent valuations completed by a third-party valuation consultant. The valuations of the Company’s common stock are determined in accordance with the guidelines outlined in the American Institute of Certified Public Accountants Practice Aid, Valuation of Privately-Held-Company Equity Securities Issued as Compensation.</w:t>
      </w:r>
    </w:p>
    <w:p>
      <w:pPr>
        <w:spacing w:after="0" w:line="200" w:lineRule="exact"/>
        <w:rPr>
          <w:sz w:val="20"/>
          <w:szCs w:val="20"/>
          <w:color w:val="auto"/>
        </w:rPr>
      </w:pPr>
    </w:p>
    <w:p>
      <w:pPr>
        <w:ind w:left="2060"/>
        <w:spacing w:after="0"/>
        <w:rPr>
          <w:sz w:val="20"/>
          <w:szCs w:val="20"/>
          <w:color w:val="auto"/>
        </w:rPr>
      </w:pPr>
      <w:r>
        <w:rPr>
          <w:rFonts w:ascii="Arial" w:cs="Arial" w:eastAsia="Arial" w:hAnsi="Arial"/>
          <w:sz w:val="11"/>
          <w:szCs w:val="11"/>
          <w:b w:val="1"/>
          <w:bCs w:val="1"/>
          <w:i w:val="1"/>
          <w:iCs w:val="1"/>
          <w:color w:val="auto"/>
        </w:rPr>
        <w:t>Share Repurchases</w:t>
      </w:r>
    </w:p>
    <w:p>
      <w:pPr>
        <w:spacing w:after="0" w:line="84" w:lineRule="exact"/>
        <w:rPr>
          <w:sz w:val="20"/>
          <w:szCs w:val="20"/>
          <w:color w:val="auto"/>
        </w:rPr>
      </w:pPr>
    </w:p>
    <w:p>
      <w:pPr>
        <w:jc w:val="both"/>
        <w:ind w:left="2060" w:right="839"/>
        <w:spacing w:after="0" w:line="245" w:lineRule="auto"/>
        <w:rPr>
          <w:sz w:val="20"/>
          <w:szCs w:val="20"/>
          <w:color w:val="auto"/>
        </w:rPr>
      </w:pPr>
      <w:r>
        <w:rPr>
          <w:rFonts w:ascii="Arial" w:cs="Arial" w:eastAsia="Arial" w:hAnsi="Arial"/>
          <w:sz w:val="11"/>
          <w:szCs w:val="11"/>
          <w:color w:val="auto"/>
        </w:rPr>
        <w:t>Shares of the Company’s common and preferred stock may be repurchased from time to time as authorized by the Board of Directors. Share repurchases are funded from existing cash balances, and repurchased shares are retired and returned to</w:t>
      </w:r>
    </w:p>
    <w:p>
      <w:pPr>
        <w:spacing w:after="0" w:line="93" w:lineRule="exact"/>
        <w:rPr>
          <w:sz w:val="20"/>
          <w:szCs w:val="20"/>
          <w:color w:val="auto"/>
        </w:rPr>
      </w:pPr>
    </w:p>
    <w:p>
      <w:pPr>
        <w:ind w:left="5620"/>
        <w:spacing w:after="0"/>
        <w:rPr>
          <w:sz w:val="20"/>
          <w:szCs w:val="20"/>
          <w:color w:val="auto"/>
        </w:rPr>
      </w:pPr>
      <w:r>
        <w:rPr>
          <w:rFonts w:ascii="Arial" w:cs="Arial" w:eastAsia="Arial" w:hAnsi="Arial"/>
          <w:sz w:val="11"/>
          <w:szCs w:val="11"/>
          <w:color w:val="auto"/>
        </w:rPr>
        <w:t>F-12</w:t>
      </w:r>
    </w:p>
    <w:p>
      <w:pPr>
        <w:sectPr>
          <w:pgSz w:w="11900" w:h="16838" w:orient="portrait"/>
          <w:cols w:equalWidth="0" w:num="1">
            <w:col w:w="10239"/>
          </w:cols>
          <w:pgMar w:left="220" w:top="354" w:right="1440" w:bottom="1440" w:gutter="0" w:footer="0" w:header="0"/>
        </w:sectPr>
      </w:pPr>
    </w:p>
    <w:bookmarkStart w:id="176" w:name="page177"/>
    <w:bookmarkEnd w:id="176"/>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hyperlink w:anchor="page5">
        <w:r>
          <w:rPr>
            <w:rFonts w:ascii="Arial" w:cs="Arial" w:eastAsia="Arial" w:hAnsi="Arial"/>
            <w:sz w:val="12"/>
            <w:szCs w:val="12"/>
            <w:b w:val="1"/>
            <w:bCs w:val="1"/>
            <w:u w:val="single" w:color="auto"/>
            <w:color w:val="0000EE"/>
          </w:rPr>
          <w:t>Table of Contents</w:t>
        </w:r>
      </w:hyperlink>
    </w:p>
    <w:p>
      <w:pPr>
        <w:spacing w:after="0" w:line="200" w:lineRule="exact"/>
        <w:rPr>
          <w:sz w:val="20"/>
          <w:szCs w:val="20"/>
          <w:color w:val="auto"/>
        </w:rPr>
      </w:pPr>
    </w:p>
    <w:p>
      <w:pPr>
        <w:jc w:val="center"/>
        <w:ind w:right="-1220"/>
        <w:spacing w:after="0"/>
        <w:rPr>
          <w:sz w:val="20"/>
          <w:szCs w:val="20"/>
          <w:color w:val="auto"/>
        </w:rPr>
      </w:pPr>
      <w:r>
        <w:rPr>
          <w:rFonts w:ascii="Arial" w:cs="Arial" w:eastAsia="Arial" w:hAnsi="Arial"/>
          <w:sz w:val="12"/>
          <w:szCs w:val="12"/>
          <w:b w:val="1"/>
          <w:bCs w:val="1"/>
          <w:color w:val="auto"/>
        </w:rPr>
        <w:t>PELOTON INTERACTIVE, INC.</w:t>
      </w:r>
    </w:p>
    <w:p>
      <w:pPr>
        <w:spacing w:after="0" w:line="11" w:lineRule="exact"/>
        <w:rPr>
          <w:sz w:val="20"/>
          <w:szCs w:val="20"/>
          <w:color w:val="auto"/>
        </w:rPr>
      </w:pPr>
    </w:p>
    <w:p>
      <w:pPr>
        <w:jc w:val="center"/>
        <w:ind w:right="-1220"/>
        <w:spacing w:after="0"/>
        <w:rPr>
          <w:sz w:val="20"/>
          <w:szCs w:val="20"/>
          <w:color w:val="auto"/>
        </w:rPr>
      </w:pPr>
      <w:r>
        <w:rPr>
          <w:rFonts w:ascii="Arial" w:cs="Arial" w:eastAsia="Arial" w:hAnsi="Arial"/>
          <w:sz w:val="12"/>
          <w:szCs w:val="12"/>
          <w:b w:val="1"/>
          <w:bCs w:val="1"/>
          <w:color w:val="auto"/>
        </w:rPr>
        <w:t>NOTES TO CONSOLIDATED FINANCIAL STATEMENTS</w:t>
      </w:r>
    </w:p>
    <w:p>
      <w:pPr>
        <w:spacing w:after="0" w:line="80" w:lineRule="exact"/>
        <w:rPr>
          <w:sz w:val="20"/>
          <w:szCs w:val="20"/>
          <w:color w:val="auto"/>
        </w:rPr>
      </w:pPr>
    </w:p>
    <w:p>
      <w:pPr>
        <w:jc w:val="both"/>
        <w:ind w:left="2060" w:right="839"/>
        <w:spacing w:after="0" w:line="245" w:lineRule="auto"/>
        <w:rPr>
          <w:sz w:val="20"/>
          <w:szCs w:val="20"/>
          <w:color w:val="auto"/>
        </w:rPr>
      </w:pPr>
      <w:r>
        <w:rPr>
          <w:rFonts w:ascii="Arial" w:cs="Arial" w:eastAsia="Arial" w:hAnsi="Arial"/>
          <w:sz w:val="11"/>
          <w:szCs w:val="11"/>
          <w:color w:val="auto"/>
        </w:rPr>
        <w:t>unissued authorized shares. These repurchases are accounted for as reductions to the Company’s common and preferred stock to the extent available with remaining amounts allocated against retained earnings.</w:t>
      </w:r>
    </w:p>
    <w:p>
      <w:pPr>
        <w:spacing w:after="0" w:line="198" w:lineRule="exact"/>
        <w:rPr>
          <w:sz w:val="20"/>
          <w:szCs w:val="20"/>
          <w:color w:val="auto"/>
        </w:rPr>
      </w:pPr>
    </w:p>
    <w:p>
      <w:pPr>
        <w:ind w:left="2060"/>
        <w:spacing w:after="0"/>
        <w:rPr>
          <w:sz w:val="20"/>
          <w:szCs w:val="20"/>
          <w:color w:val="auto"/>
        </w:rPr>
      </w:pPr>
      <w:r>
        <w:rPr>
          <w:rFonts w:ascii="Arial" w:cs="Arial" w:eastAsia="Arial" w:hAnsi="Arial"/>
          <w:sz w:val="11"/>
          <w:szCs w:val="11"/>
          <w:b w:val="1"/>
          <w:bCs w:val="1"/>
          <w:i w:val="1"/>
          <w:iCs w:val="1"/>
          <w:color w:val="auto"/>
        </w:rPr>
        <w:t>Use of Estimates</w:t>
      </w:r>
    </w:p>
    <w:p>
      <w:pPr>
        <w:spacing w:after="0" w:line="84" w:lineRule="exact"/>
        <w:rPr>
          <w:sz w:val="20"/>
          <w:szCs w:val="20"/>
          <w:color w:val="auto"/>
        </w:rPr>
      </w:pPr>
    </w:p>
    <w:p>
      <w:pPr>
        <w:jc w:val="both"/>
        <w:ind w:left="2060" w:right="839"/>
        <w:spacing w:after="0"/>
        <w:rPr>
          <w:sz w:val="20"/>
          <w:szCs w:val="20"/>
          <w:color w:val="auto"/>
        </w:rPr>
      </w:pPr>
      <w:r>
        <w:rPr>
          <w:rFonts w:ascii="Arial" w:cs="Arial" w:eastAsia="Arial" w:hAnsi="Arial"/>
          <w:sz w:val="11"/>
          <w:szCs w:val="11"/>
          <w:color w:val="auto"/>
        </w:rPr>
        <w:t>The preparation of these financial statements requires the Company to make estimates and judgments that affect the reported amounts of assets, liabilities, revenue, and expenses and related disclosures. On an ongoing basis, the Company evaluates its estimates, including, among others, those related to income taxes, the realizability of inventory, stock-based compensation, contingencies, revenue-related reserves, content costs for past use reserve, fair value measurements, useful lives of property, plant and equipment, as well as intangible assets, and impairment of goodwill, intangible, and long-lived assets. The Company bases its estimates on historical experience, market conditions, and on various other assumptions that are believed to be reasonable. Actual results may differ from these estimates.</w:t>
      </w:r>
    </w:p>
    <w:p>
      <w:pPr>
        <w:spacing w:after="0" w:line="202" w:lineRule="exact"/>
        <w:rPr>
          <w:sz w:val="20"/>
          <w:szCs w:val="20"/>
          <w:color w:val="auto"/>
        </w:rPr>
      </w:pPr>
    </w:p>
    <w:p>
      <w:pPr>
        <w:ind w:left="2060"/>
        <w:spacing w:after="0"/>
        <w:rPr>
          <w:sz w:val="20"/>
          <w:szCs w:val="20"/>
          <w:color w:val="auto"/>
        </w:rPr>
      </w:pPr>
      <w:r>
        <w:rPr>
          <w:rFonts w:ascii="Arial" w:cs="Arial" w:eastAsia="Arial" w:hAnsi="Arial"/>
          <w:sz w:val="11"/>
          <w:szCs w:val="11"/>
          <w:b w:val="1"/>
          <w:bCs w:val="1"/>
          <w:i w:val="1"/>
          <w:iCs w:val="1"/>
          <w:color w:val="auto"/>
        </w:rPr>
        <w:t>Commitments and Contingencies</w:t>
      </w:r>
    </w:p>
    <w:p>
      <w:pPr>
        <w:spacing w:after="0" w:line="84" w:lineRule="exact"/>
        <w:rPr>
          <w:sz w:val="20"/>
          <w:szCs w:val="20"/>
          <w:color w:val="auto"/>
        </w:rPr>
      </w:pPr>
    </w:p>
    <w:p>
      <w:pPr>
        <w:jc w:val="both"/>
        <w:ind w:left="2060" w:right="839"/>
        <w:spacing w:after="0" w:line="242" w:lineRule="auto"/>
        <w:rPr>
          <w:sz w:val="20"/>
          <w:szCs w:val="20"/>
          <w:color w:val="auto"/>
        </w:rPr>
      </w:pPr>
      <w:r>
        <w:rPr>
          <w:rFonts w:ascii="Arial" w:cs="Arial" w:eastAsia="Arial" w:hAnsi="Arial"/>
          <w:sz w:val="11"/>
          <w:szCs w:val="11"/>
          <w:color w:val="auto"/>
        </w:rPr>
        <w:t>Liabilities for loss contingencies arising from claims, assessments, litigation, fines and penalties, and other sources are recorded when it is probable that a liability has been incurred and the amount of the assessment can be reasonably estimated. If a loss is reasonably possible and the loss or range of loss can be reasonably estimated, the Company discloses the possible loss or states that such an estimate cannot be made.</w:t>
      </w:r>
    </w:p>
    <w:p>
      <w:pPr>
        <w:spacing w:after="0" w:line="200" w:lineRule="exact"/>
        <w:rPr>
          <w:sz w:val="20"/>
          <w:szCs w:val="20"/>
          <w:color w:val="auto"/>
        </w:rPr>
      </w:pPr>
    </w:p>
    <w:p>
      <w:pPr>
        <w:ind w:left="2060"/>
        <w:spacing w:after="0"/>
        <w:rPr>
          <w:sz w:val="20"/>
          <w:szCs w:val="20"/>
          <w:color w:val="auto"/>
        </w:rPr>
      </w:pPr>
      <w:r>
        <w:rPr>
          <w:rFonts w:ascii="Arial" w:cs="Arial" w:eastAsia="Arial" w:hAnsi="Arial"/>
          <w:sz w:val="11"/>
          <w:szCs w:val="11"/>
          <w:b w:val="1"/>
          <w:bCs w:val="1"/>
          <w:i w:val="1"/>
          <w:iCs w:val="1"/>
          <w:color w:val="auto"/>
        </w:rPr>
        <w:t>Fair Value of Financial Instruments</w:t>
      </w:r>
    </w:p>
    <w:p>
      <w:pPr>
        <w:spacing w:after="0" w:line="84" w:lineRule="exact"/>
        <w:rPr>
          <w:sz w:val="20"/>
          <w:szCs w:val="20"/>
          <w:color w:val="auto"/>
        </w:rPr>
      </w:pPr>
    </w:p>
    <w:p>
      <w:pPr>
        <w:jc w:val="both"/>
        <w:ind w:left="2060" w:right="839"/>
        <w:spacing w:after="0"/>
        <w:rPr>
          <w:sz w:val="20"/>
          <w:szCs w:val="20"/>
          <w:color w:val="auto"/>
        </w:rPr>
      </w:pPr>
      <w:r>
        <w:rPr>
          <w:rFonts w:ascii="Arial" w:cs="Arial" w:eastAsia="Arial" w:hAnsi="Arial"/>
          <w:sz w:val="11"/>
          <w:szCs w:val="11"/>
          <w:color w:val="auto"/>
        </w:rPr>
        <w:t>Fair value is the exchange price that would be received for an asset or paid to transfer a liability (an exit price) in the principal or most advantageous market for the asset or liability in an orderly transaction between market participants on the measurement date. Subsequent changes in fair value of these financial assets and liabilities are recognized in earnings or other comprehensive income when they occur. When determining the fair value measurements for assets and liabilities which are required to be recorded at fair value, the Company considers the principal or most advantageous market in which the Company would transact and the market-based risk measurement or assumptions that market participants would use in pricing the assets or liabilities, such as inherent risk, transfer restrictions, and credit risk.</w:t>
      </w:r>
    </w:p>
    <w:p>
      <w:pPr>
        <w:spacing w:after="0" w:line="142" w:lineRule="exact"/>
        <w:rPr>
          <w:sz w:val="20"/>
          <w:szCs w:val="20"/>
          <w:color w:val="auto"/>
        </w:rPr>
      </w:pPr>
    </w:p>
    <w:p>
      <w:pPr>
        <w:jc w:val="both"/>
        <w:ind w:left="2060" w:right="839"/>
        <w:spacing w:after="0" w:line="245" w:lineRule="auto"/>
        <w:rPr>
          <w:sz w:val="20"/>
          <w:szCs w:val="20"/>
          <w:color w:val="auto"/>
        </w:rPr>
      </w:pPr>
      <w:r>
        <w:rPr>
          <w:rFonts w:ascii="Arial" w:cs="Arial" w:eastAsia="Arial" w:hAnsi="Arial"/>
          <w:sz w:val="11"/>
          <w:szCs w:val="11"/>
          <w:color w:val="auto"/>
        </w:rPr>
        <w:t>The Company applies the following fair value hierarchy, which prioritizes the inputs used to measure fair value into three levels and bases the categorization within the hierarchy upon the lowest level of input that is available and significant to the fair value measurement:</w:t>
      </w:r>
    </w:p>
    <w:p>
      <w:pPr>
        <w:spacing w:after="0" w:line="75" w:lineRule="exact"/>
        <w:rPr>
          <w:sz w:val="20"/>
          <w:szCs w:val="20"/>
          <w:color w:val="auto"/>
        </w:rPr>
      </w:pPr>
    </w:p>
    <w:p>
      <w:pPr>
        <w:ind w:left="2560" w:hanging="141"/>
        <w:spacing w:after="0"/>
        <w:tabs>
          <w:tab w:leader="none" w:pos="2560" w:val="left"/>
        </w:tabs>
        <w:numPr>
          <w:ilvl w:val="0"/>
          <w:numId w:val="110"/>
        </w:numPr>
        <w:rPr>
          <w:rFonts w:ascii="Arial" w:cs="Arial" w:eastAsia="Arial" w:hAnsi="Arial"/>
          <w:sz w:val="11"/>
          <w:szCs w:val="11"/>
          <w:color w:val="auto"/>
        </w:rPr>
      </w:pPr>
      <w:r>
        <w:rPr>
          <w:rFonts w:ascii="Arial" w:cs="Arial" w:eastAsia="Arial" w:hAnsi="Arial"/>
          <w:sz w:val="11"/>
          <w:szCs w:val="11"/>
          <w:color w:val="auto"/>
        </w:rPr>
        <w:t>Level 1 inputs are based on quoted prices in active markets for identical assets or liabilities.</w:t>
      </w:r>
    </w:p>
    <w:p>
      <w:pPr>
        <w:spacing w:after="0" w:line="80" w:lineRule="exact"/>
        <w:rPr>
          <w:rFonts w:ascii="Arial" w:cs="Arial" w:eastAsia="Arial" w:hAnsi="Arial"/>
          <w:sz w:val="11"/>
          <w:szCs w:val="11"/>
          <w:color w:val="auto"/>
        </w:rPr>
      </w:pPr>
    </w:p>
    <w:p>
      <w:pPr>
        <w:jc w:val="both"/>
        <w:ind w:left="2560" w:right="839" w:hanging="141"/>
        <w:spacing w:after="0" w:line="278" w:lineRule="auto"/>
        <w:tabs>
          <w:tab w:leader="none" w:pos="2560" w:val="left"/>
        </w:tabs>
        <w:numPr>
          <w:ilvl w:val="0"/>
          <w:numId w:val="110"/>
        </w:numPr>
        <w:rPr>
          <w:rFonts w:ascii="Arial" w:cs="Arial" w:eastAsia="Arial" w:hAnsi="Arial"/>
          <w:sz w:val="10"/>
          <w:szCs w:val="10"/>
          <w:color w:val="auto"/>
        </w:rPr>
      </w:pPr>
      <w:r>
        <w:rPr>
          <w:rFonts w:ascii="Arial" w:cs="Arial" w:eastAsia="Arial" w:hAnsi="Arial"/>
          <w:sz w:val="10"/>
          <w:szCs w:val="10"/>
          <w:color w:val="auto"/>
        </w:rPr>
        <w:t>Level 2 inputs are based on observable inputs other than Level 1 prices, such as quoted prices for similar assets or liabilities, quoted prices in markets with insufficient volume or infrequent transactions (less active markets), or model-derived valuations in which all significant inputs are observable or can be derived principally from or corroborated by observable market data for substantially the full term of the assets or liabilities.</w:t>
      </w:r>
    </w:p>
    <w:p>
      <w:pPr>
        <w:spacing w:after="0" w:line="59" w:lineRule="exact"/>
        <w:rPr>
          <w:rFonts w:ascii="Arial" w:cs="Arial" w:eastAsia="Arial" w:hAnsi="Arial"/>
          <w:sz w:val="10"/>
          <w:szCs w:val="10"/>
          <w:color w:val="auto"/>
        </w:rPr>
      </w:pPr>
    </w:p>
    <w:p>
      <w:pPr>
        <w:ind w:left="2560" w:right="839" w:hanging="141"/>
        <w:spacing w:after="0" w:line="245" w:lineRule="auto"/>
        <w:tabs>
          <w:tab w:leader="none" w:pos="2560" w:val="left"/>
        </w:tabs>
        <w:numPr>
          <w:ilvl w:val="0"/>
          <w:numId w:val="110"/>
        </w:numPr>
        <w:rPr>
          <w:rFonts w:ascii="Arial" w:cs="Arial" w:eastAsia="Arial" w:hAnsi="Arial"/>
          <w:sz w:val="11"/>
          <w:szCs w:val="11"/>
          <w:color w:val="auto"/>
        </w:rPr>
      </w:pPr>
      <w:r>
        <w:rPr>
          <w:rFonts w:ascii="Arial" w:cs="Arial" w:eastAsia="Arial" w:hAnsi="Arial"/>
          <w:sz w:val="11"/>
          <w:szCs w:val="11"/>
          <w:color w:val="auto"/>
        </w:rPr>
        <w:t>Level 3 inputs are based on unobservable inputs to the valuation methodology that are significant to the measurement of fair value of assets or liabilities, and typically reflect management’s estimates of assumptions that market participants would use in pricing the asset or liability.</w:t>
      </w:r>
    </w:p>
    <w:p>
      <w:pPr>
        <w:spacing w:after="0" w:line="138" w:lineRule="exact"/>
        <w:rPr>
          <w:sz w:val="20"/>
          <w:szCs w:val="20"/>
          <w:color w:val="auto"/>
        </w:rPr>
      </w:pPr>
    </w:p>
    <w:p>
      <w:pPr>
        <w:jc w:val="both"/>
        <w:ind w:left="2060" w:right="839"/>
        <w:spacing w:after="0" w:line="242" w:lineRule="auto"/>
        <w:rPr>
          <w:sz w:val="20"/>
          <w:szCs w:val="20"/>
          <w:color w:val="auto"/>
        </w:rPr>
      </w:pPr>
      <w:r>
        <w:rPr>
          <w:rFonts w:ascii="Arial" w:cs="Arial" w:eastAsia="Arial" w:hAnsi="Arial"/>
          <w:sz w:val="11"/>
          <w:szCs w:val="11"/>
          <w:color w:val="auto"/>
        </w:rPr>
        <w:t>The Company’s material financial instruments consist primarily of cash and cash equivalents, marketable securities, accounts receivable, accounts payable, and accrued expenses. The carrying values of the Company’s accounts receivable, accounts payable, and accrued expenses approximated their fair values at June 30, 2018 and 2019, due to the short period of time to maturity or repayment.</w:t>
      </w:r>
    </w:p>
    <w:p>
      <w:pPr>
        <w:spacing w:after="0" w:line="200" w:lineRule="exact"/>
        <w:rPr>
          <w:sz w:val="20"/>
          <w:szCs w:val="20"/>
          <w:color w:val="auto"/>
        </w:rPr>
      </w:pPr>
    </w:p>
    <w:p>
      <w:pPr>
        <w:ind w:left="2060"/>
        <w:spacing w:after="0"/>
        <w:rPr>
          <w:sz w:val="20"/>
          <w:szCs w:val="20"/>
          <w:color w:val="auto"/>
        </w:rPr>
      </w:pPr>
      <w:r>
        <w:rPr>
          <w:rFonts w:ascii="Arial" w:cs="Arial" w:eastAsia="Arial" w:hAnsi="Arial"/>
          <w:sz w:val="11"/>
          <w:szCs w:val="11"/>
          <w:b w:val="1"/>
          <w:bCs w:val="1"/>
          <w:i w:val="1"/>
          <w:iCs w:val="1"/>
          <w:color w:val="auto"/>
        </w:rPr>
        <w:t>Earnings (Loss) Per Share</w:t>
      </w:r>
    </w:p>
    <w:p>
      <w:pPr>
        <w:spacing w:after="0" w:line="84" w:lineRule="exact"/>
        <w:rPr>
          <w:sz w:val="20"/>
          <w:szCs w:val="20"/>
          <w:color w:val="auto"/>
        </w:rPr>
      </w:pPr>
    </w:p>
    <w:p>
      <w:pPr>
        <w:jc w:val="both"/>
        <w:ind w:left="2060" w:right="839"/>
        <w:spacing w:after="0" w:line="245" w:lineRule="auto"/>
        <w:rPr>
          <w:sz w:val="20"/>
          <w:szCs w:val="20"/>
          <w:color w:val="auto"/>
        </w:rPr>
      </w:pPr>
      <w:r>
        <w:rPr>
          <w:rFonts w:ascii="Arial" w:cs="Arial" w:eastAsia="Arial" w:hAnsi="Arial"/>
          <w:sz w:val="11"/>
          <w:szCs w:val="11"/>
          <w:color w:val="auto"/>
        </w:rPr>
        <w:t>The Company computes net income (loss) per share using the two-class method required for participating securities. The two-class method requires income available to common stockholders for the period to be allocated between common</w:t>
      </w:r>
    </w:p>
    <w:p>
      <w:pPr>
        <w:spacing w:after="0" w:line="93" w:lineRule="exact"/>
        <w:rPr>
          <w:sz w:val="20"/>
          <w:szCs w:val="20"/>
          <w:color w:val="auto"/>
        </w:rPr>
      </w:pPr>
    </w:p>
    <w:p>
      <w:pPr>
        <w:ind w:left="5620"/>
        <w:spacing w:after="0"/>
        <w:rPr>
          <w:sz w:val="20"/>
          <w:szCs w:val="20"/>
          <w:color w:val="auto"/>
        </w:rPr>
      </w:pPr>
      <w:r>
        <w:rPr>
          <w:rFonts w:ascii="Arial" w:cs="Arial" w:eastAsia="Arial" w:hAnsi="Arial"/>
          <w:sz w:val="11"/>
          <w:szCs w:val="11"/>
          <w:color w:val="auto"/>
        </w:rPr>
        <w:t>F-13</w:t>
      </w:r>
    </w:p>
    <w:p>
      <w:pPr>
        <w:sectPr>
          <w:pgSz w:w="11900" w:h="16838" w:orient="portrait"/>
          <w:cols w:equalWidth="0" w:num="1">
            <w:col w:w="10239"/>
          </w:cols>
          <w:pgMar w:left="220" w:top="354" w:right="1440" w:bottom="1440" w:gutter="0" w:footer="0" w:header="0"/>
        </w:sectPr>
      </w:pPr>
    </w:p>
    <w:bookmarkStart w:id="177" w:name="page178"/>
    <w:bookmarkEnd w:id="177"/>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hyperlink w:anchor="page5">
        <w:r>
          <w:rPr>
            <w:rFonts w:ascii="Arial" w:cs="Arial" w:eastAsia="Arial" w:hAnsi="Arial"/>
            <w:sz w:val="12"/>
            <w:szCs w:val="12"/>
            <w:b w:val="1"/>
            <w:bCs w:val="1"/>
            <w:u w:val="single" w:color="auto"/>
            <w:color w:val="0000EE"/>
          </w:rPr>
          <w:t>Table of Contents</w:t>
        </w:r>
      </w:hyperlink>
    </w:p>
    <w:p>
      <w:pPr>
        <w:spacing w:after="0" w:line="200" w:lineRule="exact"/>
        <w:rPr>
          <w:sz w:val="20"/>
          <w:szCs w:val="20"/>
          <w:color w:val="auto"/>
        </w:rPr>
      </w:pPr>
    </w:p>
    <w:p>
      <w:pPr>
        <w:jc w:val="center"/>
        <w:ind w:right="-1220"/>
        <w:spacing w:after="0"/>
        <w:rPr>
          <w:sz w:val="20"/>
          <w:szCs w:val="20"/>
          <w:color w:val="auto"/>
        </w:rPr>
      </w:pPr>
      <w:r>
        <w:rPr>
          <w:rFonts w:ascii="Arial" w:cs="Arial" w:eastAsia="Arial" w:hAnsi="Arial"/>
          <w:sz w:val="12"/>
          <w:szCs w:val="12"/>
          <w:b w:val="1"/>
          <w:bCs w:val="1"/>
          <w:color w:val="auto"/>
        </w:rPr>
        <w:t>PELOTON INTERACTIVE, INC.</w:t>
      </w:r>
    </w:p>
    <w:p>
      <w:pPr>
        <w:spacing w:after="0" w:line="11" w:lineRule="exact"/>
        <w:rPr>
          <w:sz w:val="20"/>
          <w:szCs w:val="20"/>
          <w:color w:val="auto"/>
        </w:rPr>
      </w:pPr>
    </w:p>
    <w:p>
      <w:pPr>
        <w:jc w:val="center"/>
        <w:ind w:right="-1220"/>
        <w:spacing w:after="0"/>
        <w:rPr>
          <w:sz w:val="20"/>
          <w:szCs w:val="20"/>
          <w:color w:val="auto"/>
        </w:rPr>
      </w:pPr>
      <w:r>
        <w:rPr>
          <w:rFonts w:ascii="Arial" w:cs="Arial" w:eastAsia="Arial" w:hAnsi="Arial"/>
          <w:sz w:val="12"/>
          <w:szCs w:val="12"/>
          <w:b w:val="1"/>
          <w:bCs w:val="1"/>
          <w:color w:val="auto"/>
        </w:rPr>
        <w:t>NOTES TO CONSOLIDATED FINANCIAL STATEMENTS</w:t>
      </w:r>
    </w:p>
    <w:p>
      <w:pPr>
        <w:spacing w:after="0" w:line="80" w:lineRule="exact"/>
        <w:rPr>
          <w:sz w:val="20"/>
          <w:szCs w:val="20"/>
          <w:color w:val="auto"/>
        </w:rPr>
      </w:pPr>
    </w:p>
    <w:p>
      <w:pPr>
        <w:jc w:val="both"/>
        <w:ind w:left="2060" w:right="839"/>
        <w:spacing w:after="0"/>
        <w:rPr>
          <w:sz w:val="20"/>
          <w:szCs w:val="20"/>
          <w:color w:val="auto"/>
        </w:rPr>
      </w:pPr>
      <w:r>
        <w:rPr>
          <w:rFonts w:ascii="Arial" w:cs="Arial" w:eastAsia="Arial" w:hAnsi="Arial"/>
          <w:sz w:val="11"/>
          <w:szCs w:val="11"/>
          <w:color w:val="auto"/>
        </w:rPr>
        <w:t>stock and participating securities based upon their respective rights to receive dividends as if all income for the period had been distributed. The Company’s redeemable convertible preferred stock and common stock issued upon early exercise of stock options are participating securities. The Company considers any shares issued upon early exercise of stock options, subject to repurchase, to be participating securities because holders of such shares have non-forfeitable dividend rights in the event a cash dividend is declared on common stock. These participating securities do not contractually require the holders of such shares to participate in the Company’s losses. As such, net losses for the periods presented were not allocated to the Company’s participating securities.</w:t>
      </w:r>
    </w:p>
    <w:p>
      <w:pPr>
        <w:spacing w:after="0" w:line="142" w:lineRule="exact"/>
        <w:rPr>
          <w:sz w:val="20"/>
          <w:szCs w:val="20"/>
          <w:color w:val="auto"/>
        </w:rPr>
      </w:pPr>
    </w:p>
    <w:p>
      <w:pPr>
        <w:jc w:val="both"/>
        <w:ind w:left="2060" w:right="839"/>
        <w:spacing w:after="0"/>
        <w:rPr>
          <w:sz w:val="20"/>
          <w:szCs w:val="20"/>
          <w:color w:val="auto"/>
        </w:rPr>
      </w:pPr>
      <w:r>
        <w:rPr>
          <w:rFonts w:ascii="Arial" w:cs="Arial" w:eastAsia="Arial" w:hAnsi="Arial"/>
          <w:sz w:val="11"/>
          <w:szCs w:val="11"/>
          <w:color w:val="auto"/>
        </w:rPr>
        <w:t>Basic earnings (loss) per share is computed using the weighted-average number of outstanding shares of common stock during the period. Diluted earnings (loss) per share is computed using the weighted-average number of outstanding shares of common stock and, when dilutive, potential shares of common stock outstanding during the period. Potential shares of common stock consist of incremental shares issuable upon the assumed exercise of stock options and warrants as well as the redeemable convertible preferred shares. During the fiscal years ended June 30, 2017 and 2019, the excess of the repurchase price of preferred stock over its carrying value (see Note 12) has been recorded as an increase to net loss to determine net loss attributable to common stockholders.</w:t>
      </w:r>
    </w:p>
    <w:p>
      <w:pPr>
        <w:spacing w:after="0" w:line="202" w:lineRule="exact"/>
        <w:rPr>
          <w:sz w:val="20"/>
          <w:szCs w:val="20"/>
          <w:color w:val="auto"/>
        </w:rPr>
      </w:pPr>
    </w:p>
    <w:p>
      <w:pPr>
        <w:ind w:left="2060"/>
        <w:spacing w:after="0"/>
        <w:rPr>
          <w:sz w:val="20"/>
          <w:szCs w:val="20"/>
          <w:color w:val="auto"/>
        </w:rPr>
      </w:pPr>
      <w:r>
        <w:rPr>
          <w:rFonts w:ascii="Arial" w:cs="Arial" w:eastAsia="Arial" w:hAnsi="Arial"/>
          <w:sz w:val="11"/>
          <w:szCs w:val="11"/>
          <w:b w:val="1"/>
          <w:bCs w:val="1"/>
          <w:i w:val="1"/>
          <w:iCs w:val="1"/>
          <w:color w:val="auto"/>
        </w:rPr>
        <w:t>Recently Issued Accounting Pronouncements</w:t>
      </w:r>
    </w:p>
    <w:p>
      <w:pPr>
        <w:spacing w:after="0" w:line="74" w:lineRule="exact"/>
        <w:rPr>
          <w:sz w:val="20"/>
          <w:szCs w:val="20"/>
          <w:color w:val="auto"/>
        </w:rPr>
      </w:pPr>
    </w:p>
    <w:p>
      <w:pPr>
        <w:ind w:left="2060"/>
        <w:spacing w:after="0"/>
        <w:rPr>
          <w:sz w:val="20"/>
          <w:szCs w:val="20"/>
          <w:color w:val="auto"/>
        </w:rPr>
      </w:pPr>
      <w:r>
        <w:rPr>
          <w:rFonts w:ascii="Arial" w:cs="Arial" w:eastAsia="Arial" w:hAnsi="Arial"/>
          <w:sz w:val="11"/>
          <w:szCs w:val="11"/>
          <w:i w:val="1"/>
          <w:iCs w:val="1"/>
          <w:color w:val="auto"/>
        </w:rPr>
        <w:t>Accounting Pronouncements Recently Adopted</w:t>
      </w:r>
    </w:p>
    <w:p>
      <w:pPr>
        <w:spacing w:after="0" w:line="72" w:lineRule="exact"/>
        <w:rPr>
          <w:sz w:val="20"/>
          <w:szCs w:val="20"/>
          <w:color w:val="auto"/>
        </w:rPr>
      </w:pPr>
    </w:p>
    <w:p>
      <w:pPr>
        <w:ind w:left="2060"/>
        <w:spacing w:after="0"/>
        <w:rPr>
          <w:sz w:val="20"/>
          <w:szCs w:val="20"/>
          <w:color w:val="auto"/>
        </w:rPr>
      </w:pPr>
      <w:r>
        <w:rPr>
          <w:rFonts w:ascii="Arial" w:cs="Arial" w:eastAsia="Arial" w:hAnsi="Arial"/>
          <w:sz w:val="11"/>
          <w:szCs w:val="11"/>
          <w:i w:val="1"/>
          <w:iCs w:val="1"/>
          <w:u w:val="single" w:color="auto"/>
          <w:color w:val="auto"/>
        </w:rPr>
        <w:t>ASU 2014-09</w:t>
      </w:r>
    </w:p>
    <w:p>
      <w:pPr>
        <w:spacing w:after="0" w:line="72" w:lineRule="exact"/>
        <w:rPr>
          <w:sz w:val="20"/>
          <w:szCs w:val="20"/>
          <w:color w:val="auto"/>
        </w:rPr>
      </w:pPr>
    </w:p>
    <w:p>
      <w:pPr>
        <w:jc w:val="both"/>
        <w:ind w:left="2060" w:right="839"/>
        <w:spacing w:after="0" w:line="243" w:lineRule="auto"/>
        <w:rPr>
          <w:sz w:val="20"/>
          <w:szCs w:val="20"/>
          <w:color w:val="auto"/>
        </w:rPr>
      </w:pPr>
      <w:r>
        <w:rPr>
          <w:rFonts w:ascii="Arial" w:cs="Arial" w:eastAsia="Arial" w:hAnsi="Arial"/>
          <w:sz w:val="11"/>
          <w:szCs w:val="11"/>
          <w:color w:val="auto"/>
        </w:rPr>
        <w:t xml:space="preserve">In May 2014, the Financial Accounting Standards Board (“FASB”) issued Accounting Standard Update (“ASU”) 2014-09, </w:t>
      </w:r>
      <w:r>
        <w:rPr>
          <w:rFonts w:ascii="Arial" w:cs="Arial" w:eastAsia="Arial" w:hAnsi="Arial"/>
          <w:sz w:val="11"/>
          <w:szCs w:val="11"/>
          <w:i w:val="1"/>
          <w:iCs w:val="1"/>
          <w:color w:val="auto"/>
        </w:rPr>
        <w:t>Revenue from Contracts with</w:t>
      </w:r>
      <w:r>
        <w:rPr>
          <w:rFonts w:ascii="Arial" w:cs="Arial" w:eastAsia="Arial" w:hAnsi="Arial"/>
          <w:sz w:val="11"/>
          <w:szCs w:val="11"/>
          <w:color w:val="auto"/>
        </w:rPr>
        <w:t xml:space="preserve"> </w:t>
      </w:r>
      <w:r>
        <w:rPr>
          <w:rFonts w:ascii="Arial" w:cs="Arial" w:eastAsia="Arial" w:hAnsi="Arial"/>
          <w:sz w:val="11"/>
          <w:szCs w:val="11"/>
          <w:i w:val="1"/>
          <w:iCs w:val="1"/>
          <w:color w:val="auto"/>
        </w:rPr>
        <w:t xml:space="preserve">Customers </w:t>
      </w:r>
      <w:r>
        <w:rPr>
          <w:rFonts w:ascii="Arial" w:cs="Arial" w:eastAsia="Arial" w:hAnsi="Arial"/>
          <w:sz w:val="11"/>
          <w:szCs w:val="11"/>
          <w:color w:val="auto"/>
        </w:rPr>
        <w:t>(Topic 606). ASU 2014-09 replaces most existing revenue recognition guidance, and requires companies to recognize revenue based upon</w:t>
      </w:r>
      <w:r>
        <w:rPr>
          <w:rFonts w:ascii="Arial" w:cs="Arial" w:eastAsia="Arial" w:hAnsi="Arial"/>
          <w:sz w:val="11"/>
          <w:szCs w:val="11"/>
          <w:i w:val="1"/>
          <w:iCs w:val="1"/>
          <w:color w:val="auto"/>
        </w:rPr>
        <w:t xml:space="preserve"> </w:t>
      </w:r>
      <w:r>
        <w:rPr>
          <w:rFonts w:ascii="Arial" w:cs="Arial" w:eastAsia="Arial" w:hAnsi="Arial"/>
          <w:sz w:val="11"/>
          <w:szCs w:val="11"/>
          <w:color w:val="auto"/>
        </w:rPr>
        <w:t>the transfer of control of promised goods or services to customers in an amount that reflects the consideration to which the entity expects to be entitled in exchange for those goods or services. In addition, the standard requires disclosures related to the nature, timing, and uncertainty of revenue and cash flows arising from contracts with customers. The Company applied the five-step method outlined in ASU 2014-09 to all revenue streams and elected the full retrospective method for its adoption of the standard as of July 1, 2018. The adoption of this standard did not have a material impact on the Company’s consolidated financial statements. The additional disclosures required by ASU 2014-09 are included in Note 3, Revenue.</w:t>
      </w:r>
    </w:p>
    <w:p>
      <w:pPr>
        <w:spacing w:after="0" w:line="130" w:lineRule="exact"/>
        <w:rPr>
          <w:sz w:val="20"/>
          <w:szCs w:val="20"/>
          <w:color w:val="auto"/>
        </w:rPr>
      </w:pPr>
    </w:p>
    <w:p>
      <w:pPr>
        <w:ind w:left="2060"/>
        <w:spacing w:after="0"/>
        <w:rPr>
          <w:sz w:val="20"/>
          <w:szCs w:val="20"/>
          <w:color w:val="auto"/>
        </w:rPr>
      </w:pPr>
      <w:r>
        <w:rPr>
          <w:rFonts w:ascii="Arial" w:cs="Arial" w:eastAsia="Arial" w:hAnsi="Arial"/>
          <w:sz w:val="11"/>
          <w:szCs w:val="11"/>
          <w:i w:val="1"/>
          <w:iCs w:val="1"/>
          <w:u w:val="single" w:color="auto"/>
          <w:color w:val="auto"/>
        </w:rPr>
        <w:t>ASU 2016-09</w:t>
      </w:r>
    </w:p>
    <w:p>
      <w:pPr>
        <w:spacing w:after="0" w:line="72" w:lineRule="exact"/>
        <w:rPr>
          <w:sz w:val="20"/>
          <w:szCs w:val="20"/>
          <w:color w:val="auto"/>
        </w:rPr>
      </w:pPr>
    </w:p>
    <w:p>
      <w:pPr>
        <w:jc w:val="both"/>
        <w:ind w:left="2060" w:right="839"/>
        <w:spacing w:after="0" w:line="242" w:lineRule="auto"/>
        <w:rPr>
          <w:sz w:val="20"/>
          <w:szCs w:val="20"/>
          <w:color w:val="auto"/>
        </w:rPr>
      </w:pPr>
      <w:r>
        <w:rPr>
          <w:rFonts w:ascii="Arial" w:cs="Arial" w:eastAsia="Arial" w:hAnsi="Arial"/>
          <w:sz w:val="11"/>
          <w:szCs w:val="11"/>
          <w:color w:val="auto"/>
        </w:rPr>
        <w:t>In March 2016, the FASB issued ASU 2016-09</w:t>
      </w:r>
      <w:r>
        <w:rPr>
          <w:rFonts w:ascii="Arial" w:cs="Arial" w:eastAsia="Arial" w:hAnsi="Arial"/>
          <w:sz w:val="11"/>
          <w:szCs w:val="11"/>
          <w:i w:val="1"/>
          <w:iCs w:val="1"/>
          <w:color w:val="auto"/>
        </w:rPr>
        <w:t>, Improvements to Employee Share-Based Payment Accounting</w:t>
      </w:r>
      <w:r>
        <w:rPr>
          <w:rFonts w:ascii="Arial" w:cs="Arial" w:eastAsia="Arial" w:hAnsi="Arial"/>
          <w:sz w:val="11"/>
          <w:szCs w:val="11"/>
          <w:color w:val="auto"/>
        </w:rPr>
        <w:t>. ASU 2016-09 simplifies several aspects of the accounting for share-based payment transactions, including the income tax consequences, classification of awards as either equity or liabilities and classification on the statement of cash flows. The standard is effective for public entities for annual reporting periods, and interim periods within those annual periods, beginning after December 15, 2016. For all other entities, including emerging growth companies, the standard is effective for annual periods beginning after December 15, 2017, and interim periods within annual periods beginning after December 15, 2018. Early adoption is permitted for any entity in any interim or annual period. The Company early adopted ASU 2016-09 as of July 1, 2017. With the adoption of ASU 2016-09, the Company accounts for forfeitures as they occur. The Company applied the guidance on a modified retrospective basis, which resulted in a $0.5 million cumulative effect adjustment and increase to accumulated deficit as of July 1, 2017. The adoption of ASU 2016-09 in 2018 did not have a material impact on the Company’s consolidated financial statements.</w:t>
      </w:r>
    </w:p>
    <w:p>
      <w:pPr>
        <w:spacing w:after="0" w:line="131" w:lineRule="exact"/>
        <w:rPr>
          <w:sz w:val="20"/>
          <w:szCs w:val="20"/>
          <w:color w:val="auto"/>
        </w:rPr>
      </w:pPr>
    </w:p>
    <w:p>
      <w:pPr>
        <w:ind w:left="2060"/>
        <w:spacing w:after="0"/>
        <w:rPr>
          <w:sz w:val="20"/>
          <w:szCs w:val="20"/>
          <w:color w:val="auto"/>
        </w:rPr>
      </w:pPr>
      <w:r>
        <w:rPr>
          <w:rFonts w:ascii="Arial" w:cs="Arial" w:eastAsia="Arial" w:hAnsi="Arial"/>
          <w:sz w:val="11"/>
          <w:szCs w:val="11"/>
          <w:i w:val="1"/>
          <w:iCs w:val="1"/>
          <w:u w:val="single" w:color="auto"/>
          <w:color w:val="auto"/>
        </w:rPr>
        <w:t>ASU 2017-01</w:t>
      </w:r>
    </w:p>
    <w:p>
      <w:pPr>
        <w:spacing w:after="0" w:line="72" w:lineRule="exact"/>
        <w:rPr>
          <w:sz w:val="20"/>
          <w:szCs w:val="20"/>
          <w:color w:val="auto"/>
        </w:rPr>
      </w:pPr>
    </w:p>
    <w:p>
      <w:pPr>
        <w:jc w:val="both"/>
        <w:ind w:left="2060" w:right="839"/>
        <w:spacing w:after="0" w:line="245" w:lineRule="auto"/>
        <w:rPr>
          <w:sz w:val="20"/>
          <w:szCs w:val="20"/>
          <w:color w:val="auto"/>
        </w:rPr>
      </w:pPr>
      <w:r>
        <w:rPr>
          <w:rFonts w:ascii="Arial" w:cs="Arial" w:eastAsia="Arial" w:hAnsi="Arial"/>
          <w:sz w:val="11"/>
          <w:szCs w:val="11"/>
          <w:color w:val="auto"/>
        </w:rPr>
        <w:t xml:space="preserve">In January 2017, the FASB issued ASU 2017-01, </w:t>
      </w:r>
      <w:r>
        <w:rPr>
          <w:rFonts w:ascii="Arial" w:cs="Arial" w:eastAsia="Arial" w:hAnsi="Arial"/>
          <w:sz w:val="11"/>
          <w:szCs w:val="11"/>
          <w:i w:val="1"/>
          <w:iCs w:val="1"/>
          <w:color w:val="auto"/>
        </w:rPr>
        <w:t>Business Combinations (Topic 805): Clarifying the Definition of a Business</w:t>
      </w:r>
      <w:r>
        <w:rPr>
          <w:rFonts w:ascii="Arial" w:cs="Arial" w:eastAsia="Arial" w:hAnsi="Arial"/>
          <w:sz w:val="11"/>
          <w:szCs w:val="11"/>
          <w:color w:val="auto"/>
        </w:rPr>
        <w:t>. The standard provides guidance to assist entities with evaluating whether transactions should be accounted for as acquisitions of assets or businesses. If substantially all of the fair value of the gross assets acquired is concentrated in a single asset or group of similar assets, the assets acquired are not considered a business. For public entities, this standard is effective for annual reporting periods beginning after December 15, 2017, including interim periods within that reporting period. For all other entities, including emerging growth companies, this standard is effective for annual reporting periods</w:t>
      </w:r>
    </w:p>
    <w:p>
      <w:pPr>
        <w:spacing w:after="0" w:line="94" w:lineRule="exact"/>
        <w:rPr>
          <w:sz w:val="20"/>
          <w:szCs w:val="20"/>
          <w:color w:val="auto"/>
        </w:rPr>
      </w:pPr>
    </w:p>
    <w:p>
      <w:pPr>
        <w:ind w:left="5620"/>
        <w:spacing w:after="0"/>
        <w:rPr>
          <w:sz w:val="20"/>
          <w:szCs w:val="20"/>
          <w:color w:val="auto"/>
        </w:rPr>
      </w:pPr>
      <w:r>
        <w:rPr>
          <w:rFonts w:ascii="Arial" w:cs="Arial" w:eastAsia="Arial" w:hAnsi="Arial"/>
          <w:sz w:val="11"/>
          <w:szCs w:val="11"/>
          <w:color w:val="auto"/>
        </w:rPr>
        <w:t>F-14</w:t>
      </w:r>
    </w:p>
    <w:p>
      <w:pPr>
        <w:sectPr>
          <w:pgSz w:w="11900" w:h="16838" w:orient="portrait"/>
          <w:cols w:equalWidth="0" w:num="1">
            <w:col w:w="10239"/>
          </w:cols>
          <w:pgMar w:left="220" w:top="354" w:right="1440" w:bottom="1440" w:gutter="0" w:footer="0" w:header="0"/>
        </w:sectPr>
      </w:pPr>
    </w:p>
    <w:bookmarkStart w:id="178" w:name="page179"/>
    <w:bookmarkEnd w:id="178"/>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hyperlink w:anchor="page5">
        <w:r>
          <w:rPr>
            <w:rFonts w:ascii="Arial" w:cs="Arial" w:eastAsia="Arial" w:hAnsi="Arial"/>
            <w:sz w:val="12"/>
            <w:szCs w:val="12"/>
            <w:b w:val="1"/>
            <w:bCs w:val="1"/>
            <w:u w:val="single" w:color="auto"/>
            <w:color w:val="0000EE"/>
          </w:rPr>
          <w:t>Table of Contents</w:t>
        </w:r>
      </w:hyperlink>
    </w:p>
    <w:p>
      <w:pPr>
        <w:spacing w:after="0" w:line="200" w:lineRule="exact"/>
        <w:rPr>
          <w:sz w:val="20"/>
          <w:szCs w:val="20"/>
          <w:color w:val="auto"/>
        </w:rPr>
      </w:pPr>
    </w:p>
    <w:p>
      <w:pPr>
        <w:jc w:val="center"/>
        <w:ind w:right="-1220"/>
        <w:spacing w:after="0"/>
        <w:rPr>
          <w:sz w:val="20"/>
          <w:szCs w:val="20"/>
          <w:color w:val="auto"/>
        </w:rPr>
      </w:pPr>
      <w:r>
        <w:rPr>
          <w:rFonts w:ascii="Arial" w:cs="Arial" w:eastAsia="Arial" w:hAnsi="Arial"/>
          <w:sz w:val="12"/>
          <w:szCs w:val="12"/>
          <w:b w:val="1"/>
          <w:bCs w:val="1"/>
          <w:color w:val="auto"/>
        </w:rPr>
        <w:t>PELOTON INTERACTIVE, INC.</w:t>
      </w:r>
    </w:p>
    <w:p>
      <w:pPr>
        <w:spacing w:after="0" w:line="11" w:lineRule="exact"/>
        <w:rPr>
          <w:sz w:val="20"/>
          <w:szCs w:val="20"/>
          <w:color w:val="auto"/>
        </w:rPr>
      </w:pPr>
    </w:p>
    <w:p>
      <w:pPr>
        <w:jc w:val="center"/>
        <w:ind w:right="-1220"/>
        <w:spacing w:after="0"/>
        <w:rPr>
          <w:sz w:val="20"/>
          <w:szCs w:val="20"/>
          <w:color w:val="auto"/>
        </w:rPr>
      </w:pPr>
      <w:r>
        <w:rPr>
          <w:rFonts w:ascii="Arial" w:cs="Arial" w:eastAsia="Arial" w:hAnsi="Arial"/>
          <w:sz w:val="12"/>
          <w:szCs w:val="12"/>
          <w:b w:val="1"/>
          <w:bCs w:val="1"/>
          <w:color w:val="auto"/>
        </w:rPr>
        <w:t>NOTES TO CONSOLIDATED FINANCIAL STATEMENTS</w:t>
      </w:r>
    </w:p>
    <w:p>
      <w:pPr>
        <w:spacing w:after="0" w:line="80" w:lineRule="exact"/>
        <w:rPr>
          <w:sz w:val="20"/>
          <w:szCs w:val="20"/>
          <w:color w:val="auto"/>
        </w:rPr>
      </w:pPr>
    </w:p>
    <w:p>
      <w:pPr>
        <w:jc w:val="both"/>
        <w:ind w:left="2060" w:right="839"/>
        <w:spacing w:after="0" w:line="245" w:lineRule="auto"/>
        <w:rPr>
          <w:sz w:val="20"/>
          <w:szCs w:val="20"/>
          <w:color w:val="auto"/>
        </w:rPr>
      </w:pPr>
      <w:r>
        <w:rPr>
          <w:rFonts w:ascii="Arial" w:cs="Arial" w:eastAsia="Arial" w:hAnsi="Arial"/>
          <w:sz w:val="11"/>
          <w:szCs w:val="11"/>
          <w:color w:val="auto"/>
        </w:rPr>
        <w:t>beginning after December 15, 2018 and interim periods within annual periods beginning after December 15, 2019. The Company adopted ASU 2017-01 as of July 1, 2018. The adoption of this standard did not have a material impact on the Company’s consolidated financial statements.</w:t>
      </w:r>
    </w:p>
    <w:p>
      <w:pPr>
        <w:spacing w:after="0" w:line="128" w:lineRule="exact"/>
        <w:rPr>
          <w:sz w:val="20"/>
          <w:szCs w:val="20"/>
          <w:color w:val="auto"/>
        </w:rPr>
      </w:pPr>
    </w:p>
    <w:p>
      <w:pPr>
        <w:ind w:left="2060"/>
        <w:spacing w:after="0"/>
        <w:rPr>
          <w:sz w:val="20"/>
          <w:szCs w:val="20"/>
          <w:color w:val="auto"/>
        </w:rPr>
      </w:pPr>
      <w:r>
        <w:rPr>
          <w:rFonts w:ascii="Arial" w:cs="Arial" w:eastAsia="Arial" w:hAnsi="Arial"/>
          <w:sz w:val="11"/>
          <w:szCs w:val="11"/>
          <w:i w:val="1"/>
          <w:iCs w:val="1"/>
          <w:u w:val="single" w:color="auto"/>
          <w:color w:val="auto"/>
        </w:rPr>
        <w:t>ASU 2017-09</w:t>
      </w:r>
    </w:p>
    <w:p>
      <w:pPr>
        <w:spacing w:after="0" w:line="72" w:lineRule="exact"/>
        <w:rPr>
          <w:sz w:val="20"/>
          <w:szCs w:val="20"/>
          <w:color w:val="auto"/>
        </w:rPr>
      </w:pPr>
    </w:p>
    <w:p>
      <w:pPr>
        <w:jc w:val="both"/>
        <w:ind w:left="2060" w:right="839"/>
        <w:spacing w:after="0" w:line="244" w:lineRule="auto"/>
        <w:rPr>
          <w:sz w:val="20"/>
          <w:szCs w:val="20"/>
          <w:color w:val="auto"/>
        </w:rPr>
      </w:pPr>
      <w:r>
        <w:rPr>
          <w:rFonts w:ascii="Arial" w:cs="Arial" w:eastAsia="Arial" w:hAnsi="Arial"/>
          <w:sz w:val="11"/>
          <w:szCs w:val="11"/>
          <w:color w:val="auto"/>
        </w:rPr>
        <w:t xml:space="preserve">In May 2017, the FASB issued ASU 2017-09, </w:t>
      </w:r>
      <w:r>
        <w:rPr>
          <w:rFonts w:ascii="Arial" w:cs="Arial" w:eastAsia="Arial" w:hAnsi="Arial"/>
          <w:sz w:val="11"/>
          <w:szCs w:val="11"/>
          <w:i w:val="1"/>
          <w:iCs w:val="1"/>
          <w:color w:val="auto"/>
        </w:rPr>
        <w:t>Compensation - Stock Compensation (Topic 718): Scope of Modification Accounting</w:t>
      </w:r>
      <w:r>
        <w:rPr>
          <w:rFonts w:ascii="Arial" w:cs="Arial" w:eastAsia="Arial" w:hAnsi="Arial"/>
          <w:sz w:val="11"/>
          <w:szCs w:val="11"/>
          <w:color w:val="auto"/>
        </w:rPr>
        <w:t>, to provide clarity and reduce both diversity in practice and cost complexity when applying the guidance in Topic 718 to a change to the terms and conditions of a stock-based payment award. ASU 2017-09 also provides guidance about the types of changes to the terms or conditions of a share-based payment award that require an entity to apply modification accounting in accordance with Topic 718. The standard is effective for annual periods beginning after December 15, 2017, and for interim periods therein. The Company adopted this update as of July 1, 2018. The adoption of this standard did not have a material impact on the Company’s consolidated financial statements.</w:t>
      </w:r>
    </w:p>
    <w:p>
      <w:pPr>
        <w:spacing w:after="0" w:line="129" w:lineRule="exact"/>
        <w:rPr>
          <w:sz w:val="20"/>
          <w:szCs w:val="20"/>
          <w:color w:val="auto"/>
        </w:rPr>
      </w:pPr>
    </w:p>
    <w:p>
      <w:pPr>
        <w:ind w:left="2060"/>
        <w:spacing w:after="0"/>
        <w:rPr>
          <w:sz w:val="20"/>
          <w:szCs w:val="20"/>
          <w:color w:val="auto"/>
        </w:rPr>
      </w:pPr>
      <w:r>
        <w:rPr>
          <w:rFonts w:ascii="Arial" w:cs="Arial" w:eastAsia="Arial" w:hAnsi="Arial"/>
          <w:sz w:val="11"/>
          <w:szCs w:val="11"/>
          <w:i w:val="1"/>
          <w:iCs w:val="1"/>
          <w:u w:val="single" w:color="auto"/>
          <w:color w:val="auto"/>
        </w:rPr>
        <w:t>ASU 2018-15</w:t>
      </w:r>
    </w:p>
    <w:p>
      <w:pPr>
        <w:spacing w:after="0" w:line="72" w:lineRule="exact"/>
        <w:rPr>
          <w:sz w:val="20"/>
          <w:szCs w:val="20"/>
          <w:color w:val="auto"/>
        </w:rPr>
      </w:pPr>
    </w:p>
    <w:p>
      <w:pPr>
        <w:jc w:val="both"/>
        <w:ind w:left="2060" w:right="839"/>
        <w:spacing w:after="0" w:line="242" w:lineRule="auto"/>
        <w:rPr>
          <w:sz w:val="20"/>
          <w:szCs w:val="20"/>
          <w:color w:val="auto"/>
        </w:rPr>
      </w:pPr>
      <w:r>
        <w:rPr>
          <w:rFonts w:ascii="Arial" w:cs="Arial" w:eastAsia="Arial" w:hAnsi="Arial"/>
          <w:sz w:val="11"/>
          <w:szCs w:val="11"/>
          <w:color w:val="auto"/>
        </w:rPr>
        <w:t xml:space="preserve">In August 2018, the FASB issued ASU 2018-15, </w:t>
      </w:r>
      <w:r>
        <w:rPr>
          <w:rFonts w:ascii="Arial" w:cs="Arial" w:eastAsia="Arial" w:hAnsi="Arial"/>
          <w:sz w:val="11"/>
          <w:szCs w:val="11"/>
          <w:i w:val="1"/>
          <w:iCs w:val="1"/>
          <w:color w:val="auto"/>
        </w:rPr>
        <w:t>Customer’s Accounting for Implementation Costs Incurred in a Cloud Computing Arrangement that is a</w:t>
      </w:r>
      <w:r>
        <w:rPr>
          <w:rFonts w:ascii="Arial" w:cs="Arial" w:eastAsia="Arial" w:hAnsi="Arial"/>
          <w:sz w:val="11"/>
          <w:szCs w:val="11"/>
          <w:color w:val="auto"/>
        </w:rPr>
        <w:t xml:space="preserve"> </w:t>
      </w:r>
      <w:r>
        <w:rPr>
          <w:rFonts w:ascii="Arial" w:cs="Arial" w:eastAsia="Arial" w:hAnsi="Arial"/>
          <w:sz w:val="11"/>
          <w:szCs w:val="11"/>
          <w:i w:val="1"/>
          <w:iCs w:val="1"/>
          <w:color w:val="auto"/>
        </w:rPr>
        <w:t>Service Contract</w:t>
      </w:r>
      <w:r>
        <w:rPr>
          <w:rFonts w:ascii="Arial" w:cs="Arial" w:eastAsia="Arial" w:hAnsi="Arial"/>
          <w:sz w:val="11"/>
          <w:szCs w:val="11"/>
          <w:color w:val="auto"/>
        </w:rPr>
        <w:t>. ASU 2018-15 requires implementation costs incurred by customers in cloud computing arrangements to be deferred over the</w:t>
      </w:r>
      <w:r>
        <w:rPr>
          <w:rFonts w:ascii="Arial" w:cs="Arial" w:eastAsia="Arial" w:hAnsi="Arial"/>
          <w:sz w:val="11"/>
          <w:szCs w:val="11"/>
          <w:i w:val="1"/>
          <w:iCs w:val="1"/>
          <w:color w:val="auto"/>
        </w:rPr>
        <w:t xml:space="preserve"> </w:t>
      </w:r>
      <w:r>
        <w:rPr>
          <w:rFonts w:ascii="Arial" w:cs="Arial" w:eastAsia="Arial" w:hAnsi="Arial"/>
          <w:sz w:val="11"/>
          <w:szCs w:val="11"/>
          <w:color w:val="auto"/>
        </w:rPr>
        <w:t>noncancelable term of the cloud-computing arrangements plus any optional renewal periods (1) that are reasonably certain to be exercised by the customer or (2) for which exercise of the renewal option is controlled by the cloud service provider. The effective date of this pronouncement for public entities is for fiscal years beginning after December 15, 2019, and interim periods within those fiscal years. For all other entities, including emerging growth companies, the standard is effective for years beginning after December 15, 2020, and interim periods within annual periods beginning after December 15, 2021. Early adoption is permitted. The standard can be adopted either using the prospective or retrospective transition approach. The Company early adopted ASU 2018-15 using the prospective approach as of January 1, 2019. The adoption of this standard did not have a material impact on the Company’s consolidated financial statements.</w:t>
      </w:r>
    </w:p>
    <w:p>
      <w:pPr>
        <w:spacing w:after="0" w:line="203" w:lineRule="exact"/>
        <w:rPr>
          <w:sz w:val="20"/>
          <w:szCs w:val="20"/>
          <w:color w:val="auto"/>
        </w:rPr>
      </w:pPr>
    </w:p>
    <w:p>
      <w:pPr>
        <w:ind w:left="2060"/>
        <w:spacing w:after="0"/>
        <w:rPr>
          <w:sz w:val="20"/>
          <w:szCs w:val="20"/>
          <w:color w:val="auto"/>
        </w:rPr>
      </w:pPr>
      <w:r>
        <w:rPr>
          <w:rFonts w:ascii="Arial" w:cs="Arial" w:eastAsia="Arial" w:hAnsi="Arial"/>
          <w:sz w:val="11"/>
          <w:szCs w:val="11"/>
          <w:i w:val="1"/>
          <w:iCs w:val="1"/>
          <w:color w:val="auto"/>
        </w:rPr>
        <w:t>Accounting Pronouncements Not Yet Adopted</w:t>
      </w:r>
    </w:p>
    <w:p>
      <w:pPr>
        <w:spacing w:after="0" w:line="72" w:lineRule="exact"/>
        <w:rPr>
          <w:sz w:val="20"/>
          <w:szCs w:val="20"/>
          <w:color w:val="auto"/>
        </w:rPr>
      </w:pPr>
    </w:p>
    <w:p>
      <w:pPr>
        <w:ind w:left="2060"/>
        <w:spacing w:after="0"/>
        <w:rPr>
          <w:sz w:val="20"/>
          <w:szCs w:val="20"/>
          <w:color w:val="auto"/>
        </w:rPr>
      </w:pPr>
      <w:r>
        <w:rPr>
          <w:rFonts w:ascii="Arial" w:cs="Arial" w:eastAsia="Arial" w:hAnsi="Arial"/>
          <w:sz w:val="11"/>
          <w:szCs w:val="11"/>
          <w:i w:val="1"/>
          <w:iCs w:val="1"/>
          <w:u w:val="single" w:color="auto"/>
          <w:color w:val="auto"/>
        </w:rPr>
        <w:t>ASU 2016-02</w:t>
      </w:r>
    </w:p>
    <w:p>
      <w:pPr>
        <w:spacing w:after="0" w:line="72" w:lineRule="exact"/>
        <w:rPr>
          <w:sz w:val="20"/>
          <w:szCs w:val="20"/>
          <w:color w:val="auto"/>
        </w:rPr>
      </w:pPr>
    </w:p>
    <w:p>
      <w:pPr>
        <w:jc w:val="both"/>
        <w:ind w:left="2060" w:right="839"/>
        <w:spacing w:after="0" w:line="242" w:lineRule="auto"/>
        <w:rPr>
          <w:sz w:val="20"/>
          <w:szCs w:val="20"/>
          <w:color w:val="auto"/>
        </w:rPr>
      </w:pPr>
      <w:r>
        <w:rPr>
          <w:rFonts w:ascii="Arial" w:cs="Arial" w:eastAsia="Arial" w:hAnsi="Arial"/>
          <w:sz w:val="11"/>
          <w:szCs w:val="11"/>
          <w:color w:val="auto"/>
        </w:rPr>
        <w:t xml:space="preserve">In February 2016, the FASB issued ASU 2016-02, </w:t>
      </w:r>
      <w:r>
        <w:rPr>
          <w:rFonts w:ascii="Arial" w:cs="Arial" w:eastAsia="Arial" w:hAnsi="Arial"/>
          <w:sz w:val="11"/>
          <w:szCs w:val="11"/>
          <w:i w:val="1"/>
          <w:iCs w:val="1"/>
          <w:color w:val="auto"/>
        </w:rPr>
        <w:t>Leases</w:t>
      </w:r>
      <w:r>
        <w:rPr>
          <w:rFonts w:ascii="Arial" w:cs="Arial" w:eastAsia="Arial" w:hAnsi="Arial"/>
          <w:sz w:val="11"/>
          <w:szCs w:val="11"/>
          <w:color w:val="auto"/>
        </w:rPr>
        <w:t>. ASU 2016-02 requires a lessee to separate the lease components from the non-lease components in a contract and recognize in the statement of financial position a liability to make lease payments (the lease liability) and a right-of-use asset representing its right to use the underlying asset for the lease term. For public entities, this standard is effective for annual reporting periods beginning after December 15, 2018, including interim periods within that reporting period. For all other entities, including emerging growth companies, this standard is effective for annual reporting periods beginning after December 15, 2019 and interim periods within annual periods beginning after December 15, 2020. The Company early adopted ASU 2016-02 using the modified retrospective approach as of July 1, 2019. Based upon the Company’s lease portfolio and evaluation of the standard, the Company estimates the adoption will result in the addition of $400 million to $500 million of right-of-use-assets and liabilities to the consolidated balance sheet, with no significant change to the consolidated statements of operations or cash flows. Additionally, the Company estimates an approximate $147 million decrease in assets and liabilities due to the de-recognition of the build-to-suit asset and liability.</w:t>
      </w:r>
    </w:p>
    <w:p>
      <w:pPr>
        <w:spacing w:after="0" w:line="202" w:lineRule="exact"/>
        <w:rPr>
          <w:sz w:val="20"/>
          <w:szCs w:val="20"/>
          <w:color w:val="auto"/>
        </w:rPr>
      </w:pPr>
    </w:p>
    <w:p>
      <w:pPr>
        <w:ind w:left="2060"/>
        <w:spacing w:after="0"/>
        <w:rPr>
          <w:sz w:val="20"/>
          <w:szCs w:val="20"/>
          <w:color w:val="auto"/>
        </w:rPr>
      </w:pPr>
      <w:r>
        <w:rPr>
          <w:rFonts w:ascii="Arial" w:cs="Arial" w:eastAsia="Arial" w:hAnsi="Arial"/>
          <w:sz w:val="11"/>
          <w:szCs w:val="11"/>
          <w:i w:val="1"/>
          <w:iCs w:val="1"/>
          <w:u w:val="single" w:color="auto"/>
          <w:color w:val="auto"/>
        </w:rPr>
        <w:t>ASU 2017-04</w:t>
      </w:r>
    </w:p>
    <w:p>
      <w:pPr>
        <w:spacing w:after="0" w:line="72" w:lineRule="exact"/>
        <w:rPr>
          <w:sz w:val="20"/>
          <w:szCs w:val="20"/>
          <w:color w:val="auto"/>
        </w:rPr>
      </w:pPr>
    </w:p>
    <w:p>
      <w:pPr>
        <w:jc w:val="both"/>
        <w:ind w:left="2060" w:right="839"/>
        <w:spacing w:after="0" w:line="276" w:lineRule="auto"/>
        <w:rPr>
          <w:sz w:val="20"/>
          <w:szCs w:val="20"/>
          <w:color w:val="auto"/>
        </w:rPr>
      </w:pPr>
      <w:r>
        <w:rPr>
          <w:rFonts w:ascii="Arial" w:cs="Arial" w:eastAsia="Arial" w:hAnsi="Arial"/>
          <w:sz w:val="10"/>
          <w:szCs w:val="10"/>
          <w:color w:val="auto"/>
        </w:rPr>
        <w:t xml:space="preserve">In January 2017, the FASB issued ASU 2017-04, </w:t>
      </w:r>
      <w:r>
        <w:rPr>
          <w:rFonts w:ascii="Arial" w:cs="Arial" w:eastAsia="Arial" w:hAnsi="Arial"/>
          <w:sz w:val="10"/>
          <w:szCs w:val="10"/>
          <w:i w:val="1"/>
          <w:iCs w:val="1"/>
          <w:color w:val="auto"/>
        </w:rPr>
        <w:t>Intangibles-Goodwill and Other: Simplifying the Test for Goodwill Impairment</w:t>
      </w:r>
      <w:r>
        <w:rPr>
          <w:rFonts w:ascii="Arial" w:cs="Arial" w:eastAsia="Arial" w:hAnsi="Arial"/>
          <w:sz w:val="10"/>
          <w:szCs w:val="10"/>
          <w:color w:val="auto"/>
        </w:rPr>
        <w:t>, to simplify the subsequent measurement of goodwill by eliminating Step 2 from the goodwill impairment test. The standard is effective for public entities for annual or any interim goodwill impairment tests in annual reporting years beginning after December 15, 2019. For all other entities, including emerging growth companies, the standard is effective for annual or any interim goodwill impairment tests in annual reporting years beginning after December 15, 2021. Early adoption of this standard is permitted. The Company does not expect the adoption of ASU 2017-04 to have a material impact on its consolidated financial statements.</w:t>
      </w:r>
    </w:p>
    <w:p>
      <w:pPr>
        <w:spacing w:after="0" w:line="78" w:lineRule="exact"/>
        <w:rPr>
          <w:sz w:val="20"/>
          <w:szCs w:val="20"/>
          <w:color w:val="auto"/>
        </w:rPr>
      </w:pPr>
    </w:p>
    <w:p>
      <w:pPr>
        <w:ind w:left="5620"/>
        <w:spacing w:after="0"/>
        <w:rPr>
          <w:sz w:val="20"/>
          <w:szCs w:val="20"/>
          <w:color w:val="auto"/>
        </w:rPr>
      </w:pPr>
      <w:r>
        <w:rPr>
          <w:rFonts w:ascii="Arial" w:cs="Arial" w:eastAsia="Arial" w:hAnsi="Arial"/>
          <w:sz w:val="11"/>
          <w:szCs w:val="11"/>
          <w:color w:val="auto"/>
        </w:rPr>
        <w:t>F-15</w:t>
      </w:r>
    </w:p>
    <w:p>
      <w:pPr>
        <w:sectPr>
          <w:pgSz w:w="11900" w:h="16838" w:orient="portrait"/>
          <w:cols w:equalWidth="0" w:num="1">
            <w:col w:w="10239"/>
          </w:cols>
          <w:pgMar w:left="220" w:top="354" w:right="1440" w:bottom="1440" w:gutter="0" w:footer="0" w:header="0"/>
        </w:sectPr>
      </w:pPr>
    </w:p>
    <w:bookmarkStart w:id="179" w:name="page180"/>
    <w:bookmarkEnd w:id="179"/>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hyperlink w:anchor="page5">
        <w:r>
          <w:rPr>
            <w:rFonts w:ascii="Arial" w:cs="Arial" w:eastAsia="Arial" w:hAnsi="Arial"/>
            <w:sz w:val="12"/>
            <w:szCs w:val="12"/>
            <w:b w:val="1"/>
            <w:bCs w:val="1"/>
            <w:u w:val="single" w:color="auto"/>
            <w:color w:val="0000EE"/>
          </w:rPr>
          <w:t>Table of Contents</w:t>
        </w:r>
      </w:hyperlink>
    </w:p>
    <w:p>
      <w:pPr>
        <w:spacing w:after="0" w:line="200" w:lineRule="exact"/>
        <w:rPr>
          <w:sz w:val="20"/>
          <w:szCs w:val="20"/>
          <w:color w:val="auto"/>
        </w:rPr>
      </w:pPr>
    </w:p>
    <w:p>
      <w:pPr>
        <w:jc w:val="center"/>
        <w:ind w:right="-1220"/>
        <w:spacing w:after="0"/>
        <w:rPr>
          <w:sz w:val="20"/>
          <w:szCs w:val="20"/>
          <w:color w:val="auto"/>
        </w:rPr>
      </w:pPr>
      <w:r>
        <w:rPr>
          <w:rFonts w:ascii="Arial" w:cs="Arial" w:eastAsia="Arial" w:hAnsi="Arial"/>
          <w:sz w:val="12"/>
          <w:szCs w:val="12"/>
          <w:b w:val="1"/>
          <w:bCs w:val="1"/>
          <w:color w:val="auto"/>
        </w:rPr>
        <w:t>PELOTON INTERACTIVE, INC.</w:t>
      </w:r>
    </w:p>
    <w:p>
      <w:pPr>
        <w:spacing w:after="0" w:line="11" w:lineRule="exact"/>
        <w:rPr>
          <w:sz w:val="20"/>
          <w:szCs w:val="20"/>
          <w:color w:val="auto"/>
        </w:rPr>
      </w:pPr>
    </w:p>
    <w:p>
      <w:pPr>
        <w:jc w:val="center"/>
        <w:ind w:right="-1220"/>
        <w:spacing w:after="0"/>
        <w:rPr>
          <w:sz w:val="20"/>
          <w:szCs w:val="20"/>
          <w:color w:val="auto"/>
        </w:rPr>
      </w:pPr>
      <w:r>
        <w:rPr>
          <w:rFonts w:ascii="Arial" w:cs="Arial" w:eastAsia="Arial" w:hAnsi="Arial"/>
          <w:sz w:val="12"/>
          <w:szCs w:val="12"/>
          <w:b w:val="1"/>
          <w:bCs w:val="1"/>
          <w:color w:val="auto"/>
        </w:rPr>
        <w:t>NOTES TO CONSOLIDATED FINANCIAL STATEMENTS</w:t>
      </w:r>
    </w:p>
    <w:p>
      <w:pPr>
        <w:spacing w:after="0" w:line="68" w:lineRule="exact"/>
        <w:rPr>
          <w:sz w:val="20"/>
          <w:szCs w:val="20"/>
          <w:color w:val="auto"/>
        </w:rPr>
      </w:pPr>
    </w:p>
    <w:p>
      <w:pPr>
        <w:ind w:left="2060"/>
        <w:spacing w:after="0"/>
        <w:rPr>
          <w:sz w:val="20"/>
          <w:szCs w:val="20"/>
          <w:color w:val="auto"/>
        </w:rPr>
      </w:pPr>
      <w:r>
        <w:rPr>
          <w:rFonts w:ascii="Arial" w:cs="Arial" w:eastAsia="Arial" w:hAnsi="Arial"/>
          <w:sz w:val="11"/>
          <w:szCs w:val="11"/>
          <w:b w:val="1"/>
          <w:bCs w:val="1"/>
          <w:color w:val="auto"/>
        </w:rPr>
        <w:t>3. Revenue</w:t>
      </w:r>
    </w:p>
    <w:p>
      <w:pPr>
        <w:spacing w:after="0" w:line="84" w:lineRule="exact"/>
        <w:rPr>
          <w:sz w:val="20"/>
          <w:szCs w:val="20"/>
          <w:color w:val="auto"/>
        </w:rPr>
      </w:pPr>
    </w:p>
    <w:p>
      <w:pPr>
        <w:ind w:left="2060"/>
        <w:spacing w:after="0"/>
        <w:rPr>
          <w:sz w:val="20"/>
          <w:szCs w:val="20"/>
          <w:color w:val="auto"/>
        </w:rPr>
      </w:pPr>
      <w:r>
        <w:rPr>
          <w:rFonts w:ascii="Arial" w:cs="Arial" w:eastAsia="Arial" w:hAnsi="Arial"/>
          <w:sz w:val="11"/>
          <w:szCs w:val="11"/>
          <w:color w:val="auto"/>
        </w:rPr>
        <w:t>The Company’s primary source of revenue is from sales of its Connected Fitness Products and associated recurring subscription revenue.</w:t>
      </w:r>
    </w:p>
    <w:p>
      <w:pPr>
        <w:spacing w:after="0" w:line="144" w:lineRule="exact"/>
        <w:rPr>
          <w:sz w:val="20"/>
          <w:szCs w:val="20"/>
          <w:color w:val="auto"/>
        </w:rPr>
      </w:pPr>
    </w:p>
    <w:p>
      <w:pPr>
        <w:ind w:left="2060"/>
        <w:spacing w:after="0"/>
        <w:rPr>
          <w:sz w:val="20"/>
          <w:szCs w:val="20"/>
          <w:color w:val="auto"/>
        </w:rPr>
      </w:pPr>
      <w:r>
        <w:rPr>
          <w:rFonts w:ascii="Arial" w:cs="Arial" w:eastAsia="Arial" w:hAnsi="Arial"/>
          <w:sz w:val="11"/>
          <w:szCs w:val="11"/>
          <w:color w:val="auto"/>
        </w:rPr>
        <w:t>The Company determines revenue recognition through the following steps:</w:t>
      </w:r>
    </w:p>
    <w:p>
      <w:pPr>
        <w:spacing w:after="0" w:line="162" w:lineRule="exact"/>
        <w:rPr>
          <w:sz w:val="20"/>
          <w:szCs w:val="20"/>
          <w:color w:val="auto"/>
        </w:rPr>
      </w:pPr>
    </w:p>
    <w:p>
      <w:pPr>
        <w:ind w:left="2560" w:hanging="141"/>
        <w:spacing w:after="0"/>
        <w:tabs>
          <w:tab w:leader="none" w:pos="2560" w:val="left"/>
        </w:tabs>
        <w:numPr>
          <w:ilvl w:val="0"/>
          <w:numId w:val="111"/>
        </w:numPr>
        <w:rPr>
          <w:rFonts w:ascii="Arial" w:cs="Arial" w:eastAsia="Arial" w:hAnsi="Arial"/>
          <w:sz w:val="11"/>
          <w:szCs w:val="11"/>
          <w:color w:val="auto"/>
        </w:rPr>
      </w:pPr>
      <w:r>
        <w:rPr>
          <w:rFonts w:ascii="Arial" w:cs="Arial" w:eastAsia="Arial" w:hAnsi="Arial"/>
          <w:sz w:val="11"/>
          <w:szCs w:val="11"/>
          <w:color w:val="auto"/>
        </w:rPr>
        <w:t>identification of the contract, or contracts, with a customer</w:t>
      </w:r>
    </w:p>
    <w:p>
      <w:pPr>
        <w:spacing w:after="0" w:line="80" w:lineRule="exact"/>
        <w:rPr>
          <w:rFonts w:ascii="Arial" w:cs="Arial" w:eastAsia="Arial" w:hAnsi="Arial"/>
          <w:sz w:val="11"/>
          <w:szCs w:val="11"/>
          <w:color w:val="auto"/>
        </w:rPr>
      </w:pPr>
    </w:p>
    <w:p>
      <w:pPr>
        <w:ind w:left="2560" w:hanging="141"/>
        <w:spacing w:after="0"/>
        <w:tabs>
          <w:tab w:leader="none" w:pos="2560" w:val="left"/>
        </w:tabs>
        <w:numPr>
          <w:ilvl w:val="0"/>
          <w:numId w:val="111"/>
        </w:numPr>
        <w:rPr>
          <w:rFonts w:ascii="Arial" w:cs="Arial" w:eastAsia="Arial" w:hAnsi="Arial"/>
          <w:sz w:val="11"/>
          <w:szCs w:val="11"/>
          <w:color w:val="auto"/>
        </w:rPr>
      </w:pPr>
      <w:r>
        <w:rPr>
          <w:rFonts w:ascii="Arial" w:cs="Arial" w:eastAsia="Arial" w:hAnsi="Arial"/>
          <w:sz w:val="11"/>
          <w:szCs w:val="11"/>
          <w:color w:val="auto"/>
        </w:rPr>
        <w:t>identification of the performance obligations in the contract</w:t>
      </w:r>
    </w:p>
    <w:p>
      <w:pPr>
        <w:spacing w:after="0" w:line="80" w:lineRule="exact"/>
        <w:rPr>
          <w:rFonts w:ascii="Arial" w:cs="Arial" w:eastAsia="Arial" w:hAnsi="Arial"/>
          <w:sz w:val="11"/>
          <w:szCs w:val="11"/>
          <w:color w:val="auto"/>
        </w:rPr>
      </w:pPr>
    </w:p>
    <w:p>
      <w:pPr>
        <w:ind w:left="2560" w:hanging="141"/>
        <w:spacing w:after="0"/>
        <w:tabs>
          <w:tab w:leader="none" w:pos="2560" w:val="left"/>
        </w:tabs>
        <w:numPr>
          <w:ilvl w:val="0"/>
          <w:numId w:val="111"/>
        </w:numPr>
        <w:rPr>
          <w:rFonts w:ascii="Arial" w:cs="Arial" w:eastAsia="Arial" w:hAnsi="Arial"/>
          <w:sz w:val="11"/>
          <w:szCs w:val="11"/>
          <w:color w:val="auto"/>
        </w:rPr>
      </w:pPr>
      <w:r>
        <w:rPr>
          <w:rFonts w:ascii="Arial" w:cs="Arial" w:eastAsia="Arial" w:hAnsi="Arial"/>
          <w:sz w:val="11"/>
          <w:szCs w:val="11"/>
          <w:color w:val="auto"/>
        </w:rPr>
        <w:t>determination of the transaction price</w:t>
      </w:r>
    </w:p>
    <w:p>
      <w:pPr>
        <w:spacing w:after="0" w:line="80" w:lineRule="exact"/>
        <w:rPr>
          <w:rFonts w:ascii="Arial" w:cs="Arial" w:eastAsia="Arial" w:hAnsi="Arial"/>
          <w:sz w:val="11"/>
          <w:szCs w:val="11"/>
          <w:color w:val="auto"/>
        </w:rPr>
      </w:pPr>
    </w:p>
    <w:p>
      <w:pPr>
        <w:ind w:left="2560" w:hanging="141"/>
        <w:spacing w:after="0"/>
        <w:tabs>
          <w:tab w:leader="none" w:pos="2560" w:val="left"/>
        </w:tabs>
        <w:numPr>
          <w:ilvl w:val="0"/>
          <w:numId w:val="111"/>
        </w:numPr>
        <w:rPr>
          <w:rFonts w:ascii="Arial" w:cs="Arial" w:eastAsia="Arial" w:hAnsi="Arial"/>
          <w:sz w:val="11"/>
          <w:szCs w:val="11"/>
          <w:color w:val="auto"/>
        </w:rPr>
      </w:pPr>
      <w:r>
        <w:rPr>
          <w:rFonts w:ascii="Arial" w:cs="Arial" w:eastAsia="Arial" w:hAnsi="Arial"/>
          <w:sz w:val="11"/>
          <w:szCs w:val="11"/>
          <w:color w:val="auto"/>
        </w:rPr>
        <w:t>allocation of the transaction price to the performance obligations in the contract</w:t>
      </w:r>
    </w:p>
    <w:p>
      <w:pPr>
        <w:spacing w:after="0" w:line="80" w:lineRule="exact"/>
        <w:rPr>
          <w:rFonts w:ascii="Arial" w:cs="Arial" w:eastAsia="Arial" w:hAnsi="Arial"/>
          <w:sz w:val="11"/>
          <w:szCs w:val="11"/>
          <w:color w:val="auto"/>
        </w:rPr>
      </w:pPr>
    </w:p>
    <w:p>
      <w:pPr>
        <w:ind w:left="2560" w:hanging="141"/>
        <w:spacing w:after="0"/>
        <w:tabs>
          <w:tab w:leader="none" w:pos="2560" w:val="left"/>
        </w:tabs>
        <w:numPr>
          <w:ilvl w:val="0"/>
          <w:numId w:val="111"/>
        </w:numPr>
        <w:rPr>
          <w:rFonts w:ascii="Arial" w:cs="Arial" w:eastAsia="Arial" w:hAnsi="Arial"/>
          <w:sz w:val="11"/>
          <w:szCs w:val="11"/>
          <w:color w:val="auto"/>
        </w:rPr>
      </w:pPr>
      <w:r>
        <w:rPr>
          <w:rFonts w:ascii="Arial" w:cs="Arial" w:eastAsia="Arial" w:hAnsi="Arial"/>
          <w:sz w:val="11"/>
          <w:szCs w:val="11"/>
          <w:color w:val="auto"/>
        </w:rPr>
        <w:t>recognition of revenue when, or as, the Company satisfies a performance obligation</w:t>
      </w:r>
    </w:p>
    <w:p>
      <w:pPr>
        <w:spacing w:after="0" w:line="144" w:lineRule="exact"/>
        <w:rPr>
          <w:sz w:val="20"/>
          <w:szCs w:val="20"/>
          <w:color w:val="auto"/>
        </w:rPr>
      </w:pPr>
    </w:p>
    <w:p>
      <w:pPr>
        <w:jc w:val="both"/>
        <w:ind w:left="2060" w:right="839"/>
        <w:spacing w:after="0"/>
        <w:rPr>
          <w:sz w:val="20"/>
          <w:szCs w:val="20"/>
          <w:color w:val="auto"/>
        </w:rPr>
      </w:pPr>
      <w:r>
        <w:rPr>
          <w:rFonts w:ascii="Arial" w:cs="Arial" w:eastAsia="Arial" w:hAnsi="Arial"/>
          <w:sz w:val="11"/>
          <w:szCs w:val="11"/>
          <w:color w:val="auto"/>
        </w:rPr>
        <w:t>Revenue is recognized when control of the promised goods or services is transferred to the Company’s customers, in an amount that reflects the consideration the Company expects to be entitled to in exchange for those goods or services. The Company’s revenue is reported net of sales returns and discounts, which to date have not been material to the Company’s financial statements. The Company estimates its liability for product returns based on historical return trends by product category and seasonality and an evaluation of current economic and market conditions and records the expected customer refund liability as a reduction to revenue, and the expected inventory right of recovery as a reduction of cost of revenue. If actual return costs differ from previous estimates, the amount of the liability and corresponding revenue are adjusted in the period in which such costs occur.</w:t>
      </w:r>
    </w:p>
    <w:p>
      <w:pPr>
        <w:spacing w:after="0" w:line="142" w:lineRule="exact"/>
        <w:rPr>
          <w:sz w:val="20"/>
          <w:szCs w:val="20"/>
          <w:color w:val="auto"/>
        </w:rPr>
      </w:pPr>
    </w:p>
    <w:p>
      <w:pPr>
        <w:jc w:val="both"/>
        <w:ind w:left="2060" w:right="839"/>
        <w:spacing w:after="0" w:line="278" w:lineRule="auto"/>
        <w:rPr>
          <w:sz w:val="20"/>
          <w:szCs w:val="20"/>
          <w:color w:val="auto"/>
        </w:rPr>
      </w:pPr>
      <w:r>
        <w:rPr>
          <w:rFonts w:ascii="Arial" w:cs="Arial" w:eastAsia="Arial" w:hAnsi="Arial"/>
          <w:sz w:val="10"/>
          <w:szCs w:val="10"/>
          <w:color w:val="auto"/>
        </w:rPr>
        <w:t>Some of the Company’s contracts with customers contain multiple performance obligations. For customer contracts that include multiple performance obligations, the Company accounts for individual performance obligations if they are distinct. The transaction price is then allocated to each performance obligation based on its standalone selling price. The Company generally determines standalone selling price based on prices charged to customers.</w:t>
      </w:r>
    </w:p>
    <w:p>
      <w:pPr>
        <w:spacing w:after="0" w:line="185" w:lineRule="exact"/>
        <w:rPr>
          <w:sz w:val="20"/>
          <w:szCs w:val="20"/>
          <w:color w:val="auto"/>
        </w:rPr>
      </w:pPr>
    </w:p>
    <w:p>
      <w:pPr>
        <w:ind w:left="2060"/>
        <w:spacing w:after="0"/>
        <w:rPr>
          <w:sz w:val="20"/>
          <w:szCs w:val="20"/>
          <w:color w:val="auto"/>
        </w:rPr>
      </w:pPr>
      <w:r>
        <w:rPr>
          <w:rFonts w:ascii="Arial" w:cs="Arial" w:eastAsia="Arial" w:hAnsi="Arial"/>
          <w:sz w:val="11"/>
          <w:szCs w:val="11"/>
          <w:i w:val="1"/>
          <w:iCs w:val="1"/>
          <w:color w:val="auto"/>
        </w:rPr>
        <w:t>Connected Fitness Products</w:t>
      </w:r>
    </w:p>
    <w:p>
      <w:pPr>
        <w:spacing w:after="0" w:line="82" w:lineRule="exact"/>
        <w:rPr>
          <w:sz w:val="20"/>
          <w:szCs w:val="20"/>
          <w:color w:val="auto"/>
        </w:rPr>
      </w:pPr>
    </w:p>
    <w:p>
      <w:pPr>
        <w:jc w:val="both"/>
        <w:ind w:left="2060" w:right="839"/>
        <w:spacing w:after="0" w:line="242" w:lineRule="auto"/>
        <w:rPr>
          <w:sz w:val="20"/>
          <w:szCs w:val="20"/>
          <w:color w:val="auto"/>
        </w:rPr>
      </w:pPr>
      <w:r>
        <w:rPr>
          <w:rFonts w:ascii="Arial" w:cs="Arial" w:eastAsia="Arial" w:hAnsi="Arial"/>
          <w:sz w:val="11"/>
          <w:szCs w:val="11"/>
          <w:color w:val="auto"/>
        </w:rPr>
        <w:t>Connected Fitness Products include the Company’s Bike and Tread, related accessories, associated fees for delivery and installation, and extended warranty agreements. The Company recognizes Connected Fitness Product revenue net of sales returns and discounts when the product has been delivered to the customer. The Company generally allows customers to return products within thirty days of purchase, as stated in its return policy.</w:t>
      </w:r>
    </w:p>
    <w:p>
      <w:pPr>
        <w:spacing w:after="0" w:line="140" w:lineRule="exact"/>
        <w:rPr>
          <w:sz w:val="20"/>
          <w:szCs w:val="20"/>
          <w:color w:val="auto"/>
        </w:rPr>
      </w:pPr>
    </w:p>
    <w:p>
      <w:pPr>
        <w:jc w:val="both"/>
        <w:ind w:left="2060" w:right="839"/>
        <w:spacing w:after="0" w:line="242" w:lineRule="auto"/>
        <w:rPr>
          <w:sz w:val="20"/>
          <w:szCs w:val="20"/>
          <w:color w:val="auto"/>
        </w:rPr>
      </w:pPr>
      <w:r>
        <w:rPr>
          <w:rFonts w:ascii="Arial" w:cs="Arial" w:eastAsia="Arial" w:hAnsi="Arial"/>
          <w:sz w:val="11"/>
          <w:szCs w:val="11"/>
          <w:color w:val="auto"/>
        </w:rPr>
        <w:t>The Company records fees paid to third-party financing partners in connection with its consumer financing program as a reduction of revenue, as it considers such costs to be a customer sales incentive. The Company records payment processing fees for its credit card sales for Connected Fitness Products within selling and marketing expenses.</w:t>
      </w:r>
    </w:p>
    <w:p>
      <w:pPr>
        <w:spacing w:after="0" w:line="202" w:lineRule="exact"/>
        <w:rPr>
          <w:sz w:val="20"/>
          <w:szCs w:val="20"/>
          <w:color w:val="auto"/>
        </w:rPr>
      </w:pPr>
    </w:p>
    <w:p>
      <w:pPr>
        <w:ind w:left="2060"/>
        <w:spacing w:after="0"/>
        <w:rPr>
          <w:sz w:val="20"/>
          <w:szCs w:val="20"/>
          <w:color w:val="auto"/>
        </w:rPr>
      </w:pPr>
      <w:r>
        <w:rPr>
          <w:rFonts w:ascii="Arial" w:cs="Arial" w:eastAsia="Arial" w:hAnsi="Arial"/>
          <w:sz w:val="11"/>
          <w:szCs w:val="11"/>
          <w:i w:val="1"/>
          <w:iCs w:val="1"/>
          <w:color w:val="auto"/>
        </w:rPr>
        <w:t>Subscription</w:t>
      </w:r>
    </w:p>
    <w:p>
      <w:pPr>
        <w:spacing w:after="0" w:line="82" w:lineRule="exact"/>
        <w:rPr>
          <w:sz w:val="20"/>
          <w:szCs w:val="20"/>
          <w:color w:val="auto"/>
        </w:rPr>
      </w:pPr>
    </w:p>
    <w:p>
      <w:pPr>
        <w:jc w:val="both"/>
        <w:ind w:left="2060" w:right="839"/>
        <w:spacing w:after="0" w:line="245" w:lineRule="auto"/>
        <w:rPr>
          <w:sz w:val="20"/>
          <w:szCs w:val="20"/>
          <w:color w:val="auto"/>
        </w:rPr>
      </w:pPr>
      <w:r>
        <w:rPr>
          <w:rFonts w:ascii="Arial" w:cs="Arial" w:eastAsia="Arial" w:hAnsi="Arial"/>
          <w:sz w:val="11"/>
          <w:szCs w:val="11"/>
          <w:color w:val="auto"/>
        </w:rPr>
        <w:t>The Company’s subscriptions provide unlimited access to content in its library of live and on-demand fitness classes. The Company’s subscriptions are offered on a month-to-month basis.</w:t>
      </w:r>
    </w:p>
    <w:p>
      <w:pPr>
        <w:spacing w:after="0" w:line="138" w:lineRule="exact"/>
        <w:rPr>
          <w:sz w:val="20"/>
          <w:szCs w:val="20"/>
          <w:color w:val="auto"/>
        </w:rPr>
      </w:pPr>
    </w:p>
    <w:p>
      <w:pPr>
        <w:jc w:val="both"/>
        <w:ind w:left="2060" w:right="839"/>
        <w:spacing w:after="0"/>
        <w:rPr>
          <w:sz w:val="20"/>
          <w:szCs w:val="20"/>
          <w:color w:val="auto"/>
        </w:rPr>
      </w:pPr>
      <w:r>
        <w:rPr>
          <w:rFonts w:ascii="Arial" w:cs="Arial" w:eastAsia="Arial" w:hAnsi="Arial"/>
          <w:sz w:val="11"/>
          <w:szCs w:val="11"/>
          <w:color w:val="auto"/>
        </w:rPr>
        <w:t>Historically, the Company offered a prepaid subscription option where Subscribers earned one free month or three free months of subscription with the purchase of a 12-month subscription or 24-month subscription, respectively. The Company also offered Subscribers the ability to finance the prepaid subscription with the purchase of a Connected Fitness Product as part of its financing program. The associated financing fees were paid to the Company’s third-party partner at the outset of the arrangement and are recorded as a reduction to subscription revenue. The Company terminated both programs in July 2018.</w:t>
      </w:r>
    </w:p>
    <w:p>
      <w:pPr>
        <w:spacing w:after="0" w:line="142" w:lineRule="exact"/>
        <w:rPr>
          <w:sz w:val="20"/>
          <w:szCs w:val="20"/>
          <w:color w:val="auto"/>
        </w:rPr>
      </w:pPr>
    </w:p>
    <w:p>
      <w:pPr>
        <w:jc w:val="center"/>
        <w:ind w:right="-900"/>
        <w:spacing w:after="0"/>
        <w:rPr>
          <w:sz w:val="20"/>
          <w:szCs w:val="20"/>
          <w:color w:val="auto"/>
        </w:rPr>
      </w:pPr>
      <w:r>
        <w:rPr>
          <w:rFonts w:ascii="Arial" w:cs="Arial" w:eastAsia="Arial" w:hAnsi="Arial"/>
          <w:sz w:val="11"/>
          <w:szCs w:val="11"/>
          <w:color w:val="auto"/>
        </w:rPr>
        <w:t>Amounts paid for subscription fees are included within customer deposits and deferred revenue and recognized ratably on a month-to-month basis.</w:t>
      </w:r>
    </w:p>
    <w:p>
      <w:pPr>
        <w:spacing w:after="0" w:line="99" w:lineRule="exact"/>
        <w:rPr>
          <w:sz w:val="20"/>
          <w:szCs w:val="20"/>
          <w:color w:val="auto"/>
        </w:rPr>
      </w:pPr>
    </w:p>
    <w:p>
      <w:pPr>
        <w:jc w:val="center"/>
        <w:ind w:right="-1220"/>
        <w:spacing w:after="0"/>
        <w:rPr>
          <w:sz w:val="20"/>
          <w:szCs w:val="20"/>
          <w:color w:val="auto"/>
        </w:rPr>
      </w:pPr>
      <w:r>
        <w:rPr>
          <w:rFonts w:ascii="Arial" w:cs="Arial" w:eastAsia="Arial" w:hAnsi="Arial"/>
          <w:sz w:val="11"/>
          <w:szCs w:val="11"/>
          <w:color w:val="auto"/>
        </w:rPr>
        <w:t>F-16</w:t>
      </w:r>
    </w:p>
    <w:p>
      <w:pPr>
        <w:sectPr>
          <w:pgSz w:w="11900" w:h="16838" w:orient="portrait"/>
          <w:cols w:equalWidth="0" w:num="1">
            <w:col w:w="10239"/>
          </w:cols>
          <w:pgMar w:left="220" w:top="354" w:right="1440" w:bottom="1440" w:gutter="0" w:footer="0" w:header="0"/>
        </w:sectPr>
      </w:pPr>
    </w:p>
    <w:bookmarkStart w:id="180" w:name="page181"/>
    <w:bookmarkEnd w:id="180"/>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hyperlink w:anchor="page5">
        <w:r>
          <w:rPr>
            <w:rFonts w:ascii="Arial" w:cs="Arial" w:eastAsia="Arial" w:hAnsi="Arial"/>
            <w:sz w:val="12"/>
            <w:szCs w:val="12"/>
            <w:b w:val="1"/>
            <w:bCs w:val="1"/>
            <w:u w:val="single" w:color="auto"/>
            <w:color w:val="0000EE"/>
          </w:rPr>
          <w:t>Table of Contents</w:t>
        </w:r>
      </w:hyperlink>
    </w:p>
    <w:p>
      <w:pPr>
        <w:spacing w:after="0" w:line="200" w:lineRule="exact"/>
        <w:rPr>
          <w:sz w:val="20"/>
          <w:szCs w:val="20"/>
          <w:color w:val="auto"/>
        </w:rPr>
      </w:pPr>
    </w:p>
    <w:p>
      <w:pPr>
        <w:jc w:val="center"/>
        <w:ind w:right="-1220"/>
        <w:spacing w:after="0"/>
        <w:rPr>
          <w:sz w:val="20"/>
          <w:szCs w:val="20"/>
          <w:color w:val="auto"/>
        </w:rPr>
      </w:pPr>
      <w:r>
        <w:rPr>
          <w:rFonts w:ascii="Arial" w:cs="Arial" w:eastAsia="Arial" w:hAnsi="Arial"/>
          <w:sz w:val="12"/>
          <w:szCs w:val="12"/>
          <w:b w:val="1"/>
          <w:bCs w:val="1"/>
          <w:color w:val="auto"/>
        </w:rPr>
        <w:t>PELOTON INTERACTIVE, INC.</w:t>
      </w:r>
    </w:p>
    <w:p>
      <w:pPr>
        <w:spacing w:after="0" w:line="11" w:lineRule="exact"/>
        <w:rPr>
          <w:sz w:val="20"/>
          <w:szCs w:val="20"/>
          <w:color w:val="auto"/>
        </w:rPr>
      </w:pPr>
    </w:p>
    <w:p>
      <w:pPr>
        <w:jc w:val="center"/>
        <w:ind w:right="-1220"/>
        <w:spacing w:after="0"/>
        <w:rPr>
          <w:sz w:val="20"/>
          <w:szCs w:val="20"/>
          <w:color w:val="auto"/>
        </w:rPr>
      </w:pPr>
      <w:r>
        <w:rPr>
          <w:rFonts w:ascii="Arial" w:cs="Arial" w:eastAsia="Arial" w:hAnsi="Arial"/>
          <w:sz w:val="12"/>
          <w:szCs w:val="12"/>
          <w:b w:val="1"/>
          <w:bCs w:val="1"/>
          <w:color w:val="auto"/>
        </w:rPr>
        <w:t>NOTES TO CONSOLIDATED FINANCIAL STATEMENTS</w:t>
      </w:r>
    </w:p>
    <w:p>
      <w:pPr>
        <w:spacing w:after="0" w:line="80" w:lineRule="exact"/>
        <w:rPr>
          <w:sz w:val="20"/>
          <w:szCs w:val="20"/>
          <w:color w:val="auto"/>
        </w:rPr>
      </w:pPr>
    </w:p>
    <w:p>
      <w:pPr>
        <w:jc w:val="both"/>
        <w:ind w:left="2060" w:right="839"/>
        <w:spacing w:after="0" w:line="245" w:lineRule="auto"/>
        <w:rPr>
          <w:sz w:val="20"/>
          <w:szCs w:val="20"/>
          <w:color w:val="auto"/>
        </w:rPr>
      </w:pPr>
      <w:r>
        <w:rPr>
          <w:rFonts w:ascii="Arial" w:cs="Arial" w:eastAsia="Arial" w:hAnsi="Arial"/>
          <w:sz w:val="11"/>
          <w:szCs w:val="11"/>
          <w:color w:val="auto"/>
        </w:rPr>
        <w:t>The Company generates a small portion of its revenue from the sale of studio credits to attend and participate in a live, instructor-led class at its New York City studios. Studio revenue is recognized at the time the credits are redeemed and used.</w:t>
      </w:r>
    </w:p>
    <w:p>
      <w:pPr>
        <w:spacing w:after="0" w:line="198" w:lineRule="exact"/>
        <w:rPr>
          <w:sz w:val="20"/>
          <w:szCs w:val="20"/>
          <w:color w:val="auto"/>
        </w:rPr>
      </w:pPr>
    </w:p>
    <w:p>
      <w:pPr>
        <w:ind w:left="2060"/>
        <w:spacing w:after="0"/>
        <w:rPr>
          <w:sz w:val="20"/>
          <w:szCs w:val="20"/>
          <w:color w:val="auto"/>
        </w:rPr>
      </w:pPr>
      <w:r>
        <w:rPr>
          <w:rFonts w:ascii="Arial" w:cs="Arial" w:eastAsia="Arial" w:hAnsi="Arial"/>
          <w:sz w:val="11"/>
          <w:szCs w:val="11"/>
          <w:b w:val="1"/>
          <w:bCs w:val="1"/>
          <w:i w:val="1"/>
          <w:iCs w:val="1"/>
          <w:color w:val="auto"/>
        </w:rPr>
        <w:t>Product Warranty</w:t>
      </w:r>
    </w:p>
    <w:p>
      <w:pPr>
        <w:spacing w:after="0" w:line="84" w:lineRule="exact"/>
        <w:rPr>
          <w:sz w:val="20"/>
          <w:szCs w:val="20"/>
          <w:color w:val="auto"/>
        </w:rPr>
      </w:pPr>
    </w:p>
    <w:p>
      <w:pPr>
        <w:jc w:val="both"/>
        <w:ind w:left="2060" w:right="839"/>
        <w:spacing w:after="0" w:line="270" w:lineRule="auto"/>
        <w:rPr>
          <w:sz w:val="20"/>
          <w:szCs w:val="20"/>
          <w:color w:val="auto"/>
        </w:rPr>
      </w:pPr>
      <w:r>
        <w:rPr>
          <w:rFonts w:ascii="Arial" w:cs="Arial" w:eastAsia="Arial" w:hAnsi="Arial"/>
          <w:sz w:val="10"/>
          <w:szCs w:val="10"/>
          <w:color w:val="auto"/>
        </w:rPr>
        <w:t>The Company offers a standard product warranty that its Connected Fitness Products will operate under normal, non-commercial use for a period of one-year from the date of original delivery. The Company has the obligation, at its option, to either repair or replace the defective product. At the time revenue is recognized, an estimate of future warranty costs is recorded as a component of cost of revenue. Factors that affect the warranty obligation include historical as well as current product failure rates, service delivery costs incurred in correcting product failures, and warranty policies. The Company’s products are manufactured by contract manufacturers, and in certain cases, the Company may have recourse to such contract manufacturers.</w:t>
      </w:r>
    </w:p>
    <w:p>
      <w:pPr>
        <w:spacing w:after="0" w:line="128" w:lineRule="exact"/>
        <w:rPr>
          <w:sz w:val="20"/>
          <w:szCs w:val="20"/>
          <w:color w:val="auto"/>
        </w:rPr>
      </w:pPr>
    </w:p>
    <w:p>
      <w:pPr>
        <w:jc w:val="both"/>
        <w:ind w:left="2060" w:right="839"/>
        <w:spacing w:after="0" w:line="242" w:lineRule="auto"/>
        <w:rPr>
          <w:sz w:val="20"/>
          <w:szCs w:val="20"/>
          <w:color w:val="auto"/>
        </w:rPr>
      </w:pPr>
      <w:r>
        <w:rPr>
          <w:rFonts w:ascii="Arial" w:cs="Arial" w:eastAsia="Arial" w:hAnsi="Arial"/>
          <w:sz w:val="11"/>
          <w:szCs w:val="11"/>
          <w:color w:val="auto"/>
        </w:rPr>
        <w:t>The Company also offers the option for customers in some markets to purchase a third-party extended warranty and service contract that extends or enhances the technical support, parts, and labor coverage offered as part of the base warranty included with the Connected Fitness Product for an additional period of 12 to 27 months.</w:t>
      </w:r>
    </w:p>
    <w:p>
      <w:pPr>
        <w:spacing w:after="0" w:line="140" w:lineRule="exact"/>
        <w:rPr>
          <w:sz w:val="20"/>
          <w:szCs w:val="20"/>
          <w:color w:val="auto"/>
        </w:rPr>
      </w:pPr>
    </w:p>
    <w:p>
      <w:pPr>
        <w:jc w:val="both"/>
        <w:ind w:left="2060" w:right="839"/>
        <w:spacing w:after="0" w:line="242" w:lineRule="auto"/>
        <w:rPr>
          <w:sz w:val="20"/>
          <w:szCs w:val="20"/>
          <w:color w:val="auto"/>
        </w:rPr>
      </w:pPr>
      <w:r>
        <w:rPr>
          <w:rFonts w:ascii="Arial" w:cs="Arial" w:eastAsia="Arial" w:hAnsi="Arial"/>
          <w:sz w:val="11"/>
          <w:szCs w:val="11"/>
          <w:color w:val="auto"/>
        </w:rPr>
        <w:t>Revenue and related fees paid to the third-party provider are recognized on a gross basis as the Company has a continuing obligation to perform over the service period. Extended warranty revenue is recognized ratably over the extended warranty coverage period and is included in Connected Fitness Products revenue in the consolidated statement of operations.</w:t>
      </w:r>
    </w:p>
    <w:p>
      <w:pPr>
        <w:spacing w:after="0" w:line="200" w:lineRule="exact"/>
        <w:rPr>
          <w:sz w:val="20"/>
          <w:szCs w:val="20"/>
          <w:color w:val="auto"/>
        </w:rPr>
      </w:pPr>
    </w:p>
    <w:p>
      <w:pPr>
        <w:ind w:left="2060"/>
        <w:spacing w:after="0"/>
        <w:rPr>
          <w:sz w:val="20"/>
          <w:szCs w:val="20"/>
          <w:color w:val="auto"/>
        </w:rPr>
      </w:pPr>
      <w:r>
        <w:rPr>
          <w:rFonts w:ascii="Arial" w:cs="Arial" w:eastAsia="Arial" w:hAnsi="Arial"/>
          <w:sz w:val="11"/>
          <w:szCs w:val="11"/>
          <w:b w:val="1"/>
          <w:bCs w:val="1"/>
          <w:i w:val="1"/>
          <w:iCs w:val="1"/>
          <w:color w:val="auto"/>
        </w:rPr>
        <w:t>Disaggregation of Revenue</w:t>
      </w:r>
    </w:p>
    <w:p>
      <w:pPr>
        <w:spacing w:after="0" w:line="84" w:lineRule="exact"/>
        <w:rPr>
          <w:sz w:val="20"/>
          <w:szCs w:val="20"/>
          <w:color w:val="auto"/>
        </w:rPr>
      </w:pPr>
    </w:p>
    <w:p>
      <w:pPr>
        <w:jc w:val="both"/>
        <w:ind w:left="2060" w:right="839"/>
        <w:spacing w:after="0" w:line="245" w:lineRule="auto"/>
        <w:rPr>
          <w:sz w:val="20"/>
          <w:szCs w:val="20"/>
          <w:color w:val="auto"/>
        </w:rPr>
      </w:pPr>
      <w:r>
        <w:rPr>
          <w:rFonts w:ascii="Arial" w:cs="Arial" w:eastAsia="Arial" w:hAnsi="Arial"/>
          <w:sz w:val="11"/>
          <w:szCs w:val="11"/>
          <w:color w:val="auto"/>
        </w:rPr>
        <w:t>The Company’s revenue from contracts with customers disaggregated by major product lines, excluding sales-based taxes, are included in Note 17, Segment Information.</w:t>
      </w:r>
    </w:p>
    <w:p>
      <w:pPr>
        <w:spacing w:after="0" w:line="138" w:lineRule="exact"/>
        <w:rPr>
          <w:sz w:val="20"/>
          <w:szCs w:val="20"/>
          <w:color w:val="auto"/>
        </w:rPr>
      </w:pPr>
    </w:p>
    <w:p>
      <w:pPr>
        <w:ind w:left="2060"/>
        <w:spacing w:after="0"/>
        <w:rPr>
          <w:sz w:val="20"/>
          <w:szCs w:val="20"/>
          <w:color w:val="auto"/>
        </w:rPr>
      </w:pPr>
      <w:r>
        <w:rPr>
          <w:rFonts w:ascii="Arial" w:cs="Arial" w:eastAsia="Arial" w:hAnsi="Arial"/>
          <w:sz w:val="11"/>
          <w:szCs w:val="11"/>
          <w:color w:val="auto"/>
        </w:rPr>
        <w:t>The Company’s revenue disaggregated by geographic region, based on ship-to address, were as follows:</w:t>
      </w:r>
    </w:p>
    <w:p>
      <w:pPr>
        <w:spacing w:after="0" w:line="150" w:lineRule="exact"/>
        <w:rPr>
          <w:sz w:val="20"/>
          <w:szCs w:val="20"/>
          <w:color w:val="auto"/>
        </w:rPr>
      </w:pPr>
    </w:p>
    <w:p>
      <w:pPr>
        <w:jc w:val="center"/>
        <w:ind w:left="5220"/>
        <w:spacing w:after="0"/>
        <w:rPr>
          <w:sz w:val="20"/>
          <w:szCs w:val="20"/>
          <w:color w:val="auto"/>
        </w:rPr>
      </w:pPr>
      <w:r>
        <w:rPr>
          <w:rFonts w:ascii="Arial" w:cs="Arial" w:eastAsia="Arial" w:hAnsi="Arial"/>
          <w:sz w:val="11"/>
          <w:szCs w:val="11"/>
          <w:b w:val="1"/>
          <w:bCs w:val="1"/>
          <w:color w:val="auto"/>
        </w:rPr>
        <w:t>Fiscal Year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4639310</wp:posOffset>
            </wp:positionH>
            <wp:positionV relativeFrom="paragraph">
              <wp:posOffset>6350</wp:posOffset>
            </wp:positionV>
            <wp:extent cx="1315720" cy="571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1315720" cy="5715"/>
                    </a:xfrm>
                    <a:prstGeom prst="rect">
                      <a:avLst/>
                    </a:prstGeom>
                    <a:noFill/>
                  </pic:spPr>
                </pic:pic>
              </a:graphicData>
            </a:graphic>
          </wp:anchor>
        </w:drawing>
      </w:r>
    </w:p>
    <w:p>
      <w:pPr>
        <w:ind w:left="7420"/>
        <w:spacing w:after="0"/>
        <w:tabs>
          <w:tab w:leader="none" w:pos="8200" w:val="left"/>
          <w:tab w:leader="none" w:pos="8980" w:val="left"/>
        </w:tabs>
        <w:rPr>
          <w:sz w:val="20"/>
          <w:szCs w:val="20"/>
          <w:color w:val="auto"/>
        </w:rPr>
      </w:pPr>
      <w:r>
        <w:rPr>
          <w:rFonts w:ascii="Arial" w:cs="Arial" w:eastAsia="Arial" w:hAnsi="Arial"/>
          <w:sz w:val="11"/>
          <w:szCs w:val="11"/>
          <w:b w:val="1"/>
          <w:bCs w:val="1"/>
          <w:color w:val="auto"/>
        </w:rPr>
        <w:t>2017</w:t>
      </w:r>
      <w:r>
        <w:rPr>
          <w:sz w:val="20"/>
          <w:szCs w:val="20"/>
          <w:color w:val="auto"/>
        </w:rPr>
        <w:tab/>
      </w:r>
      <w:r>
        <w:rPr>
          <w:rFonts w:ascii="Arial" w:cs="Arial" w:eastAsia="Arial" w:hAnsi="Arial"/>
          <w:sz w:val="11"/>
          <w:szCs w:val="11"/>
          <w:b w:val="1"/>
          <w:bCs w:val="1"/>
          <w:color w:val="auto"/>
        </w:rPr>
        <w:t>2018</w:t>
      </w:r>
      <w:r>
        <w:rPr>
          <w:sz w:val="20"/>
          <w:szCs w:val="20"/>
          <w:color w:val="auto"/>
        </w:rPr>
        <w:tab/>
      </w:r>
      <w:r>
        <w:rPr>
          <w:rFonts w:ascii="Arial" w:cs="Arial" w:eastAsia="Arial" w:hAnsi="Arial"/>
          <w:sz w:val="10"/>
          <w:szCs w:val="10"/>
          <w:b w:val="1"/>
          <w:bCs w:val="1"/>
          <w:color w:val="auto"/>
        </w:rPr>
        <w:t>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4639310</wp:posOffset>
            </wp:positionH>
            <wp:positionV relativeFrom="paragraph">
              <wp:posOffset>2540</wp:posOffset>
            </wp:positionV>
            <wp:extent cx="1315720" cy="571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1315720" cy="5715"/>
                    </a:xfrm>
                    <a:prstGeom prst="rect">
                      <a:avLst/>
                    </a:prstGeom>
                    <a:noFill/>
                  </pic:spPr>
                </pic:pic>
              </a:graphicData>
            </a:graphic>
          </wp:anchor>
        </w:drawing>
      </w:r>
    </w:p>
    <w:p>
      <w:pPr>
        <w:ind w:left="8040"/>
        <w:spacing w:after="0"/>
        <w:rPr>
          <w:sz w:val="20"/>
          <w:szCs w:val="20"/>
          <w:color w:val="auto"/>
        </w:rPr>
      </w:pPr>
      <w:r>
        <w:rPr>
          <w:rFonts w:ascii="Arial" w:cs="Arial" w:eastAsia="Arial" w:hAnsi="Arial"/>
          <w:sz w:val="11"/>
          <w:szCs w:val="11"/>
          <w:b w:val="1"/>
          <w:bCs w:val="1"/>
          <w:color w:val="auto"/>
        </w:rPr>
        <w:t>(in millions)</w:t>
      </w:r>
    </w:p>
    <w:tbl>
      <w:tblPr>
        <w:tblLayout w:type="fixed"/>
        <w:tblInd w:w="2060" w:type="dxa"/>
        <w:tblCellMar>
          <w:top w:w="0" w:type="dxa"/>
          <w:left w:w="0" w:type="dxa"/>
          <w:bottom w:w="0" w:type="dxa"/>
          <w:right w:w="0" w:type="dxa"/>
        </w:tblCellMar>
      </w:tblPr>
      <w:tr>
        <w:trPr>
          <w:trHeight w:val="130"/>
        </w:trPr>
        <w:tc>
          <w:tcPr>
            <w:tcW w:w="3060" w:type="dxa"/>
            <w:vAlign w:val="bottom"/>
            <w:shd w:val="clear" w:color="auto" w:fill="CCEEFF"/>
          </w:tcPr>
          <w:p>
            <w:pPr>
              <w:spacing w:after="0" w:line="130" w:lineRule="exact"/>
              <w:rPr>
                <w:sz w:val="20"/>
                <w:szCs w:val="20"/>
                <w:color w:val="auto"/>
              </w:rPr>
            </w:pPr>
            <w:r>
              <w:rPr>
                <w:rFonts w:ascii="Arial" w:cs="Arial" w:eastAsia="Arial" w:hAnsi="Arial"/>
                <w:sz w:val="9"/>
                <w:szCs w:val="9"/>
                <w:color w:val="auto"/>
              </w:rPr>
              <w:t xml:space="preserve">North America </w:t>
            </w:r>
            <w:r>
              <w:rPr>
                <w:rFonts w:ascii="Arial" w:cs="Arial" w:eastAsia="Arial" w:hAnsi="Arial"/>
                <w:sz w:val="15"/>
                <w:szCs w:val="15"/>
                <w:color w:val="auto"/>
                <w:vertAlign w:val="superscript"/>
              </w:rPr>
              <w:t>(1)</w:t>
            </w:r>
          </w:p>
        </w:tc>
        <w:tc>
          <w:tcPr>
            <w:tcW w:w="2320" w:type="dxa"/>
            <w:vAlign w:val="bottom"/>
            <w:gridSpan w:val="2"/>
            <w:shd w:val="clear" w:color="auto" w:fill="CCEEFF"/>
          </w:tcPr>
          <w:p>
            <w:pPr>
              <w:jc w:val="right"/>
              <w:ind w:right="31"/>
              <w:spacing w:after="0"/>
              <w:rPr>
                <w:sz w:val="20"/>
                <w:szCs w:val="20"/>
                <w:color w:val="auto"/>
              </w:rPr>
            </w:pPr>
            <w:r>
              <w:rPr>
                <w:rFonts w:ascii="Arial" w:cs="Arial" w:eastAsia="Arial" w:hAnsi="Arial"/>
                <w:sz w:val="11"/>
                <w:szCs w:val="11"/>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218.6</w:t>
            </w:r>
          </w:p>
        </w:tc>
        <w:tc>
          <w:tcPr>
            <w:tcW w:w="44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435.0</w:t>
            </w:r>
          </w:p>
        </w:tc>
        <w:tc>
          <w:tcPr>
            <w:tcW w:w="44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897.9</w:t>
            </w:r>
          </w:p>
        </w:tc>
        <w:tc>
          <w:tcPr>
            <w:tcW w:w="40" w:type="dxa"/>
            <w:vAlign w:val="bottom"/>
            <w:shd w:val="clear" w:color="auto" w:fill="CCEEFF"/>
          </w:tcPr>
          <w:p>
            <w:pPr>
              <w:spacing w:after="0"/>
              <w:rPr>
                <w:sz w:val="11"/>
                <w:szCs w:val="11"/>
                <w:color w:val="auto"/>
              </w:rPr>
            </w:pPr>
          </w:p>
        </w:tc>
      </w:tr>
      <w:tr>
        <w:trPr>
          <w:trHeight w:val="126"/>
        </w:trPr>
        <w:tc>
          <w:tcPr>
            <w:tcW w:w="3060" w:type="dxa"/>
            <w:vAlign w:val="bottom"/>
          </w:tcPr>
          <w:p>
            <w:pPr>
              <w:spacing w:after="0"/>
              <w:rPr>
                <w:sz w:val="20"/>
                <w:szCs w:val="20"/>
                <w:color w:val="auto"/>
              </w:rPr>
            </w:pPr>
            <w:r>
              <w:rPr>
                <w:rFonts w:ascii="Arial" w:cs="Arial" w:eastAsia="Arial" w:hAnsi="Arial"/>
                <w:sz w:val="11"/>
                <w:szCs w:val="11"/>
                <w:color w:val="auto"/>
              </w:rPr>
              <w:t>United Kingdom</w:t>
            </w:r>
          </w:p>
        </w:tc>
        <w:tc>
          <w:tcPr>
            <w:tcW w:w="218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30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32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17.1</w:t>
            </w:r>
          </w:p>
        </w:tc>
        <w:tc>
          <w:tcPr>
            <w:tcW w:w="40" w:type="dxa"/>
            <w:vAlign w:val="bottom"/>
          </w:tcPr>
          <w:p>
            <w:pPr>
              <w:spacing w:after="0"/>
              <w:rPr>
                <w:sz w:val="10"/>
                <w:szCs w:val="10"/>
                <w:color w:val="auto"/>
              </w:rPr>
            </w:pPr>
          </w:p>
        </w:tc>
      </w:tr>
      <w:tr>
        <w:trPr>
          <w:trHeight w:val="124"/>
        </w:trPr>
        <w:tc>
          <w:tcPr>
            <w:tcW w:w="3060" w:type="dxa"/>
            <w:vAlign w:val="bottom"/>
            <w:shd w:val="clear" w:color="auto" w:fill="CCEEFF"/>
          </w:tcPr>
          <w:p>
            <w:pPr>
              <w:ind w:left="220"/>
              <w:spacing w:after="0" w:line="124" w:lineRule="exact"/>
              <w:rPr>
                <w:sz w:val="20"/>
                <w:szCs w:val="20"/>
                <w:color w:val="auto"/>
              </w:rPr>
            </w:pPr>
            <w:r>
              <w:rPr>
                <w:rFonts w:ascii="Arial" w:cs="Arial" w:eastAsia="Arial" w:hAnsi="Arial"/>
                <w:sz w:val="11"/>
                <w:szCs w:val="11"/>
                <w:color w:val="auto"/>
              </w:rPr>
              <w:t>Total revenue</w:t>
            </w:r>
          </w:p>
        </w:tc>
        <w:tc>
          <w:tcPr>
            <w:tcW w:w="2180" w:type="dxa"/>
            <w:vAlign w:val="bottom"/>
            <w:shd w:val="clear" w:color="auto" w:fill="CCEEFF"/>
          </w:tcPr>
          <w:p>
            <w:pPr>
              <w:spacing w:after="0"/>
              <w:rPr>
                <w:sz w:val="10"/>
                <w:szCs w:val="10"/>
                <w:color w:val="auto"/>
              </w:rPr>
            </w:pP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360" w:type="dxa"/>
            <w:vAlign w:val="bottom"/>
            <w:shd w:val="clear" w:color="auto" w:fill="CCEEFF"/>
          </w:tcPr>
          <w:p>
            <w:pPr>
              <w:jc w:val="right"/>
              <w:spacing w:after="0" w:line="124" w:lineRule="exact"/>
              <w:rPr>
                <w:sz w:val="20"/>
                <w:szCs w:val="20"/>
                <w:color w:val="auto"/>
              </w:rPr>
            </w:pPr>
            <w:r>
              <w:rPr>
                <w:rFonts w:ascii="Arial" w:cs="Arial" w:eastAsia="Arial" w:hAnsi="Arial"/>
                <w:sz w:val="11"/>
                <w:szCs w:val="11"/>
                <w:color w:val="auto"/>
              </w:rPr>
              <w:t>218.6</w:t>
            </w:r>
          </w:p>
        </w:tc>
        <w:tc>
          <w:tcPr>
            <w:tcW w:w="440" w:type="dxa"/>
            <w:vAlign w:val="bottom"/>
            <w:gridSpan w:val="2"/>
            <w:shd w:val="clear" w:color="auto" w:fill="CCEEFF"/>
          </w:tcPr>
          <w:p>
            <w:pPr>
              <w:jc w:val="right"/>
              <w:ind w:right="80"/>
              <w:spacing w:after="0" w:line="124" w:lineRule="exact"/>
              <w:rPr>
                <w:sz w:val="20"/>
                <w:szCs w:val="20"/>
                <w:color w:val="auto"/>
              </w:rPr>
            </w:pPr>
            <w:r>
              <w:rPr>
                <w:rFonts w:ascii="Arial" w:cs="Arial" w:eastAsia="Arial" w:hAnsi="Arial"/>
                <w:sz w:val="11"/>
                <w:szCs w:val="11"/>
                <w:color w:val="auto"/>
              </w:rPr>
              <w:t>$</w:t>
            </w:r>
          </w:p>
        </w:tc>
        <w:tc>
          <w:tcPr>
            <w:tcW w:w="340" w:type="dxa"/>
            <w:vAlign w:val="bottom"/>
            <w:shd w:val="clear" w:color="auto" w:fill="CCEEFF"/>
          </w:tcPr>
          <w:p>
            <w:pPr>
              <w:jc w:val="right"/>
              <w:spacing w:after="0" w:line="124" w:lineRule="exact"/>
              <w:rPr>
                <w:sz w:val="20"/>
                <w:szCs w:val="20"/>
                <w:color w:val="auto"/>
              </w:rPr>
            </w:pPr>
            <w:r>
              <w:rPr>
                <w:rFonts w:ascii="Arial" w:cs="Arial" w:eastAsia="Arial" w:hAnsi="Arial"/>
                <w:sz w:val="11"/>
                <w:szCs w:val="11"/>
                <w:color w:val="auto"/>
              </w:rPr>
              <w:t>435.0</w:t>
            </w:r>
          </w:p>
        </w:tc>
        <w:tc>
          <w:tcPr>
            <w:tcW w:w="440" w:type="dxa"/>
            <w:vAlign w:val="bottom"/>
            <w:gridSpan w:val="2"/>
            <w:shd w:val="clear" w:color="auto" w:fill="CCEEFF"/>
          </w:tcPr>
          <w:p>
            <w:pPr>
              <w:jc w:val="right"/>
              <w:ind w:right="80"/>
              <w:spacing w:after="0" w:line="124" w:lineRule="exact"/>
              <w:rPr>
                <w:sz w:val="20"/>
                <w:szCs w:val="20"/>
                <w:color w:val="auto"/>
              </w:rPr>
            </w:pPr>
            <w:r>
              <w:rPr>
                <w:rFonts w:ascii="Arial" w:cs="Arial" w:eastAsia="Arial" w:hAnsi="Arial"/>
                <w:sz w:val="11"/>
                <w:szCs w:val="11"/>
                <w:color w:val="auto"/>
              </w:rPr>
              <w:t>$</w:t>
            </w:r>
          </w:p>
        </w:tc>
        <w:tc>
          <w:tcPr>
            <w:tcW w:w="360" w:type="dxa"/>
            <w:vAlign w:val="bottom"/>
            <w:shd w:val="clear" w:color="auto" w:fill="CCEEFF"/>
          </w:tcPr>
          <w:p>
            <w:pPr>
              <w:jc w:val="right"/>
              <w:spacing w:after="0" w:line="124" w:lineRule="exact"/>
              <w:rPr>
                <w:sz w:val="20"/>
                <w:szCs w:val="20"/>
                <w:color w:val="auto"/>
              </w:rPr>
            </w:pPr>
            <w:r>
              <w:rPr>
                <w:rFonts w:ascii="Arial" w:cs="Arial" w:eastAsia="Arial" w:hAnsi="Arial"/>
                <w:sz w:val="11"/>
                <w:szCs w:val="11"/>
                <w:color w:val="auto"/>
              </w:rPr>
              <w:t>915.0</w:t>
            </w:r>
          </w:p>
        </w:tc>
        <w:tc>
          <w:tcPr>
            <w:tcW w:w="40" w:type="dxa"/>
            <w:vAlign w:val="bottom"/>
            <w:shd w:val="clear" w:color="auto" w:fill="CCEEFF"/>
          </w:tcPr>
          <w:p>
            <w:pPr>
              <w:spacing w:after="0"/>
              <w:rPr>
                <w:sz w:val="10"/>
                <w:szCs w:val="10"/>
                <w:color w:val="auto"/>
              </w:rPr>
            </w:pPr>
          </w:p>
        </w:tc>
      </w:tr>
      <w:tr>
        <w:trPr>
          <w:trHeight w:val="27"/>
        </w:trPr>
        <w:tc>
          <w:tcPr>
            <w:tcW w:w="3060" w:type="dxa"/>
            <w:vAlign w:val="bottom"/>
          </w:tcPr>
          <w:p>
            <w:pPr>
              <w:spacing w:after="0"/>
              <w:rPr>
                <w:sz w:val="2"/>
                <w:szCs w:val="2"/>
                <w:color w:val="auto"/>
              </w:rPr>
            </w:pPr>
          </w:p>
        </w:tc>
        <w:tc>
          <w:tcPr>
            <w:tcW w:w="21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1310640</wp:posOffset>
            </wp:positionH>
            <wp:positionV relativeFrom="paragraph">
              <wp:posOffset>62865</wp:posOffset>
            </wp:positionV>
            <wp:extent cx="509270" cy="571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509270" cy="5715"/>
                    </a:xfrm>
                    <a:prstGeom prst="rect">
                      <a:avLst/>
                    </a:prstGeom>
                    <a:noFill/>
                  </pic:spPr>
                </pic:pic>
              </a:graphicData>
            </a:graphic>
          </wp:anchor>
        </w:drawing>
      </w:r>
    </w:p>
    <w:p>
      <w:pPr>
        <w:spacing w:after="0" w:line="118" w:lineRule="exact"/>
        <w:rPr>
          <w:sz w:val="20"/>
          <w:szCs w:val="20"/>
          <w:color w:val="auto"/>
        </w:rPr>
      </w:pPr>
    </w:p>
    <w:p>
      <w:pPr>
        <w:ind w:left="2340" w:hanging="281"/>
        <w:spacing w:after="0"/>
        <w:tabs>
          <w:tab w:leader="none" w:pos="2340" w:val="left"/>
        </w:tabs>
        <w:numPr>
          <w:ilvl w:val="0"/>
          <w:numId w:val="112"/>
        </w:numPr>
        <w:rPr>
          <w:rFonts w:ascii="Arial" w:cs="Arial" w:eastAsia="Arial" w:hAnsi="Arial"/>
          <w:sz w:val="10"/>
          <w:szCs w:val="10"/>
          <w:color w:val="auto"/>
        </w:rPr>
      </w:pPr>
      <w:r>
        <w:rPr>
          <w:rFonts w:ascii="Arial" w:cs="Arial" w:eastAsia="Arial" w:hAnsi="Arial"/>
          <w:sz w:val="10"/>
          <w:szCs w:val="10"/>
          <w:color w:val="auto"/>
        </w:rPr>
        <w:t>Consists of United States and Canada</w:t>
      </w:r>
    </w:p>
    <w:p>
      <w:pPr>
        <w:spacing w:after="0" w:line="195" w:lineRule="exact"/>
        <w:rPr>
          <w:sz w:val="20"/>
          <w:szCs w:val="20"/>
          <w:color w:val="auto"/>
        </w:rPr>
      </w:pPr>
    </w:p>
    <w:p>
      <w:pPr>
        <w:ind w:left="2060"/>
        <w:spacing w:after="0"/>
        <w:rPr>
          <w:sz w:val="20"/>
          <w:szCs w:val="20"/>
          <w:color w:val="auto"/>
        </w:rPr>
      </w:pPr>
      <w:r>
        <w:rPr>
          <w:rFonts w:ascii="Arial" w:cs="Arial" w:eastAsia="Arial" w:hAnsi="Arial"/>
          <w:sz w:val="11"/>
          <w:szCs w:val="11"/>
          <w:b w:val="1"/>
          <w:bCs w:val="1"/>
          <w:i w:val="1"/>
          <w:iCs w:val="1"/>
          <w:color w:val="auto"/>
        </w:rPr>
        <w:t>Customer Deposits and Deferred Revenue</w:t>
      </w:r>
    </w:p>
    <w:p>
      <w:pPr>
        <w:spacing w:after="0" w:line="84" w:lineRule="exact"/>
        <w:rPr>
          <w:sz w:val="20"/>
          <w:szCs w:val="20"/>
          <w:color w:val="auto"/>
        </w:rPr>
      </w:pPr>
    </w:p>
    <w:p>
      <w:pPr>
        <w:jc w:val="both"/>
        <w:ind w:left="2060" w:right="839"/>
        <w:spacing w:after="0" w:line="242" w:lineRule="auto"/>
        <w:rPr>
          <w:sz w:val="20"/>
          <w:szCs w:val="20"/>
          <w:color w:val="auto"/>
        </w:rPr>
      </w:pPr>
      <w:r>
        <w:rPr>
          <w:rFonts w:ascii="Arial" w:cs="Arial" w:eastAsia="Arial" w:hAnsi="Arial"/>
          <w:sz w:val="11"/>
          <w:szCs w:val="11"/>
          <w:color w:val="auto"/>
        </w:rPr>
        <w:t>Deferred revenue is recorded for nonrefundable cash payments received for the Company’s performance obligation to transfer, or stand ready to transfer, goods or services in the future. Deferred revenue consists of subscription fees billed that have not been recognized. Customer deposits represent payments received in advance before the Company transfers a good or service to the customer and are refundable.</w:t>
      </w:r>
    </w:p>
    <w:p>
      <w:pPr>
        <w:spacing w:after="0" w:line="140" w:lineRule="exact"/>
        <w:rPr>
          <w:sz w:val="20"/>
          <w:szCs w:val="20"/>
          <w:color w:val="auto"/>
        </w:rPr>
      </w:pPr>
    </w:p>
    <w:p>
      <w:pPr>
        <w:jc w:val="both"/>
        <w:ind w:left="2060" w:right="839"/>
        <w:spacing w:after="0" w:line="245" w:lineRule="auto"/>
        <w:rPr>
          <w:sz w:val="20"/>
          <w:szCs w:val="20"/>
          <w:color w:val="auto"/>
        </w:rPr>
      </w:pPr>
      <w:r>
        <w:rPr>
          <w:rFonts w:ascii="Arial" w:cs="Arial" w:eastAsia="Arial" w:hAnsi="Arial"/>
          <w:sz w:val="11"/>
          <w:szCs w:val="11"/>
          <w:color w:val="auto"/>
        </w:rPr>
        <w:t>As of June 30, 2018 and June 30, 2019, customer deposits of $85.6 million and $81.3 million, and deferred revenue of $2.9 million and $9.5 million, respectively, were included in customer deposits and deferred revenue on the Company’s consolidated balance sheet.</w:t>
      </w:r>
    </w:p>
    <w:p>
      <w:pPr>
        <w:spacing w:after="0" w:line="138" w:lineRule="exact"/>
        <w:rPr>
          <w:sz w:val="20"/>
          <w:szCs w:val="20"/>
          <w:color w:val="auto"/>
        </w:rPr>
      </w:pPr>
    </w:p>
    <w:p>
      <w:pPr>
        <w:jc w:val="both"/>
        <w:ind w:left="2060" w:right="839"/>
        <w:spacing w:after="0" w:line="245" w:lineRule="auto"/>
        <w:rPr>
          <w:sz w:val="20"/>
          <w:szCs w:val="20"/>
          <w:color w:val="auto"/>
        </w:rPr>
      </w:pPr>
      <w:r>
        <w:rPr>
          <w:rFonts w:ascii="Arial" w:cs="Arial" w:eastAsia="Arial" w:hAnsi="Arial"/>
          <w:sz w:val="11"/>
          <w:szCs w:val="11"/>
          <w:color w:val="auto"/>
        </w:rPr>
        <w:t>In the fiscal years ended June 30, 2018 and 2019, the Company recognized $1.3 million and $2.9 million, respectively, of revenue that was included in the deferred revenue balance at the beginning of each period.</w:t>
      </w:r>
    </w:p>
    <w:p>
      <w:pPr>
        <w:spacing w:after="0" w:line="93" w:lineRule="exact"/>
        <w:rPr>
          <w:sz w:val="20"/>
          <w:szCs w:val="20"/>
          <w:color w:val="auto"/>
        </w:rPr>
      </w:pPr>
    </w:p>
    <w:p>
      <w:pPr>
        <w:ind w:left="5620"/>
        <w:spacing w:after="0"/>
        <w:rPr>
          <w:sz w:val="20"/>
          <w:szCs w:val="20"/>
          <w:color w:val="auto"/>
        </w:rPr>
      </w:pPr>
      <w:r>
        <w:rPr>
          <w:rFonts w:ascii="Arial" w:cs="Arial" w:eastAsia="Arial" w:hAnsi="Arial"/>
          <w:sz w:val="11"/>
          <w:szCs w:val="11"/>
          <w:color w:val="auto"/>
        </w:rPr>
        <w:t>F-17</w:t>
      </w:r>
    </w:p>
    <w:p>
      <w:pPr>
        <w:sectPr>
          <w:pgSz w:w="11900" w:h="16838" w:orient="portrait"/>
          <w:cols w:equalWidth="0" w:num="1">
            <w:col w:w="10239"/>
          </w:cols>
          <w:pgMar w:left="220" w:top="354" w:right="1440" w:bottom="1440" w:gutter="0" w:footer="0" w:header="0"/>
        </w:sectPr>
      </w:pPr>
    </w:p>
    <w:bookmarkStart w:id="181" w:name="page182"/>
    <w:bookmarkEnd w:id="181"/>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hyperlink w:anchor="page5">
        <w:r>
          <w:rPr>
            <w:rFonts w:ascii="Arial" w:cs="Arial" w:eastAsia="Arial" w:hAnsi="Arial"/>
            <w:sz w:val="12"/>
            <w:szCs w:val="12"/>
            <w:b w:val="1"/>
            <w:bCs w:val="1"/>
            <w:u w:val="single" w:color="auto"/>
            <w:color w:val="0000EE"/>
          </w:rPr>
          <w:t>Table of Contents</w:t>
        </w:r>
      </w:hyperlink>
    </w:p>
    <w:p>
      <w:pPr>
        <w:spacing w:after="0" w:line="200" w:lineRule="exact"/>
        <w:rPr>
          <w:sz w:val="20"/>
          <w:szCs w:val="20"/>
          <w:color w:val="auto"/>
        </w:rPr>
      </w:pPr>
    </w:p>
    <w:p>
      <w:pPr>
        <w:jc w:val="center"/>
        <w:ind w:right="-1220"/>
        <w:spacing w:after="0"/>
        <w:rPr>
          <w:sz w:val="20"/>
          <w:szCs w:val="20"/>
          <w:color w:val="auto"/>
        </w:rPr>
      </w:pPr>
      <w:r>
        <w:rPr>
          <w:rFonts w:ascii="Arial" w:cs="Arial" w:eastAsia="Arial" w:hAnsi="Arial"/>
          <w:sz w:val="12"/>
          <w:szCs w:val="12"/>
          <w:b w:val="1"/>
          <w:bCs w:val="1"/>
          <w:color w:val="auto"/>
        </w:rPr>
        <w:t>PELOTON INTERACTIVE, INC.</w:t>
      </w:r>
    </w:p>
    <w:p>
      <w:pPr>
        <w:spacing w:after="0" w:line="11" w:lineRule="exact"/>
        <w:rPr>
          <w:sz w:val="20"/>
          <w:szCs w:val="20"/>
          <w:color w:val="auto"/>
        </w:rPr>
      </w:pPr>
    </w:p>
    <w:p>
      <w:pPr>
        <w:jc w:val="center"/>
        <w:ind w:right="-1220"/>
        <w:spacing w:after="0"/>
        <w:rPr>
          <w:sz w:val="20"/>
          <w:szCs w:val="20"/>
          <w:color w:val="auto"/>
        </w:rPr>
      </w:pPr>
      <w:r>
        <w:rPr>
          <w:rFonts w:ascii="Arial" w:cs="Arial" w:eastAsia="Arial" w:hAnsi="Arial"/>
          <w:sz w:val="12"/>
          <w:szCs w:val="12"/>
          <w:b w:val="1"/>
          <w:bCs w:val="1"/>
          <w:color w:val="auto"/>
        </w:rPr>
        <w:t>NOTES TO CONSOLIDATED FINANCIAL STATEMENTS</w:t>
      </w:r>
    </w:p>
    <w:p>
      <w:pPr>
        <w:spacing w:after="0" w:line="68" w:lineRule="exact"/>
        <w:rPr>
          <w:sz w:val="20"/>
          <w:szCs w:val="20"/>
          <w:color w:val="auto"/>
        </w:rPr>
      </w:pPr>
    </w:p>
    <w:p>
      <w:pPr>
        <w:ind w:left="2060"/>
        <w:spacing w:after="0"/>
        <w:rPr>
          <w:sz w:val="20"/>
          <w:szCs w:val="20"/>
          <w:color w:val="auto"/>
        </w:rPr>
      </w:pPr>
      <w:r>
        <w:rPr>
          <w:rFonts w:ascii="Arial" w:cs="Arial" w:eastAsia="Arial" w:hAnsi="Arial"/>
          <w:sz w:val="11"/>
          <w:szCs w:val="11"/>
          <w:b w:val="1"/>
          <w:bCs w:val="1"/>
          <w:i w:val="1"/>
          <w:iCs w:val="1"/>
          <w:color w:val="auto"/>
        </w:rPr>
        <w:t>Exemptions and Elections</w:t>
      </w:r>
    </w:p>
    <w:p>
      <w:pPr>
        <w:spacing w:after="0" w:line="84" w:lineRule="exact"/>
        <w:rPr>
          <w:sz w:val="20"/>
          <w:szCs w:val="20"/>
          <w:color w:val="auto"/>
        </w:rPr>
      </w:pPr>
    </w:p>
    <w:p>
      <w:pPr>
        <w:ind w:left="2060" w:right="839"/>
        <w:spacing w:after="0" w:line="245" w:lineRule="auto"/>
        <w:rPr>
          <w:sz w:val="20"/>
          <w:szCs w:val="20"/>
          <w:color w:val="auto"/>
        </w:rPr>
      </w:pPr>
      <w:r>
        <w:rPr>
          <w:rFonts w:ascii="Arial" w:cs="Arial" w:eastAsia="Arial" w:hAnsi="Arial"/>
          <w:sz w:val="11"/>
          <w:szCs w:val="11"/>
          <w:color w:val="auto"/>
        </w:rPr>
        <w:t>The Company applies the practical expedient as per ASC 606-10-50-14 and does not disclose information related to remaining performance obligations due to their original expected durations being one year or less.</w:t>
      </w:r>
    </w:p>
    <w:p>
      <w:pPr>
        <w:spacing w:after="0" w:line="138" w:lineRule="exact"/>
        <w:rPr>
          <w:sz w:val="20"/>
          <w:szCs w:val="20"/>
          <w:color w:val="auto"/>
        </w:rPr>
      </w:pPr>
    </w:p>
    <w:p>
      <w:pPr>
        <w:ind w:left="2060" w:right="839"/>
        <w:spacing w:after="0" w:line="245" w:lineRule="auto"/>
        <w:rPr>
          <w:sz w:val="20"/>
          <w:szCs w:val="20"/>
          <w:color w:val="auto"/>
        </w:rPr>
      </w:pPr>
      <w:r>
        <w:rPr>
          <w:rFonts w:ascii="Arial" w:cs="Arial" w:eastAsia="Arial" w:hAnsi="Arial"/>
          <w:sz w:val="11"/>
          <w:szCs w:val="11"/>
          <w:color w:val="auto"/>
        </w:rPr>
        <w:t>The Company expenses sales commissions on its Connected Fitness Products when incurred because the amortization period would have been less than one year. These costs are recorded in selling and marketing expense.</w:t>
      </w:r>
    </w:p>
    <w:p>
      <w:pPr>
        <w:sectPr>
          <w:pgSz w:w="11900" w:h="16838" w:orient="portrait"/>
          <w:cols w:equalWidth="0" w:num="1">
            <w:col w:w="10239"/>
          </w:cols>
          <w:pgMar w:left="220" w:top="355" w:right="1440" w:bottom="1440" w:gutter="0" w:footer="0" w:header="0"/>
        </w:sectPr>
      </w:pPr>
    </w:p>
    <w:p>
      <w:pPr>
        <w:spacing w:after="0" w:line="198" w:lineRule="exact"/>
        <w:rPr>
          <w:sz w:val="20"/>
          <w:szCs w:val="20"/>
          <w:color w:val="auto"/>
        </w:rPr>
      </w:pPr>
    </w:p>
    <w:p>
      <w:pPr>
        <w:ind w:left="2060"/>
        <w:spacing w:after="0"/>
        <w:rPr>
          <w:sz w:val="20"/>
          <w:szCs w:val="20"/>
          <w:color w:val="auto"/>
        </w:rPr>
      </w:pPr>
      <w:r>
        <w:rPr>
          <w:rFonts w:ascii="Arial" w:cs="Arial" w:eastAsia="Arial" w:hAnsi="Arial"/>
          <w:sz w:val="11"/>
          <w:szCs w:val="11"/>
          <w:b w:val="1"/>
          <w:bCs w:val="1"/>
          <w:color w:val="auto"/>
        </w:rPr>
        <w:t>4. Investments in Marketable Securities</w:t>
      </w:r>
    </w:p>
    <w:p>
      <w:pPr>
        <w:spacing w:after="0" w:line="84" w:lineRule="exact"/>
        <w:rPr>
          <w:sz w:val="20"/>
          <w:szCs w:val="20"/>
          <w:color w:val="auto"/>
        </w:rPr>
      </w:pPr>
    </w:p>
    <w:p>
      <w:pPr>
        <w:ind w:left="2060"/>
        <w:spacing w:after="0"/>
        <w:rPr>
          <w:sz w:val="20"/>
          <w:szCs w:val="20"/>
          <w:color w:val="auto"/>
        </w:rPr>
      </w:pPr>
      <w:r>
        <w:rPr>
          <w:rFonts w:ascii="Arial" w:cs="Arial" w:eastAsia="Arial" w:hAnsi="Arial"/>
          <w:sz w:val="10"/>
          <w:szCs w:val="10"/>
          <w:color w:val="auto"/>
        </w:rPr>
        <w:t>The following table summarizes the Company’s investments in marketable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1310640</wp:posOffset>
            </wp:positionH>
            <wp:positionV relativeFrom="paragraph">
              <wp:posOffset>520700</wp:posOffset>
            </wp:positionV>
            <wp:extent cx="4667250" cy="8572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4667250" cy="857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2060"/>
        <w:spacing w:after="0"/>
        <w:rPr>
          <w:sz w:val="20"/>
          <w:szCs w:val="20"/>
          <w:color w:val="auto"/>
        </w:rPr>
      </w:pPr>
      <w:r>
        <w:rPr>
          <w:rFonts w:ascii="Arial" w:cs="Arial" w:eastAsia="Arial" w:hAnsi="Arial"/>
          <w:sz w:val="11"/>
          <w:szCs w:val="11"/>
          <w:color w:val="auto"/>
        </w:rPr>
        <w:t>Commercial paper</w:t>
      </w:r>
    </w:p>
    <w:p>
      <w:pPr>
        <w:spacing w:after="0" w:line="9" w:lineRule="exact"/>
        <w:rPr>
          <w:sz w:val="20"/>
          <w:szCs w:val="20"/>
          <w:color w:val="auto"/>
        </w:rPr>
      </w:pPr>
    </w:p>
    <w:p>
      <w:pPr>
        <w:ind w:left="2060"/>
        <w:spacing w:after="0"/>
        <w:rPr>
          <w:sz w:val="20"/>
          <w:szCs w:val="20"/>
          <w:color w:val="auto"/>
        </w:rPr>
      </w:pPr>
      <w:r>
        <w:rPr>
          <w:rFonts w:ascii="Arial" w:cs="Arial" w:eastAsia="Arial" w:hAnsi="Arial"/>
          <w:sz w:val="11"/>
          <w:szCs w:val="11"/>
          <w:color w:val="auto"/>
        </w:rPr>
        <w:t>Corporate Bonds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1310640</wp:posOffset>
            </wp:positionH>
            <wp:positionV relativeFrom="paragraph">
              <wp:posOffset>4445</wp:posOffset>
            </wp:positionV>
            <wp:extent cx="4667250" cy="8572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4667250" cy="85725"/>
                    </a:xfrm>
                    <a:prstGeom prst="rect">
                      <a:avLst/>
                    </a:prstGeom>
                    <a:noFill/>
                  </pic:spPr>
                </pic:pic>
              </a:graphicData>
            </a:graphic>
          </wp:anchor>
        </w:drawing>
      </w:r>
    </w:p>
    <w:p>
      <w:pPr>
        <w:ind w:left="2060"/>
        <w:spacing w:after="0"/>
        <w:rPr>
          <w:sz w:val="20"/>
          <w:szCs w:val="20"/>
          <w:color w:val="auto"/>
        </w:rPr>
      </w:pPr>
      <w:r>
        <w:rPr>
          <w:rFonts w:ascii="Arial" w:cs="Arial" w:eastAsia="Arial" w:hAnsi="Arial"/>
          <w:sz w:val="11"/>
          <w:szCs w:val="11"/>
          <w:color w:val="auto"/>
        </w:rPr>
        <w:t>Certificates of deposit</w:t>
      </w:r>
    </w:p>
    <w:p>
      <w:pPr>
        <w:spacing w:after="0" w:line="9" w:lineRule="exact"/>
        <w:rPr>
          <w:sz w:val="20"/>
          <w:szCs w:val="20"/>
          <w:color w:val="auto"/>
        </w:rPr>
      </w:pPr>
    </w:p>
    <w:p>
      <w:pPr>
        <w:ind w:left="2060"/>
        <w:spacing w:after="0"/>
        <w:rPr>
          <w:sz w:val="20"/>
          <w:szCs w:val="20"/>
          <w:color w:val="auto"/>
        </w:rPr>
      </w:pPr>
      <w:r>
        <w:rPr>
          <w:rFonts w:ascii="Arial" w:cs="Arial" w:eastAsia="Arial" w:hAnsi="Arial"/>
          <w:sz w:val="11"/>
          <w:szCs w:val="11"/>
          <w:color w:val="auto"/>
        </w:rPr>
        <w:t>U.S treasury securities</w:t>
      </w:r>
    </w:p>
    <w:p>
      <w:pPr>
        <w:spacing w:after="0" w:line="23" w:lineRule="exact"/>
        <w:rPr>
          <w:sz w:val="20"/>
          <w:szCs w:val="20"/>
          <w:color w:val="auto"/>
        </w:rPr>
      </w:pPr>
    </w:p>
    <w:p>
      <w:pPr>
        <w:jc w:val="center"/>
        <w:ind w:right="140"/>
        <w:spacing w:after="0"/>
        <w:rPr>
          <w:sz w:val="20"/>
          <w:szCs w:val="20"/>
          <w:color w:val="auto"/>
        </w:rPr>
      </w:pPr>
      <w:r>
        <w:rPr>
          <w:rFonts w:ascii="Arial" w:cs="Arial" w:eastAsia="Arial" w:hAnsi="Arial"/>
          <w:sz w:val="11"/>
          <w:szCs w:val="11"/>
          <w:color w:val="auto"/>
        </w:rPr>
        <w:t xml:space="preserve">Total marketable securities </w:t>
      </w:r>
      <w:r>
        <w:rPr>
          <w:rFonts w:ascii="Arial" w:cs="Arial" w:eastAsia="Arial" w:hAnsi="Arial"/>
          <w:sz w:val="18"/>
          <w:szCs w:val="18"/>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1310640</wp:posOffset>
            </wp:positionH>
            <wp:positionV relativeFrom="paragraph">
              <wp:posOffset>-129540</wp:posOffset>
            </wp:positionV>
            <wp:extent cx="4667250" cy="8001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4667250" cy="80010"/>
                    </a:xfrm>
                    <a:prstGeom prst="rect">
                      <a:avLst/>
                    </a:prstGeom>
                    <a:noFill/>
                  </pic:spPr>
                </pic:pic>
              </a:graphicData>
            </a:graphic>
          </wp:anchor>
        </w:drawing>
        <w:drawing>
          <wp:anchor simplePos="0" relativeHeight="251657728" behindDoc="1" locked="0" layoutInCell="0" allowOverlap="1">
            <wp:simplePos x="0" y="0"/>
            <wp:positionH relativeFrom="column">
              <wp:posOffset>1310640</wp:posOffset>
            </wp:positionH>
            <wp:positionV relativeFrom="paragraph">
              <wp:posOffset>29845</wp:posOffset>
            </wp:positionV>
            <wp:extent cx="509270" cy="571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509270" cy="571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1220"/>
        <w:spacing w:after="0"/>
        <w:rPr>
          <w:sz w:val="20"/>
          <w:szCs w:val="20"/>
          <w:color w:val="auto"/>
        </w:rPr>
      </w:pPr>
      <w:r>
        <w:rPr>
          <w:rFonts w:ascii="Arial" w:cs="Arial" w:eastAsia="Arial" w:hAnsi="Arial"/>
          <w:sz w:val="11"/>
          <w:szCs w:val="11"/>
          <w:b w:val="1"/>
          <w:bCs w:val="1"/>
          <w:color w:val="auto"/>
        </w:rPr>
        <w:t>June 30, 2019</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04"/>
        </w:trPr>
        <w:tc>
          <w:tcPr>
            <w:tcW w:w="100" w:type="dxa"/>
            <w:vAlign w:val="bottom"/>
            <w:tcBorders>
              <w:top w:val="single" w:sz="8" w:color="auto"/>
            </w:tcBorders>
          </w:tcPr>
          <w:p>
            <w:pPr>
              <w:spacing w:after="0"/>
              <w:rPr>
                <w:sz w:val="9"/>
                <w:szCs w:val="9"/>
                <w:color w:val="auto"/>
              </w:rPr>
            </w:pPr>
          </w:p>
        </w:tc>
        <w:tc>
          <w:tcPr>
            <w:tcW w:w="420" w:type="dxa"/>
            <w:vAlign w:val="bottom"/>
            <w:tcBorders>
              <w:top w:val="single" w:sz="8" w:color="auto"/>
            </w:tcBorders>
          </w:tcPr>
          <w:p>
            <w:pPr>
              <w:spacing w:after="0"/>
              <w:rPr>
                <w:sz w:val="9"/>
                <w:szCs w:val="9"/>
                <w:color w:val="auto"/>
              </w:rPr>
            </w:pPr>
          </w:p>
        </w:tc>
        <w:tc>
          <w:tcPr>
            <w:tcW w:w="40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460" w:type="dxa"/>
            <w:vAlign w:val="bottom"/>
            <w:tcBorders>
              <w:top w:val="single" w:sz="8" w:color="auto"/>
            </w:tcBorders>
          </w:tcPr>
          <w:p>
            <w:pPr>
              <w:jc w:val="right"/>
              <w:ind w:right="63"/>
              <w:spacing w:after="0" w:line="105" w:lineRule="exact"/>
              <w:rPr>
                <w:sz w:val="20"/>
                <w:szCs w:val="20"/>
                <w:color w:val="auto"/>
              </w:rPr>
            </w:pPr>
            <w:r>
              <w:rPr>
                <w:rFonts w:ascii="Arial" w:cs="Arial" w:eastAsia="Arial" w:hAnsi="Arial"/>
                <w:sz w:val="11"/>
                <w:szCs w:val="11"/>
                <w:b w:val="1"/>
                <w:bCs w:val="1"/>
                <w:color w:val="auto"/>
              </w:rPr>
              <w:t>Gross</w:t>
            </w:r>
          </w:p>
        </w:tc>
        <w:tc>
          <w:tcPr>
            <w:tcW w:w="38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480" w:type="dxa"/>
            <w:vAlign w:val="bottom"/>
            <w:tcBorders>
              <w:top w:val="single" w:sz="8" w:color="auto"/>
            </w:tcBorders>
          </w:tcPr>
          <w:p>
            <w:pPr>
              <w:jc w:val="right"/>
              <w:ind w:right="66"/>
              <w:spacing w:after="0" w:line="105" w:lineRule="exact"/>
              <w:rPr>
                <w:sz w:val="20"/>
                <w:szCs w:val="20"/>
                <w:color w:val="auto"/>
              </w:rPr>
            </w:pPr>
            <w:r>
              <w:rPr>
                <w:rFonts w:ascii="Arial" w:cs="Arial" w:eastAsia="Arial" w:hAnsi="Arial"/>
                <w:sz w:val="11"/>
                <w:szCs w:val="11"/>
                <w:b w:val="1"/>
                <w:bCs w:val="1"/>
                <w:color w:val="auto"/>
              </w:rPr>
              <w:t>Gross</w:t>
            </w:r>
          </w:p>
        </w:tc>
        <w:tc>
          <w:tcPr>
            <w:tcW w:w="460" w:type="dxa"/>
            <w:vAlign w:val="bottom"/>
            <w:tcBorders>
              <w:top w:val="single" w:sz="8" w:color="auto"/>
            </w:tcBorders>
          </w:tcPr>
          <w:p>
            <w:pPr>
              <w:spacing w:after="0"/>
              <w:rPr>
                <w:sz w:val="9"/>
                <w:szCs w:val="9"/>
                <w:color w:val="auto"/>
              </w:rPr>
            </w:pPr>
          </w:p>
        </w:tc>
        <w:tc>
          <w:tcPr>
            <w:tcW w:w="280" w:type="dxa"/>
            <w:vAlign w:val="bottom"/>
            <w:tcBorders>
              <w:top w:val="single" w:sz="8" w:color="auto"/>
            </w:tcBorders>
          </w:tcPr>
          <w:p>
            <w:pPr>
              <w:spacing w:after="0"/>
              <w:rPr>
                <w:sz w:val="9"/>
                <w:szCs w:val="9"/>
                <w:color w:val="auto"/>
              </w:rPr>
            </w:pPr>
          </w:p>
        </w:tc>
      </w:tr>
      <w:tr>
        <w:trPr>
          <w:trHeight w:val="126"/>
        </w:trPr>
        <w:tc>
          <w:tcPr>
            <w:tcW w:w="520" w:type="dxa"/>
            <w:vAlign w:val="bottom"/>
            <w:gridSpan w:val="2"/>
          </w:tcPr>
          <w:p>
            <w:pPr>
              <w:spacing w:after="0"/>
              <w:rPr>
                <w:sz w:val="20"/>
                <w:szCs w:val="20"/>
                <w:color w:val="auto"/>
              </w:rPr>
            </w:pPr>
            <w:r>
              <w:rPr>
                <w:rFonts w:ascii="Arial" w:cs="Arial" w:eastAsia="Arial" w:hAnsi="Arial"/>
                <w:sz w:val="11"/>
                <w:szCs w:val="11"/>
                <w:b w:val="1"/>
                <w:bCs w:val="1"/>
                <w:color w:val="auto"/>
                <w:w w:val="92"/>
              </w:rPr>
              <w:t>Amortized</w:t>
            </w:r>
          </w:p>
        </w:tc>
        <w:tc>
          <w:tcPr>
            <w:tcW w:w="960" w:type="dxa"/>
            <w:vAlign w:val="bottom"/>
            <w:gridSpan w:val="3"/>
          </w:tcPr>
          <w:p>
            <w:pPr>
              <w:jc w:val="right"/>
              <w:spacing w:after="0"/>
              <w:rPr>
                <w:sz w:val="20"/>
                <w:szCs w:val="20"/>
                <w:color w:val="auto"/>
              </w:rPr>
            </w:pPr>
            <w:r>
              <w:rPr>
                <w:rFonts w:ascii="Arial" w:cs="Arial" w:eastAsia="Arial" w:hAnsi="Arial"/>
                <w:sz w:val="11"/>
                <w:szCs w:val="11"/>
                <w:b w:val="1"/>
                <w:bCs w:val="1"/>
                <w:color w:val="auto"/>
              </w:rPr>
              <w:t>Unrealized</w:t>
            </w:r>
          </w:p>
        </w:tc>
        <w:tc>
          <w:tcPr>
            <w:tcW w:w="940" w:type="dxa"/>
            <w:vAlign w:val="bottom"/>
            <w:gridSpan w:val="3"/>
          </w:tcPr>
          <w:p>
            <w:pPr>
              <w:jc w:val="right"/>
              <w:spacing w:after="0"/>
              <w:rPr>
                <w:sz w:val="20"/>
                <w:szCs w:val="20"/>
                <w:color w:val="auto"/>
              </w:rPr>
            </w:pPr>
            <w:r>
              <w:rPr>
                <w:rFonts w:ascii="Arial" w:cs="Arial" w:eastAsia="Arial" w:hAnsi="Arial"/>
                <w:sz w:val="11"/>
                <w:szCs w:val="11"/>
                <w:b w:val="1"/>
                <w:bCs w:val="1"/>
                <w:color w:val="auto"/>
              </w:rPr>
              <w:t>Unrealized</w:t>
            </w:r>
          </w:p>
        </w:tc>
        <w:tc>
          <w:tcPr>
            <w:tcW w:w="460" w:type="dxa"/>
            <w:vAlign w:val="bottom"/>
          </w:tcPr>
          <w:p>
            <w:pPr>
              <w:spacing w:after="0"/>
              <w:rPr>
                <w:sz w:val="10"/>
                <w:szCs w:val="10"/>
                <w:color w:val="auto"/>
              </w:rPr>
            </w:pPr>
          </w:p>
        </w:tc>
        <w:tc>
          <w:tcPr>
            <w:tcW w:w="280" w:type="dxa"/>
            <w:vAlign w:val="bottom"/>
          </w:tcPr>
          <w:p>
            <w:pPr>
              <w:jc w:val="right"/>
              <w:ind w:right="26"/>
              <w:spacing w:after="0"/>
              <w:rPr>
                <w:sz w:val="20"/>
                <w:szCs w:val="20"/>
                <w:color w:val="auto"/>
              </w:rPr>
            </w:pPr>
            <w:r>
              <w:rPr>
                <w:rFonts w:ascii="Arial" w:cs="Arial" w:eastAsia="Arial" w:hAnsi="Arial"/>
                <w:sz w:val="11"/>
                <w:szCs w:val="11"/>
                <w:b w:val="1"/>
                <w:bCs w:val="1"/>
                <w:color w:val="auto"/>
                <w:w w:val="88"/>
              </w:rPr>
              <w:t>Fair</w:t>
            </w:r>
          </w:p>
        </w:tc>
      </w:tr>
      <w:tr>
        <w:trPr>
          <w:trHeight w:val="137"/>
        </w:trPr>
        <w:tc>
          <w:tcPr>
            <w:tcW w:w="10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b w:val="1"/>
                <w:bCs w:val="1"/>
                <w:color w:val="auto"/>
              </w:rPr>
              <w:t>Cost</w:t>
            </w:r>
          </w:p>
        </w:tc>
        <w:tc>
          <w:tcPr>
            <w:tcW w:w="4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jc w:val="right"/>
              <w:ind w:right="83"/>
              <w:spacing w:after="0"/>
              <w:rPr>
                <w:sz w:val="20"/>
                <w:szCs w:val="20"/>
                <w:color w:val="auto"/>
              </w:rPr>
            </w:pPr>
            <w:r>
              <w:rPr>
                <w:rFonts w:ascii="Arial" w:cs="Arial" w:eastAsia="Arial" w:hAnsi="Arial"/>
                <w:sz w:val="11"/>
                <w:szCs w:val="11"/>
                <w:b w:val="1"/>
                <w:bCs w:val="1"/>
                <w:color w:val="auto"/>
                <w:w w:val="97"/>
              </w:rPr>
              <w:t>Gains</w:t>
            </w:r>
          </w:p>
        </w:tc>
        <w:tc>
          <w:tcPr>
            <w:tcW w:w="3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jc w:val="right"/>
              <w:ind w:right="46"/>
              <w:spacing w:after="0"/>
              <w:rPr>
                <w:sz w:val="20"/>
                <w:szCs w:val="20"/>
                <w:color w:val="auto"/>
              </w:rPr>
            </w:pPr>
            <w:r>
              <w:rPr>
                <w:rFonts w:ascii="Arial" w:cs="Arial" w:eastAsia="Arial" w:hAnsi="Arial"/>
                <w:sz w:val="11"/>
                <w:szCs w:val="11"/>
                <w:b w:val="1"/>
                <w:bCs w:val="1"/>
                <w:color w:val="auto"/>
                <w:w w:val="94"/>
              </w:rPr>
              <w:t>Losses</w:t>
            </w:r>
          </w:p>
        </w:tc>
        <w:tc>
          <w:tcPr>
            <w:tcW w:w="46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74"/>
              </w:rPr>
              <w:t>Value</w:t>
            </w:r>
          </w:p>
        </w:tc>
      </w:tr>
      <w:tr>
        <w:trPr>
          <w:trHeight w:val="115"/>
        </w:trPr>
        <w:tc>
          <w:tcPr>
            <w:tcW w:w="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920" w:type="dxa"/>
            <w:vAlign w:val="bottom"/>
            <w:gridSpan w:val="3"/>
          </w:tcPr>
          <w:p>
            <w:pPr>
              <w:jc w:val="right"/>
              <w:ind w:right="60"/>
              <w:spacing w:after="0" w:line="115" w:lineRule="exact"/>
              <w:rPr>
                <w:sz w:val="20"/>
                <w:szCs w:val="20"/>
                <w:color w:val="auto"/>
              </w:rPr>
            </w:pPr>
            <w:r>
              <w:rPr>
                <w:rFonts w:ascii="Arial" w:cs="Arial" w:eastAsia="Arial" w:hAnsi="Arial"/>
                <w:sz w:val="11"/>
                <w:szCs w:val="11"/>
                <w:b w:val="1"/>
                <w:bCs w:val="1"/>
                <w:color w:val="auto"/>
              </w:rPr>
              <w:t>(in millions)</w:t>
            </w:r>
          </w:p>
        </w:tc>
        <w:tc>
          <w:tcPr>
            <w:tcW w:w="480" w:type="dxa"/>
            <w:vAlign w:val="bottom"/>
          </w:tcPr>
          <w:p>
            <w:pPr>
              <w:spacing w:after="0"/>
              <w:rPr>
                <w:sz w:val="9"/>
                <w:szCs w:val="9"/>
                <w:color w:val="auto"/>
              </w:rPr>
            </w:pPr>
          </w:p>
        </w:tc>
        <w:tc>
          <w:tcPr>
            <w:tcW w:w="460" w:type="dxa"/>
            <w:vAlign w:val="bottom"/>
          </w:tcPr>
          <w:p>
            <w:pPr>
              <w:spacing w:after="0"/>
              <w:rPr>
                <w:sz w:val="9"/>
                <w:szCs w:val="9"/>
                <w:color w:val="auto"/>
              </w:rPr>
            </w:pPr>
          </w:p>
        </w:tc>
        <w:tc>
          <w:tcPr>
            <w:tcW w:w="280" w:type="dxa"/>
            <w:vAlign w:val="bottom"/>
          </w:tcPr>
          <w:p>
            <w:pPr>
              <w:spacing w:after="0"/>
              <w:rPr>
                <w:sz w:val="9"/>
                <w:szCs w:val="9"/>
                <w:color w:val="auto"/>
              </w:rPr>
            </w:pPr>
          </w:p>
        </w:tc>
      </w:tr>
      <w:tr>
        <w:trPr>
          <w:trHeight w:val="135"/>
        </w:trPr>
        <w:tc>
          <w:tcPr>
            <w:tcW w:w="100" w:type="dxa"/>
            <w:vAlign w:val="bottom"/>
          </w:tcPr>
          <w:p>
            <w:pPr>
              <w:spacing w:after="0"/>
              <w:rPr>
                <w:sz w:val="20"/>
                <w:szCs w:val="20"/>
                <w:color w:val="auto"/>
              </w:rPr>
            </w:pPr>
            <w:r>
              <w:rPr>
                <w:rFonts w:ascii="Arial" w:cs="Arial" w:eastAsia="Arial" w:hAnsi="Arial"/>
                <w:sz w:val="11"/>
                <w:szCs w:val="11"/>
                <w:color w:val="auto"/>
              </w:rPr>
              <w:t>$</w:t>
            </w:r>
          </w:p>
        </w:tc>
        <w:tc>
          <w:tcPr>
            <w:tcW w:w="420" w:type="dxa"/>
            <w:vAlign w:val="bottom"/>
          </w:tcPr>
          <w:p>
            <w:pPr>
              <w:jc w:val="right"/>
              <w:spacing w:after="0"/>
              <w:rPr>
                <w:sz w:val="20"/>
                <w:szCs w:val="20"/>
                <w:color w:val="auto"/>
              </w:rPr>
            </w:pPr>
            <w:r>
              <w:rPr>
                <w:rFonts w:ascii="Arial" w:cs="Arial" w:eastAsia="Arial" w:hAnsi="Arial"/>
                <w:sz w:val="11"/>
                <w:szCs w:val="11"/>
                <w:color w:val="auto"/>
              </w:rPr>
              <w:t>97.6</w:t>
            </w:r>
          </w:p>
        </w:tc>
        <w:tc>
          <w:tcPr>
            <w:tcW w:w="500" w:type="dxa"/>
            <w:vAlign w:val="bottom"/>
            <w:gridSpan w:val="2"/>
          </w:tcPr>
          <w:p>
            <w:pPr>
              <w:ind w:left="400"/>
              <w:spacing w:after="0" w:line="135" w:lineRule="exact"/>
              <w:rPr>
                <w:sz w:val="20"/>
                <w:szCs w:val="20"/>
                <w:color w:val="auto"/>
              </w:rPr>
            </w:pPr>
            <w:r>
              <w:rPr>
                <w:rFonts w:ascii="Arial" w:cs="Arial" w:eastAsia="Arial" w:hAnsi="Arial"/>
                <w:sz w:val="12"/>
                <w:szCs w:val="12"/>
                <w:color w:val="auto"/>
              </w:rPr>
              <w:t>$</w:t>
            </w:r>
          </w:p>
        </w:tc>
        <w:tc>
          <w:tcPr>
            <w:tcW w:w="460" w:type="dxa"/>
            <w:vAlign w:val="bottom"/>
          </w:tcPr>
          <w:p>
            <w:pPr>
              <w:jc w:val="right"/>
              <w:spacing w:after="0" w:line="135" w:lineRule="exact"/>
              <w:rPr>
                <w:sz w:val="20"/>
                <w:szCs w:val="20"/>
                <w:color w:val="auto"/>
              </w:rPr>
            </w:pPr>
            <w:r>
              <w:rPr>
                <w:rFonts w:ascii="Arial" w:cs="Arial" w:eastAsia="Arial" w:hAnsi="Arial"/>
                <w:sz w:val="12"/>
                <w:szCs w:val="12"/>
                <w:color w:val="auto"/>
              </w:rPr>
              <w:t>—</w:t>
            </w:r>
          </w:p>
        </w:tc>
        <w:tc>
          <w:tcPr>
            <w:tcW w:w="460" w:type="dxa"/>
            <w:vAlign w:val="bottom"/>
            <w:gridSpan w:val="2"/>
          </w:tcPr>
          <w:p>
            <w:pPr>
              <w:jc w:val="right"/>
              <w:ind w:right="20"/>
              <w:spacing w:after="0"/>
              <w:rPr>
                <w:sz w:val="20"/>
                <w:szCs w:val="20"/>
                <w:color w:val="auto"/>
              </w:rPr>
            </w:pPr>
            <w:r>
              <w:rPr>
                <w:rFonts w:ascii="Arial" w:cs="Arial" w:eastAsia="Arial" w:hAnsi="Arial"/>
                <w:sz w:val="11"/>
                <w:szCs w:val="11"/>
                <w:color w:val="auto"/>
              </w:rPr>
              <w:t>$</w:t>
            </w:r>
          </w:p>
        </w:tc>
        <w:tc>
          <w:tcPr>
            <w:tcW w:w="480" w:type="dxa"/>
            <w:vAlign w:val="bottom"/>
          </w:tcPr>
          <w:p>
            <w:pPr>
              <w:jc w:val="right"/>
              <w:spacing w:after="0"/>
              <w:rPr>
                <w:sz w:val="20"/>
                <w:szCs w:val="20"/>
                <w:color w:val="auto"/>
              </w:rPr>
            </w:pPr>
            <w:r>
              <w:rPr>
                <w:rFonts w:ascii="Arial" w:cs="Arial" w:eastAsia="Arial" w:hAnsi="Arial"/>
                <w:sz w:val="11"/>
                <w:szCs w:val="11"/>
                <w:color w:val="auto"/>
              </w:rPr>
              <w:t>—</w:t>
            </w:r>
          </w:p>
        </w:tc>
        <w:tc>
          <w:tcPr>
            <w:tcW w:w="460" w:type="dxa"/>
            <w:vAlign w:val="bottom"/>
          </w:tcPr>
          <w:p>
            <w:pPr>
              <w:jc w:val="right"/>
              <w:spacing w:after="0"/>
              <w:rPr>
                <w:sz w:val="20"/>
                <w:szCs w:val="20"/>
                <w:color w:val="auto"/>
              </w:rPr>
            </w:pPr>
            <w:r>
              <w:rPr>
                <w:rFonts w:ascii="Arial" w:cs="Arial" w:eastAsia="Arial" w:hAnsi="Arial"/>
                <w:sz w:val="11"/>
                <w:szCs w:val="11"/>
                <w:color w:val="auto"/>
              </w:rPr>
              <w:t>$</w:t>
            </w:r>
          </w:p>
        </w:tc>
        <w:tc>
          <w:tcPr>
            <w:tcW w:w="280" w:type="dxa"/>
            <w:vAlign w:val="bottom"/>
          </w:tcPr>
          <w:p>
            <w:pPr>
              <w:jc w:val="right"/>
              <w:spacing w:after="0"/>
              <w:rPr>
                <w:sz w:val="20"/>
                <w:szCs w:val="20"/>
                <w:color w:val="auto"/>
              </w:rPr>
            </w:pPr>
            <w:r>
              <w:rPr>
                <w:rFonts w:ascii="Arial" w:cs="Arial" w:eastAsia="Arial" w:hAnsi="Arial"/>
                <w:sz w:val="11"/>
                <w:szCs w:val="11"/>
                <w:color w:val="auto"/>
              </w:rPr>
              <w:t>97.6</w:t>
            </w:r>
          </w:p>
        </w:tc>
      </w:tr>
      <w:tr>
        <w:trPr>
          <w:trHeight w:val="135"/>
        </w:trPr>
        <w:tc>
          <w:tcPr>
            <w:tcW w:w="100" w:type="dxa"/>
            <w:vAlign w:val="bottom"/>
          </w:tcPr>
          <w:p>
            <w:pPr>
              <w:spacing w:after="0"/>
              <w:rPr>
                <w:sz w:val="11"/>
                <w:szCs w:val="11"/>
                <w:color w:val="auto"/>
              </w:rPr>
            </w:pPr>
          </w:p>
        </w:tc>
        <w:tc>
          <w:tcPr>
            <w:tcW w:w="420" w:type="dxa"/>
            <w:vAlign w:val="bottom"/>
          </w:tcPr>
          <w:p>
            <w:pPr>
              <w:jc w:val="right"/>
              <w:spacing w:after="0"/>
              <w:rPr>
                <w:sz w:val="20"/>
                <w:szCs w:val="20"/>
                <w:color w:val="auto"/>
              </w:rPr>
            </w:pPr>
            <w:r>
              <w:rPr>
                <w:rFonts w:ascii="Arial" w:cs="Arial" w:eastAsia="Arial" w:hAnsi="Arial"/>
                <w:sz w:val="11"/>
                <w:szCs w:val="11"/>
                <w:color w:val="auto"/>
              </w:rPr>
              <w:t>61.9</w:t>
            </w: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Arial" w:cs="Arial" w:eastAsia="Arial" w:hAnsi="Arial"/>
                <w:sz w:val="12"/>
                <w:szCs w:val="12"/>
                <w:color w:val="auto"/>
              </w:rPr>
              <w:t>0.1</w:t>
            </w: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w:t>
            </w:r>
          </w:p>
        </w:tc>
        <w:tc>
          <w:tcPr>
            <w:tcW w:w="460" w:type="dxa"/>
            <w:vAlign w:val="bottom"/>
          </w:tcPr>
          <w:p>
            <w:pPr>
              <w:spacing w:after="0"/>
              <w:rPr>
                <w:sz w:val="11"/>
                <w:szCs w:val="11"/>
                <w:color w:val="auto"/>
              </w:rPr>
            </w:pPr>
          </w:p>
        </w:tc>
        <w:tc>
          <w:tcPr>
            <w:tcW w:w="280" w:type="dxa"/>
            <w:vAlign w:val="bottom"/>
          </w:tcPr>
          <w:p>
            <w:pPr>
              <w:jc w:val="right"/>
              <w:spacing w:after="0"/>
              <w:rPr>
                <w:sz w:val="20"/>
                <w:szCs w:val="20"/>
                <w:color w:val="auto"/>
              </w:rPr>
            </w:pPr>
            <w:r>
              <w:rPr>
                <w:rFonts w:ascii="Arial" w:cs="Arial" w:eastAsia="Arial" w:hAnsi="Arial"/>
                <w:sz w:val="11"/>
                <w:szCs w:val="11"/>
                <w:color w:val="auto"/>
              </w:rPr>
              <w:t>62.0</w:t>
            </w:r>
          </w:p>
        </w:tc>
      </w:tr>
      <w:tr>
        <w:trPr>
          <w:trHeight w:val="135"/>
        </w:trPr>
        <w:tc>
          <w:tcPr>
            <w:tcW w:w="100" w:type="dxa"/>
            <w:vAlign w:val="bottom"/>
          </w:tcPr>
          <w:p>
            <w:pPr>
              <w:spacing w:after="0"/>
              <w:rPr>
                <w:sz w:val="11"/>
                <w:szCs w:val="11"/>
                <w:color w:val="auto"/>
              </w:rPr>
            </w:pPr>
          </w:p>
        </w:tc>
        <w:tc>
          <w:tcPr>
            <w:tcW w:w="420" w:type="dxa"/>
            <w:vAlign w:val="bottom"/>
          </w:tcPr>
          <w:p>
            <w:pPr>
              <w:jc w:val="right"/>
              <w:spacing w:after="0"/>
              <w:rPr>
                <w:sz w:val="20"/>
                <w:szCs w:val="20"/>
                <w:color w:val="auto"/>
              </w:rPr>
            </w:pPr>
            <w:r>
              <w:rPr>
                <w:rFonts w:ascii="Arial" w:cs="Arial" w:eastAsia="Arial" w:hAnsi="Arial"/>
                <w:sz w:val="11"/>
                <w:szCs w:val="11"/>
                <w:color w:val="auto"/>
              </w:rPr>
              <w:t>34.8</w:t>
            </w: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jc w:val="right"/>
              <w:spacing w:after="0" w:line="135" w:lineRule="exact"/>
              <w:rPr>
                <w:sz w:val="20"/>
                <w:szCs w:val="20"/>
                <w:color w:val="auto"/>
              </w:rPr>
            </w:pPr>
            <w:r>
              <w:rPr>
                <w:rFonts w:ascii="Arial" w:cs="Arial" w:eastAsia="Arial" w:hAnsi="Arial"/>
                <w:sz w:val="12"/>
                <w:szCs w:val="12"/>
                <w:color w:val="auto"/>
              </w:rPr>
              <w:t>—</w:t>
            </w: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w:t>
            </w:r>
          </w:p>
        </w:tc>
        <w:tc>
          <w:tcPr>
            <w:tcW w:w="460" w:type="dxa"/>
            <w:vAlign w:val="bottom"/>
          </w:tcPr>
          <w:p>
            <w:pPr>
              <w:spacing w:after="0"/>
              <w:rPr>
                <w:sz w:val="11"/>
                <w:szCs w:val="11"/>
                <w:color w:val="auto"/>
              </w:rPr>
            </w:pPr>
          </w:p>
        </w:tc>
        <w:tc>
          <w:tcPr>
            <w:tcW w:w="280" w:type="dxa"/>
            <w:vAlign w:val="bottom"/>
          </w:tcPr>
          <w:p>
            <w:pPr>
              <w:jc w:val="right"/>
              <w:spacing w:after="0"/>
              <w:rPr>
                <w:sz w:val="20"/>
                <w:szCs w:val="20"/>
                <w:color w:val="auto"/>
              </w:rPr>
            </w:pPr>
            <w:r>
              <w:rPr>
                <w:rFonts w:ascii="Arial" w:cs="Arial" w:eastAsia="Arial" w:hAnsi="Arial"/>
                <w:sz w:val="11"/>
                <w:szCs w:val="11"/>
                <w:color w:val="auto"/>
              </w:rPr>
              <w:t>34.8</w:t>
            </w:r>
          </w:p>
        </w:tc>
      </w:tr>
      <w:tr>
        <w:trPr>
          <w:trHeight w:val="136"/>
        </w:trPr>
        <w:tc>
          <w:tcPr>
            <w:tcW w:w="10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29.7</w:t>
            </w:r>
          </w:p>
        </w:tc>
        <w:tc>
          <w:tcPr>
            <w:tcW w:w="4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jc w:val="right"/>
              <w:spacing w:after="0" w:line="136" w:lineRule="exact"/>
              <w:rPr>
                <w:sz w:val="20"/>
                <w:szCs w:val="20"/>
                <w:color w:val="auto"/>
              </w:rPr>
            </w:pPr>
            <w:r>
              <w:rPr>
                <w:rFonts w:ascii="Arial" w:cs="Arial" w:eastAsia="Arial" w:hAnsi="Arial"/>
                <w:sz w:val="12"/>
                <w:szCs w:val="12"/>
                <w:color w:val="auto"/>
              </w:rPr>
              <w:t>0.1</w:t>
            </w:r>
          </w:p>
        </w:tc>
        <w:tc>
          <w:tcPr>
            <w:tcW w:w="38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460" w:type="dxa"/>
            <w:vAlign w:val="bottom"/>
          </w:tcPr>
          <w:p>
            <w:pPr>
              <w:spacing w:after="0"/>
              <w:rPr>
                <w:sz w:val="11"/>
                <w:szCs w:val="11"/>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29.8</w:t>
            </w:r>
          </w:p>
        </w:tc>
      </w:tr>
      <w:tr>
        <w:trPr>
          <w:trHeight w:val="124"/>
        </w:trPr>
        <w:tc>
          <w:tcPr>
            <w:tcW w:w="100" w:type="dxa"/>
            <w:vAlign w:val="bottom"/>
          </w:tcPr>
          <w:p>
            <w:pPr>
              <w:spacing w:after="0" w:line="124" w:lineRule="exact"/>
              <w:rPr>
                <w:sz w:val="20"/>
                <w:szCs w:val="20"/>
                <w:color w:val="auto"/>
              </w:rPr>
            </w:pPr>
            <w:r>
              <w:rPr>
                <w:rFonts w:ascii="Arial" w:cs="Arial" w:eastAsia="Arial" w:hAnsi="Arial"/>
                <w:sz w:val="11"/>
                <w:szCs w:val="11"/>
                <w:color w:val="auto"/>
              </w:rPr>
              <w:t>$</w:t>
            </w:r>
          </w:p>
        </w:tc>
        <w:tc>
          <w:tcPr>
            <w:tcW w:w="420" w:type="dxa"/>
            <w:vAlign w:val="bottom"/>
          </w:tcPr>
          <w:p>
            <w:pPr>
              <w:jc w:val="right"/>
              <w:spacing w:after="0" w:line="124" w:lineRule="exact"/>
              <w:rPr>
                <w:sz w:val="20"/>
                <w:szCs w:val="20"/>
                <w:color w:val="auto"/>
              </w:rPr>
            </w:pPr>
            <w:r>
              <w:rPr>
                <w:rFonts w:ascii="Arial" w:cs="Arial" w:eastAsia="Arial" w:hAnsi="Arial"/>
                <w:sz w:val="11"/>
                <w:szCs w:val="11"/>
                <w:color w:val="auto"/>
              </w:rPr>
              <w:t>224.</w:t>
            </w:r>
            <w:r>
              <w:rPr>
                <w:rFonts w:ascii="Arial" w:cs="Arial" w:eastAsia="Arial" w:hAnsi="Arial"/>
                <w:sz w:val="11"/>
                <w:szCs w:val="11"/>
                <w:u w:val="single" w:color="auto"/>
                <w:color w:val="auto"/>
              </w:rPr>
              <w:t>1</w:t>
            </w:r>
          </w:p>
        </w:tc>
        <w:tc>
          <w:tcPr>
            <w:tcW w:w="500" w:type="dxa"/>
            <w:vAlign w:val="bottom"/>
            <w:gridSpan w:val="2"/>
          </w:tcPr>
          <w:p>
            <w:pPr>
              <w:ind w:left="400"/>
              <w:spacing w:after="0" w:line="124" w:lineRule="exact"/>
              <w:rPr>
                <w:sz w:val="20"/>
                <w:szCs w:val="20"/>
                <w:color w:val="auto"/>
              </w:rPr>
            </w:pPr>
            <w:r>
              <w:rPr>
                <w:rFonts w:ascii="Arial" w:cs="Arial" w:eastAsia="Arial" w:hAnsi="Arial"/>
                <w:sz w:val="11"/>
                <w:szCs w:val="11"/>
                <w:color w:val="auto"/>
              </w:rPr>
              <w:t>$</w:t>
            </w:r>
          </w:p>
        </w:tc>
        <w:tc>
          <w:tcPr>
            <w:tcW w:w="460" w:type="dxa"/>
            <w:vAlign w:val="bottom"/>
          </w:tcPr>
          <w:p>
            <w:pPr>
              <w:jc w:val="right"/>
              <w:spacing w:after="0" w:line="124" w:lineRule="exact"/>
              <w:rPr>
                <w:sz w:val="20"/>
                <w:szCs w:val="20"/>
                <w:color w:val="auto"/>
              </w:rPr>
            </w:pPr>
            <w:r>
              <w:rPr>
                <w:rFonts w:ascii="Arial" w:cs="Arial" w:eastAsia="Arial" w:hAnsi="Arial"/>
                <w:sz w:val="11"/>
                <w:szCs w:val="11"/>
                <w:color w:val="auto"/>
              </w:rPr>
              <w:t>0.2</w:t>
            </w:r>
          </w:p>
        </w:tc>
        <w:tc>
          <w:tcPr>
            <w:tcW w:w="460" w:type="dxa"/>
            <w:vAlign w:val="bottom"/>
            <w:gridSpan w:val="2"/>
          </w:tcPr>
          <w:p>
            <w:pPr>
              <w:jc w:val="right"/>
              <w:ind w:right="20"/>
              <w:spacing w:after="0" w:line="124" w:lineRule="exact"/>
              <w:rPr>
                <w:sz w:val="20"/>
                <w:szCs w:val="20"/>
                <w:color w:val="auto"/>
              </w:rPr>
            </w:pPr>
            <w:r>
              <w:rPr>
                <w:rFonts w:ascii="Arial" w:cs="Arial" w:eastAsia="Arial" w:hAnsi="Arial"/>
                <w:sz w:val="11"/>
                <w:szCs w:val="11"/>
                <w:color w:val="auto"/>
              </w:rPr>
              <w:t>$</w:t>
            </w:r>
          </w:p>
        </w:tc>
        <w:tc>
          <w:tcPr>
            <w:tcW w:w="480" w:type="dxa"/>
            <w:vAlign w:val="bottom"/>
          </w:tcPr>
          <w:p>
            <w:pPr>
              <w:jc w:val="right"/>
              <w:spacing w:after="0" w:line="124" w:lineRule="exact"/>
              <w:rPr>
                <w:sz w:val="20"/>
                <w:szCs w:val="20"/>
                <w:color w:val="auto"/>
              </w:rPr>
            </w:pPr>
            <w:r>
              <w:rPr>
                <w:rFonts w:ascii="Arial" w:cs="Arial" w:eastAsia="Arial" w:hAnsi="Arial"/>
                <w:sz w:val="11"/>
                <w:szCs w:val="11"/>
                <w:color w:val="auto"/>
              </w:rPr>
              <w:t>—</w:t>
            </w:r>
          </w:p>
        </w:tc>
        <w:tc>
          <w:tcPr>
            <w:tcW w:w="460" w:type="dxa"/>
            <w:vAlign w:val="bottom"/>
          </w:tcPr>
          <w:p>
            <w:pPr>
              <w:jc w:val="right"/>
              <w:spacing w:after="0" w:line="124" w:lineRule="exact"/>
              <w:rPr>
                <w:sz w:val="20"/>
                <w:szCs w:val="20"/>
                <w:color w:val="auto"/>
              </w:rPr>
            </w:pPr>
            <w:r>
              <w:rPr>
                <w:rFonts w:ascii="Arial" w:cs="Arial" w:eastAsia="Arial" w:hAnsi="Arial"/>
                <w:sz w:val="11"/>
                <w:szCs w:val="11"/>
                <w:u w:val="single" w:color="auto"/>
                <w:color w:val="auto"/>
              </w:rPr>
              <w:t>$</w:t>
            </w:r>
          </w:p>
        </w:tc>
        <w:tc>
          <w:tcPr>
            <w:tcW w:w="280" w:type="dxa"/>
            <w:vAlign w:val="bottom"/>
          </w:tcPr>
          <w:p>
            <w:pPr>
              <w:jc w:val="right"/>
              <w:spacing w:after="0" w:line="124" w:lineRule="exact"/>
              <w:rPr>
                <w:sz w:val="20"/>
                <w:szCs w:val="20"/>
                <w:color w:val="auto"/>
              </w:rPr>
            </w:pPr>
            <w:r>
              <w:rPr>
                <w:rFonts w:ascii="Arial" w:cs="Arial" w:eastAsia="Arial" w:hAnsi="Arial"/>
                <w:sz w:val="11"/>
                <w:szCs w:val="11"/>
                <w:color w:val="auto"/>
                <w:w w:val="94"/>
              </w:rPr>
              <w:t>224.3</w:t>
            </w:r>
          </w:p>
        </w:tc>
      </w:tr>
      <w:tr>
        <w:trPr>
          <w:trHeight w:val="27"/>
        </w:trPr>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60" w:type="dxa"/>
            <w:vAlign w:val="bottom"/>
            <w:tcBorders>
              <w:right w:val="single" w:sz="8" w:color="auto"/>
            </w:tcBorders>
          </w:tcPr>
          <w:p>
            <w:pPr>
              <w:spacing w:after="0"/>
              <w:rPr>
                <w:sz w:val="2"/>
                <w:szCs w:val="2"/>
                <w:color w:val="auto"/>
              </w:rPr>
            </w:pPr>
          </w:p>
        </w:tc>
        <w:tc>
          <w:tcPr>
            <w:tcW w:w="280" w:type="dxa"/>
            <w:vAlign w:val="bottom"/>
            <w:shd w:val="clear" w:color="auto" w:fill="000000"/>
          </w:tcPr>
          <w:p>
            <w:pPr>
              <w:spacing w:after="0"/>
              <w:rPr>
                <w:sz w:val="2"/>
                <w:szCs w:val="2"/>
                <w:color w:val="auto"/>
              </w:rPr>
            </w:pPr>
          </w:p>
        </w:tc>
      </w:tr>
    </w:tbl>
    <w:p>
      <w:pPr>
        <w:spacing w:after="0" w:line="130" w:lineRule="exact"/>
        <w:rPr>
          <w:sz w:val="20"/>
          <w:szCs w:val="20"/>
          <w:color w:val="auto"/>
        </w:rPr>
      </w:pPr>
    </w:p>
    <w:p>
      <w:pPr>
        <w:sectPr>
          <w:pgSz w:w="11900" w:h="16838" w:orient="portrait"/>
          <w:cols w:equalWidth="0" w:num="2">
            <w:col w:w="6120" w:space="100"/>
            <w:col w:w="4019"/>
          </w:cols>
          <w:pgMar w:left="220" w:top="355" w:right="1440" w:bottom="1440" w:gutter="0" w:footer="0" w:header="0"/>
          <w:type w:val="continuous"/>
        </w:sectPr>
      </w:pPr>
    </w:p>
    <w:p>
      <w:pPr>
        <w:ind w:left="2280" w:hanging="221"/>
        <w:spacing w:after="0"/>
        <w:tabs>
          <w:tab w:leader="none" w:pos="2280" w:val="left"/>
        </w:tabs>
        <w:numPr>
          <w:ilvl w:val="0"/>
          <w:numId w:val="113"/>
        </w:numPr>
        <w:rPr>
          <w:rFonts w:ascii="Arial" w:cs="Arial" w:eastAsia="Arial" w:hAnsi="Arial"/>
          <w:sz w:val="8"/>
          <w:szCs w:val="8"/>
          <w:color w:val="auto"/>
        </w:rPr>
      </w:pPr>
      <w:r>
        <w:rPr>
          <w:rFonts w:ascii="Arial" w:cs="Arial" w:eastAsia="Arial" w:hAnsi="Arial"/>
          <w:sz w:val="8"/>
          <w:szCs w:val="8"/>
          <w:color w:val="auto"/>
        </w:rPr>
        <w:t>Includes $8.3 million included within cash and cash equivalents.</w:t>
      </w:r>
    </w:p>
    <w:p>
      <w:pPr>
        <w:spacing w:after="0" w:line="147" w:lineRule="exact"/>
        <w:rPr>
          <w:sz w:val="20"/>
          <w:szCs w:val="20"/>
          <w:color w:val="auto"/>
        </w:rPr>
      </w:pPr>
    </w:p>
    <w:p>
      <w:pPr>
        <w:ind w:left="2060" w:right="839"/>
        <w:spacing w:after="0" w:line="245" w:lineRule="auto"/>
        <w:rPr>
          <w:sz w:val="20"/>
          <w:szCs w:val="20"/>
          <w:color w:val="auto"/>
        </w:rPr>
      </w:pPr>
      <w:r>
        <w:rPr>
          <w:rFonts w:ascii="Arial" w:cs="Arial" w:eastAsia="Arial" w:hAnsi="Arial"/>
          <w:sz w:val="11"/>
          <w:szCs w:val="11"/>
          <w:color w:val="auto"/>
        </w:rPr>
        <w:t>The Company had no material reclassification adjustments out of accumulated other comprehensive loss into net loss in any of the periods presented, and the contractual maturity of all marketable securities was less than one year.</w:t>
      </w:r>
    </w:p>
    <w:p>
      <w:pPr>
        <w:spacing w:after="0" w:line="198" w:lineRule="exact"/>
        <w:rPr>
          <w:sz w:val="20"/>
          <w:szCs w:val="20"/>
          <w:color w:val="auto"/>
        </w:rPr>
      </w:pPr>
    </w:p>
    <w:p>
      <w:pPr>
        <w:ind w:left="2060"/>
        <w:spacing w:after="0"/>
        <w:rPr>
          <w:sz w:val="20"/>
          <w:szCs w:val="20"/>
          <w:color w:val="auto"/>
        </w:rPr>
      </w:pPr>
      <w:r>
        <w:rPr>
          <w:rFonts w:ascii="Arial" w:cs="Arial" w:eastAsia="Arial" w:hAnsi="Arial"/>
          <w:sz w:val="11"/>
          <w:szCs w:val="11"/>
          <w:b w:val="1"/>
          <w:bCs w:val="1"/>
          <w:color w:val="auto"/>
        </w:rPr>
        <w:t>5. Fair Value Measurements</w:t>
      </w:r>
    </w:p>
    <w:p>
      <w:pPr>
        <w:spacing w:after="0" w:line="237" w:lineRule="exact"/>
        <w:rPr>
          <w:sz w:val="20"/>
          <w:szCs w:val="20"/>
          <w:color w:val="auto"/>
        </w:rPr>
      </w:pPr>
    </w:p>
    <w:p>
      <w:pPr>
        <w:ind w:left="2060"/>
        <w:spacing w:after="0"/>
        <w:rPr>
          <w:sz w:val="20"/>
          <w:szCs w:val="20"/>
          <w:color w:val="auto"/>
        </w:rPr>
      </w:pPr>
      <w:r>
        <w:rPr>
          <w:rFonts w:ascii="Arial" w:cs="Arial" w:eastAsia="Arial" w:hAnsi="Arial"/>
          <w:sz w:val="11"/>
          <w:szCs w:val="11"/>
          <w:color w:val="auto"/>
        </w:rPr>
        <w:t>The following table summarizes the Company’s assets that are measured at fair value on a recurring basis, by level, within the fair value hierarchy:</w:t>
      </w:r>
    </w:p>
    <w:p>
      <w:pPr>
        <w:spacing w:after="0" w:line="150" w:lineRule="exact"/>
        <w:rPr>
          <w:sz w:val="20"/>
          <w:szCs w:val="20"/>
          <w:color w:val="auto"/>
        </w:rPr>
      </w:pPr>
    </w:p>
    <w:tbl>
      <w:tblPr>
        <w:tblLayout w:type="fixed"/>
        <w:tblInd w:w="2060" w:type="dxa"/>
        <w:tblCellMar>
          <w:top w:w="0" w:type="dxa"/>
          <w:left w:w="0" w:type="dxa"/>
          <w:bottom w:w="0" w:type="dxa"/>
          <w:right w:w="0" w:type="dxa"/>
        </w:tblCellMar>
      </w:tblPr>
      <w:tr>
        <w:trPr>
          <w:trHeight w:val="137"/>
        </w:trPr>
        <w:tc>
          <w:tcPr>
            <w:tcW w:w="516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1240" w:type="dxa"/>
            <w:vAlign w:val="bottom"/>
            <w:tcBorders>
              <w:bottom w:val="single" w:sz="8" w:color="auto"/>
            </w:tcBorders>
            <w:gridSpan w:val="6"/>
          </w:tcPr>
          <w:p>
            <w:pPr>
              <w:jc w:val="center"/>
              <w:ind w:left="146"/>
              <w:spacing w:after="0"/>
              <w:rPr>
                <w:sz w:val="20"/>
                <w:szCs w:val="20"/>
                <w:color w:val="auto"/>
              </w:rPr>
            </w:pPr>
            <w:r>
              <w:rPr>
                <w:rFonts w:ascii="Arial" w:cs="Arial" w:eastAsia="Arial" w:hAnsi="Arial"/>
                <w:sz w:val="11"/>
                <w:szCs w:val="11"/>
                <w:b w:val="1"/>
                <w:bCs w:val="1"/>
                <w:color w:val="auto"/>
                <w:w w:val="97"/>
              </w:rPr>
              <w:t>As of June 30, 2019</w:t>
            </w:r>
          </w:p>
        </w:tc>
        <w:tc>
          <w:tcPr>
            <w:tcW w:w="30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40" w:type="dxa"/>
            <w:vAlign w:val="bottom"/>
          </w:tcPr>
          <w:p>
            <w:pPr>
              <w:spacing w:after="0"/>
              <w:rPr>
                <w:sz w:val="11"/>
                <w:szCs w:val="11"/>
                <w:color w:val="auto"/>
              </w:rPr>
            </w:pPr>
          </w:p>
        </w:tc>
      </w:tr>
      <w:tr>
        <w:trPr>
          <w:trHeight w:val="115"/>
        </w:trPr>
        <w:tc>
          <w:tcPr>
            <w:tcW w:w="5160" w:type="dxa"/>
            <w:vAlign w:val="bottom"/>
          </w:tcPr>
          <w:p>
            <w:pPr>
              <w:spacing w:after="0"/>
              <w:rPr>
                <w:sz w:val="10"/>
                <w:szCs w:val="10"/>
                <w:color w:val="auto"/>
              </w:rPr>
            </w:pPr>
          </w:p>
        </w:tc>
        <w:tc>
          <w:tcPr>
            <w:tcW w:w="340" w:type="dxa"/>
            <w:vAlign w:val="bottom"/>
            <w:tcBorders>
              <w:bottom w:val="single" w:sz="8" w:color="auto"/>
            </w:tcBorders>
            <w:gridSpan w:val="2"/>
          </w:tcPr>
          <w:p>
            <w:pPr>
              <w:spacing w:after="0" w:line="115" w:lineRule="exact"/>
              <w:rPr>
                <w:sz w:val="20"/>
                <w:szCs w:val="20"/>
                <w:color w:val="auto"/>
              </w:rPr>
            </w:pPr>
            <w:r>
              <w:rPr>
                <w:rFonts w:ascii="Arial" w:cs="Arial" w:eastAsia="Arial" w:hAnsi="Arial"/>
                <w:sz w:val="11"/>
                <w:szCs w:val="11"/>
                <w:b w:val="1"/>
                <w:bCs w:val="1"/>
                <w:color w:val="auto"/>
                <w:w w:val="85"/>
              </w:rPr>
              <w:t>Level 1</w:t>
            </w:r>
          </w:p>
        </w:tc>
        <w:tc>
          <w:tcPr>
            <w:tcW w:w="620" w:type="dxa"/>
            <w:vAlign w:val="bottom"/>
            <w:tcBorders>
              <w:bottom w:val="single" w:sz="8" w:color="auto"/>
            </w:tcBorders>
            <w:gridSpan w:val="3"/>
          </w:tcPr>
          <w:p>
            <w:pPr>
              <w:jc w:val="right"/>
              <w:spacing w:after="0" w:line="115" w:lineRule="exact"/>
              <w:rPr>
                <w:sz w:val="20"/>
                <w:szCs w:val="20"/>
                <w:color w:val="auto"/>
              </w:rPr>
            </w:pPr>
            <w:r>
              <w:rPr>
                <w:rFonts w:ascii="Arial" w:cs="Arial" w:eastAsia="Arial" w:hAnsi="Arial"/>
                <w:sz w:val="11"/>
                <w:szCs w:val="11"/>
                <w:b w:val="1"/>
                <w:bCs w:val="1"/>
                <w:color w:val="auto"/>
              </w:rPr>
              <w:t>Level 2</w:t>
            </w:r>
          </w:p>
        </w:tc>
        <w:tc>
          <w:tcPr>
            <w:tcW w:w="620" w:type="dxa"/>
            <w:vAlign w:val="bottom"/>
            <w:tcBorders>
              <w:bottom w:val="single" w:sz="8" w:color="auto"/>
            </w:tcBorders>
            <w:gridSpan w:val="3"/>
          </w:tcPr>
          <w:p>
            <w:pPr>
              <w:ind w:left="240"/>
              <w:spacing w:after="0" w:line="115" w:lineRule="exact"/>
              <w:rPr>
                <w:sz w:val="20"/>
                <w:szCs w:val="20"/>
                <w:color w:val="auto"/>
              </w:rPr>
            </w:pPr>
            <w:r>
              <w:rPr>
                <w:rFonts w:ascii="Arial" w:cs="Arial" w:eastAsia="Arial" w:hAnsi="Arial"/>
                <w:sz w:val="11"/>
                <w:szCs w:val="11"/>
                <w:b w:val="1"/>
                <w:bCs w:val="1"/>
                <w:color w:val="auto"/>
                <w:w w:val="96"/>
              </w:rPr>
              <w:t>Level 3</w:t>
            </w:r>
          </w:p>
        </w:tc>
        <w:tc>
          <w:tcPr>
            <w:tcW w:w="30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jc w:val="right"/>
              <w:ind w:right="6"/>
              <w:spacing w:after="0" w:line="115" w:lineRule="exact"/>
              <w:rPr>
                <w:sz w:val="20"/>
                <w:szCs w:val="20"/>
                <w:color w:val="auto"/>
              </w:rPr>
            </w:pPr>
            <w:r>
              <w:rPr>
                <w:rFonts w:ascii="Arial" w:cs="Arial" w:eastAsia="Arial" w:hAnsi="Arial"/>
                <w:sz w:val="11"/>
                <w:szCs w:val="11"/>
                <w:b w:val="1"/>
                <w:bCs w:val="1"/>
                <w:color w:val="auto"/>
                <w:w w:val="75"/>
              </w:rPr>
              <w:t>Total</w:t>
            </w:r>
          </w:p>
        </w:tc>
        <w:tc>
          <w:tcPr>
            <w:tcW w:w="40" w:type="dxa"/>
            <w:vAlign w:val="bottom"/>
          </w:tcPr>
          <w:p>
            <w:pPr>
              <w:spacing w:after="0"/>
              <w:rPr>
                <w:sz w:val="10"/>
                <w:szCs w:val="10"/>
                <w:color w:val="auto"/>
              </w:rPr>
            </w:pPr>
          </w:p>
        </w:tc>
      </w:tr>
      <w:tr>
        <w:trPr>
          <w:trHeight w:val="115"/>
        </w:trPr>
        <w:tc>
          <w:tcPr>
            <w:tcW w:w="5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gridSpan w:val="3"/>
          </w:tcPr>
          <w:p>
            <w:pPr>
              <w:jc w:val="center"/>
              <w:spacing w:after="0" w:line="115" w:lineRule="exact"/>
              <w:rPr>
                <w:sz w:val="20"/>
                <w:szCs w:val="20"/>
                <w:color w:val="auto"/>
              </w:rPr>
            </w:pPr>
            <w:r>
              <w:rPr>
                <w:rFonts w:ascii="Arial" w:cs="Arial" w:eastAsia="Arial" w:hAnsi="Arial"/>
                <w:sz w:val="11"/>
                <w:szCs w:val="11"/>
                <w:b w:val="1"/>
                <w:bCs w:val="1"/>
                <w:color w:val="auto"/>
                <w:w w:val="97"/>
              </w:rPr>
              <w:t>(in millions)</w:t>
            </w:r>
          </w:p>
        </w:tc>
        <w:tc>
          <w:tcPr>
            <w:tcW w:w="1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0" w:type="dxa"/>
            <w:vAlign w:val="bottom"/>
          </w:tcPr>
          <w:p>
            <w:pPr>
              <w:spacing w:after="0"/>
              <w:rPr>
                <w:sz w:val="10"/>
                <w:szCs w:val="10"/>
                <w:color w:val="auto"/>
              </w:rPr>
            </w:pPr>
          </w:p>
        </w:tc>
      </w:tr>
      <w:tr>
        <w:trPr>
          <w:trHeight w:val="126"/>
        </w:trPr>
        <w:tc>
          <w:tcPr>
            <w:tcW w:w="5160" w:type="dxa"/>
            <w:vAlign w:val="bottom"/>
            <w:tcBorders>
              <w:right w:val="single" w:sz="8" w:color="CCEEFF"/>
            </w:tcBorders>
            <w:shd w:val="clear" w:color="auto" w:fill="CCEEFF"/>
          </w:tcPr>
          <w:p>
            <w:pPr>
              <w:spacing w:after="0" w:line="126" w:lineRule="exact"/>
              <w:rPr>
                <w:sz w:val="20"/>
                <w:szCs w:val="20"/>
                <w:color w:val="auto"/>
              </w:rPr>
            </w:pPr>
            <w:r>
              <w:rPr>
                <w:rFonts w:ascii="Arial" w:cs="Arial" w:eastAsia="Arial" w:hAnsi="Arial"/>
                <w:sz w:val="9"/>
                <w:szCs w:val="9"/>
                <w:color w:val="auto"/>
              </w:rPr>
              <w:t xml:space="preserve">Cash equivalents </w:t>
            </w:r>
            <w:r>
              <w:rPr>
                <w:rFonts w:ascii="Arial" w:cs="Arial" w:eastAsia="Arial" w:hAnsi="Arial"/>
                <w:sz w:val="14"/>
                <w:szCs w:val="14"/>
                <w:color w:val="auto"/>
                <w:vertAlign w:val="superscript"/>
              </w:rPr>
              <w:t>(1)</w:t>
            </w:r>
            <w:r>
              <w:rPr>
                <w:rFonts w:ascii="Arial" w:cs="Arial" w:eastAsia="Arial" w:hAnsi="Arial"/>
                <w:sz w:val="9"/>
                <w:szCs w:val="9"/>
                <w:color w:val="auto"/>
              </w:rPr>
              <w:t>:</w:t>
            </w:r>
          </w:p>
        </w:tc>
        <w:tc>
          <w:tcPr>
            <w:tcW w:w="6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300" w:type="dxa"/>
            <w:vAlign w:val="bottom"/>
            <w:tcBorders>
              <w:right w:val="single" w:sz="8" w:color="CCEEFF"/>
            </w:tcBorders>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r>
      <w:tr>
        <w:trPr>
          <w:trHeight w:val="126"/>
        </w:trPr>
        <w:tc>
          <w:tcPr>
            <w:tcW w:w="5160" w:type="dxa"/>
            <w:vAlign w:val="bottom"/>
          </w:tcPr>
          <w:p>
            <w:pPr>
              <w:ind w:left="220"/>
              <w:spacing w:after="0"/>
              <w:rPr>
                <w:sz w:val="20"/>
                <w:szCs w:val="20"/>
                <w:color w:val="auto"/>
              </w:rPr>
            </w:pPr>
            <w:r>
              <w:rPr>
                <w:rFonts w:ascii="Arial" w:cs="Arial" w:eastAsia="Arial" w:hAnsi="Arial"/>
                <w:sz w:val="11"/>
                <w:szCs w:val="11"/>
                <w:color w:val="auto"/>
              </w:rPr>
              <w:t>Commercial paper</w:t>
            </w:r>
          </w:p>
        </w:tc>
        <w:tc>
          <w:tcPr>
            <w:tcW w:w="60" w:type="dxa"/>
            <w:vAlign w:val="bottom"/>
          </w:tcPr>
          <w:p>
            <w:pPr>
              <w:spacing w:after="0"/>
              <w:rPr>
                <w:sz w:val="20"/>
                <w:szCs w:val="20"/>
                <w:color w:val="auto"/>
              </w:rPr>
            </w:pPr>
            <w:r>
              <w:rPr>
                <w:rFonts w:ascii="Arial" w:cs="Arial" w:eastAsia="Arial" w:hAnsi="Arial"/>
                <w:sz w:val="10"/>
                <w:szCs w:val="10"/>
                <w:color w:val="auto"/>
                <w:w w:val="71"/>
              </w:rPr>
              <w:t>$</w:t>
            </w:r>
          </w:p>
        </w:tc>
        <w:tc>
          <w:tcPr>
            <w:tcW w:w="280" w:type="dxa"/>
            <w:vAlign w:val="bottom"/>
          </w:tcPr>
          <w:p>
            <w:pPr>
              <w:jc w:val="right"/>
              <w:spacing w:after="0"/>
              <w:rPr>
                <w:sz w:val="20"/>
                <w:szCs w:val="20"/>
                <w:color w:val="auto"/>
              </w:rPr>
            </w:pPr>
            <w:r>
              <w:rPr>
                <w:rFonts w:ascii="Arial" w:cs="Arial" w:eastAsia="Arial" w:hAnsi="Arial"/>
                <w:sz w:val="11"/>
                <w:szCs w:val="11"/>
                <w:color w:val="auto"/>
              </w:rPr>
              <w:t>8.3</w:t>
            </w:r>
          </w:p>
        </w:tc>
        <w:tc>
          <w:tcPr>
            <w:tcW w:w="360" w:type="dxa"/>
            <w:vAlign w:val="bottom"/>
            <w:gridSpan w:val="2"/>
          </w:tcPr>
          <w:p>
            <w:pPr>
              <w:jc w:val="right"/>
              <w:ind w:right="60"/>
              <w:spacing w:after="0"/>
              <w:rPr>
                <w:sz w:val="20"/>
                <w:szCs w:val="20"/>
                <w:color w:val="auto"/>
              </w:rPr>
            </w:pPr>
            <w:r>
              <w:rPr>
                <w:rFonts w:ascii="Arial" w:cs="Arial" w:eastAsia="Arial" w:hAnsi="Arial"/>
                <w:sz w:val="11"/>
                <w:szCs w:val="11"/>
                <w:color w:val="auto"/>
              </w:rPr>
              <w:t>$</w:t>
            </w:r>
          </w:p>
        </w:tc>
        <w:tc>
          <w:tcPr>
            <w:tcW w:w="260" w:type="dxa"/>
            <w:vAlign w:val="bottom"/>
          </w:tcPr>
          <w:p>
            <w:pPr>
              <w:jc w:val="right"/>
              <w:spacing w:after="0"/>
              <w:rPr>
                <w:sz w:val="20"/>
                <w:szCs w:val="20"/>
                <w:color w:val="auto"/>
              </w:rPr>
            </w:pPr>
            <w:r>
              <w:rPr>
                <w:rFonts w:ascii="Arial" w:cs="Arial" w:eastAsia="Arial" w:hAnsi="Arial"/>
                <w:sz w:val="11"/>
                <w:szCs w:val="11"/>
                <w:color w:val="auto"/>
              </w:rPr>
              <w:t>—</w:t>
            </w:r>
          </w:p>
        </w:tc>
        <w:tc>
          <w:tcPr>
            <w:tcW w:w="440" w:type="dxa"/>
            <w:vAlign w:val="bottom"/>
            <w:gridSpan w:val="2"/>
          </w:tcPr>
          <w:p>
            <w:pPr>
              <w:ind w:left="240"/>
              <w:spacing w:after="0"/>
              <w:rPr>
                <w:sz w:val="20"/>
                <w:szCs w:val="20"/>
                <w:color w:val="auto"/>
              </w:rPr>
            </w:pPr>
            <w:r>
              <w:rPr>
                <w:rFonts w:ascii="Arial" w:cs="Arial" w:eastAsia="Arial" w:hAnsi="Arial"/>
                <w:sz w:val="11"/>
                <w:szCs w:val="11"/>
                <w:color w:val="auto"/>
              </w:rPr>
              <w:t>$</w:t>
            </w:r>
          </w:p>
        </w:tc>
        <w:tc>
          <w:tcPr>
            <w:tcW w:w="180" w:type="dxa"/>
            <w:vAlign w:val="bottom"/>
          </w:tcPr>
          <w:p>
            <w:pPr>
              <w:jc w:val="right"/>
              <w:spacing w:after="0"/>
              <w:rPr>
                <w:sz w:val="20"/>
                <w:szCs w:val="20"/>
                <w:color w:val="auto"/>
              </w:rPr>
            </w:pPr>
            <w:r>
              <w:rPr>
                <w:rFonts w:ascii="Arial" w:cs="Arial" w:eastAsia="Arial" w:hAnsi="Arial"/>
                <w:sz w:val="11"/>
                <w:szCs w:val="11"/>
                <w:color w:val="auto"/>
              </w:rPr>
              <w:t>—</w:t>
            </w:r>
          </w:p>
        </w:tc>
        <w:tc>
          <w:tcPr>
            <w:tcW w:w="300" w:type="dxa"/>
            <w:vAlign w:val="bottom"/>
          </w:tcPr>
          <w:p>
            <w:pPr>
              <w:jc w:val="right"/>
              <w:spacing w:after="0"/>
              <w:rPr>
                <w:sz w:val="20"/>
                <w:szCs w:val="20"/>
                <w:color w:val="auto"/>
              </w:rPr>
            </w:pPr>
            <w:r>
              <w:rPr>
                <w:rFonts w:ascii="Arial" w:cs="Arial" w:eastAsia="Arial" w:hAnsi="Arial"/>
                <w:sz w:val="11"/>
                <w:szCs w:val="11"/>
                <w:color w:val="auto"/>
              </w:rPr>
              <w:t>$</w:t>
            </w:r>
          </w:p>
        </w:tc>
        <w:tc>
          <w:tcPr>
            <w:tcW w:w="280" w:type="dxa"/>
            <w:vAlign w:val="bottom"/>
          </w:tcPr>
          <w:p>
            <w:pPr>
              <w:jc w:val="right"/>
              <w:spacing w:after="0"/>
              <w:rPr>
                <w:sz w:val="20"/>
                <w:szCs w:val="20"/>
                <w:color w:val="auto"/>
              </w:rPr>
            </w:pPr>
            <w:r>
              <w:rPr>
                <w:rFonts w:ascii="Arial" w:cs="Arial" w:eastAsia="Arial" w:hAnsi="Arial"/>
                <w:sz w:val="11"/>
                <w:szCs w:val="11"/>
                <w:color w:val="auto"/>
              </w:rPr>
              <w:t>8.3</w:t>
            </w:r>
          </w:p>
        </w:tc>
        <w:tc>
          <w:tcPr>
            <w:tcW w:w="40" w:type="dxa"/>
            <w:vAlign w:val="bottom"/>
          </w:tcPr>
          <w:p>
            <w:pPr>
              <w:spacing w:after="0"/>
              <w:rPr>
                <w:sz w:val="10"/>
                <w:szCs w:val="10"/>
                <w:color w:val="auto"/>
              </w:rPr>
            </w:pPr>
          </w:p>
        </w:tc>
      </w:tr>
      <w:tr>
        <w:trPr>
          <w:trHeight w:val="126"/>
        </w:trPr>
        <w:tc>
          <w:tcPr>
            <w:tcW w:w="51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1"/>
                <w:szCs w:val="11"/>
                <w:color w:val="auto"/>
              </w:rPr>
              <w:t>Marketable Securities:</w:t>
            </w:r>
          </w:p>
        </w:tc>
        <w:tc>
          <w:tcPr>
            <w:tcW w:w="6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300" w:type="dxa"/>
            <w:vAlign w:val="bottom"/>
            <w:tcBorders>
              <w:right w:val="single" w:sz="8" w:color="CCEEFF"/>
            </w:tcBorders>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r>
      <w:tr>
        <w:trPr>
          <w:trHeight w:val="126"/>
        </w:trPr>
        <w:tc>
          <w:tcPr>
            <w:tcW w:w="5160" w:type="dxa"/>
            <w:vAlign w:val="bottom"/>
          </w:tcPr>
          <w:p>
            <w:pPr>
              <w:ind w:left="220"/>
              <w:spacing w:after="0"/>
              <w:rPr>
                <w:sz w:val="20"/>
                <w:szCs w:val="20"/>
                <w:color w:val="auto"/>
              </w:rPr>
            </w:pPr>
            <w:r>
              <w:rPr>
                <w:rFonts w:ascii="Arial" w:cs="Arial" w:eastAsia="Arial" w:hAnsi="Arial"/>
                <w:sz w:val="11"/>
                <w:szCs w:val="11"/>
                <w:color w:val="auto"/>
              </w:rPr>
              <w:t>Commercial paper</w:t>
            </w:r>
          </w:p>
        </w:tc>
        <w:tc>
          <w:tcPr>
            <w:tcW w:w="60" w:type="dxa"/>
            <w:vAlign w:val="bottom"/>
          </w:tcPr>
          <w:p>
            <w:pPr>
              <w:spacing w:after="0"/>
              <w:rPr>
                <w:sz w:val="10"/>
                <w:szCs w:val="10"/>
                <w:color w:val="auto"/>
              </w:rPr>
            </w:pPr>
          </w:p>
        </w:tc>
        <w:tc>
          <w:tcPr>
            <w:tcW w:w="280" w:type="dxa"/>
            <w:vAlign w:val="bottom"/>
          </w:tcPr>
          <w:p>
            <w:pPr>
              <w:jc w:val="right"/>
              <w:spacing w:after="0"/>
              <w:rPr>
                <w:sz w:val="20"/>
                <w:szCs w:val="20"/>
                <w:color w:val="auto"/>
              </w:rPr>
            </w:pPr>
            <w:r>
              <w:rPr>
                <w:rFonts w:ascii="Arial" w:cs="Arial" w:eastAsia="Arial" w:hAnsi="Arial"/>
                <w:sz w:val="11"/>
                <w:szCs w:val="11"/>
                <w:color w:val="auto"/>
              </w:rPr>
              <w:t>89.3</w:t>
            </w: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jc w:val="right"/>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80" w:type="dxa"/>
            <w:vAlign w:val="bottom"/>
          </w:tcPr>
          <w:p>
            <w:pPr>
              <w:jc w:val="right"/>
              <w:spacing w:after="0"/>
              <w:rPr>
                <w:sz w:val="20"/>
                <w:szCs w:val="20"/>
                <w:color w:val="auto"/>
              </w:rPr>
            </w:pPr>
            <w:r>
              <w:rPr>
                <w:rFonts w:ascii="Arial" w:cs="Arial" w:eastAsia="Arial" w:hAnsi="Arial"/>
                <w:sz w:val="11"/>
                <w:szCs w:val="11"/>
                <w:color w:val="auto"/>
              </w:rPr>
              <w:t>—</w:t>
            </w:r>
          </w:p>
        </w:tc>
        <w:tc>
          <w:tcPr>
            <w:tcW w:w="300" w:type="dxa"/>
            <w:vAlign w:val="bottom"/>
          </w:tcPr>
          <w:p>
            <w:pPr>
              <w:spacing w:after="0"/>
              <w:rPr>
                <w:sz w:val="10"/>
                <w:szCs w:val="10"/>
                <w:color w:val="auto"/>
              </w:rPr>
            </w:pPr>
          </w:p>
        </w:tc>
        <w:tc>
          <w:tcPr>
            <w:tcW w:w="280" w:type="dxa"/>
            <w:vAlign w:val="bottom"/>
          </w:tcPr>
          <w:p>
            <w:pPr>
              <w:jc w:val="right"/>
              <w:spacing w:after="0"/>
              <w:rPr>
                <w:sz w:val="20"/>
                <w:szCs w:val="20"/>
                <w:color w:val="auto"/>
              </w:rPr>
            </w:pPr>
            <w:r>
              <w:rPr>
                <w:rFonts w:ascii="Arial" w:cs="Arial" w:eastAsia="Arial" w:hAnsi="Arial"/>
                <w:sz w:val="11"/>
                <w:szCs w:val="11"/>
                <w:color w:val="auto"/>
              </w:rPr>
              <w:t>89.3</w:t>
            </w:r>
          </w:p>
        </w:tc>
        <w:tc>
          <w:tcPr>
            <w:tcW w:w="40" w:type="dxa"/>
            <w:vAlign w:val="bottom"/>
          </w:tcPr>
          <w:p>
            <w:pPr>
              <w:spacing w:after="0"/>
              <w:rPr>
                <w:sz w:val="10"/>
                <w:szCs w:val="10"/>
                <w:color w:val="auto"/>
              </w:rPr>
            </w:pPr>
          </w:p>
        </w:tc>
      </w:tr>
      <w:tr>
        <w:trPr>
          <w:trHeight w:val="126"/>
        </w:trPr>
        <w:tc>
          <w:tcPr>
            <w:tcW w:w="5160" w:type="dxa"/>
            <w:vAlign w:val="bottom"/>
            <w:tcBorders>
              <w:right w:val="single" w:sz="8" w:color="CCEEFF"/>
            </w:tcBorders>
            <w:shd w:val="clear" w:color="auto" w:fill="CCEEFF"/>
          </w:tcPr>
          <w:p>
            <w:pPr>
              <w:ind w:left="220"/>
              <w:spacing w:after="0"/>
              <w:rPr>
                <w:sz w:val="20"/>
                <w:szCs w:val="20"/>
                <w:color w:val="auto"/>
              </w:rPr>
            </w:pPr>
            <w:r>
              <w:rPr>
                <w:rFonts w:ascii="Arial" w:cs="Arial" w:eastAsia="Arial" w:hAnsi="Arial"/>
                <w:sz w:val="11"/>
                <w:szCs w:val="11"/>
                <w:color w:val="auto"/>
              </w:rPr>
              <w:t>Corporate bonds</w:t>
            </w:r>
          </w:p>
        </w:tc>
        <w:tc>
          <w:tcPr>
            <w:tcW w:w="60" w:type="dxa"/>
            <w:vAlign w:val="bottom"/>
            <w:shd w:val="clear" w:color="auto" w:fill="CCEEFF"/>
          </w:tcPr>
          <w:p>
            <w:pPr>
              <w:spacing w:after="0"/>
              <w:rPr>
                <w:sz w:val="10"/>
                <w:szCs w:val="10"/>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62.0</w:t>
            </w:r>
          </w:p>
        </w:tc>
        <w:tc>
          <w:tcPr>
            <w:tcW w:w="2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2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300" w:type="dxa"/>
            <w:vAlign w:val="bottom"/>
            <w:tcBorders>
              <w:right w:val="single" w:sz="8" w:color="CCEEFF"/>
            </w:tcBorders>
            <w:shd w:val="clear" w:color="auto" w:fill="CCEEFF"/>
          </w:tcPr>
          <w:p>
            <w:pPr>
              <w:spacing w:after="0"/>
              <w:rPr>
                <w:sz w:val="10"/>
                <w:szCs w:val="10"/>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62.0</w:t>
            </w:r>
          </w:p>
        </w:tc>
        <w:tc>
          <w:tcPr>
            <w:tcW w:w="40" w:type="dxa"/>
            <w:vAlign w:val="bottom"/>
            <w:shd w:val="clear" w:color="auto" w:fill="CCEEFF"/>
          </w:tcPr>
          <w:p>
            <w:pPr>
              <w:spacing w:after="0"/>
              <w:rPr>
                <w:sz w:val="10"/>
                <w:szCs w:val="10"/>
                <w:color w:val="auto"/>
              </w:rPr>
            </w:pPr>
          </w:p>
        </w:tc>
      </w:tr>
      <w:tr>
        <w:trPr>
          <w:trHeight w:val="126"/>
        </w:trPr>
        <w:tc>
          <w:tcPr>
            <w:tcW w:w="5160" w:type="dxa"/>
            <w:vAlign w:val="bottom"/>
          </w:tcPr>
          <w:p>
            <w:pPr>
              <w:ind w:left="220"/>
              <w:spacing w:after="0"/>
              <w:rPr>
                <w:sz w:val="20"/>
                <w:szCs w:val="20"/>
                <w:color w:val="auto"/>
              </w:rPr>
            </w:pPr>
            <w:r>
              <w:rPr>
                <w:rFonts w:ascii="Arial" w:cs="Arial" w:eastAsia="Arial" w:hAnsi="Arial"/>
                <w:sz w:val="11"/>
                <w:szCs w:val="11"/>
                <w:color w:val="auto"/>
              </w:rPr>
              <w:t>Certificates of deposit</w:t>
            </w:r>
          </w:p>
        </w:tc>
        <w:tc>
          <w:tcPr>
            <w:tcW w:w="60" w:type="dxa"/>
            <w:vAlign w:val="bottom"/>
          </w:tcPr>
          <w:p>
            <w:pPr>
              <w:spacing w:after="0"/>
              <w:rPr>
                <w:sz w:val="10"/>
                <w:szCs w:val="10"/>
                <w:color w:val="auto"/>
              </w:rPr>
            </w:pPr>
          </w:p>
        </w:tc>
        <w:tc>
          <w:tcPr>
            <w:tcW w:w="280" w:type="dxa"/>
            <w:vAlign w:val="bottom"/>
          </w:tcPr>
          <w:p>
            <w:pPr>
              <w:jc w:val="right"/>
              <w:spacing w:after="0"/>
              <w:rPr>
                <w:sz w:val="20"/>
                <w:szCs w:val="20"/>
                <w:color w:val="auto"/>
              </w:rPr>
            </w:pPr>
            <w:r>
              <w:rPr>
                <w:rFonts w:ascii="Arial" w:cs="Arial" w:eastAsia="Arial" w:hAnsi="Arial"/>
                <w:sz w:val="11"/>
                <w:szCs w:val="11"/>
                <w:color w:val="auto"/>
              </w:rPr>
              <w:t>34.8</w:t>
            </w: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jc w:val="right"/>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80" w:type="dxa"/>
            <w:vAlign w:val="bottom"/>
          </w:tcPr>
          <w:p>
            <w:pPr>
              <w:jc w:val="right"/>
              <w:spacing w:after="0"/>
              <w:rPr>
                <w:sz w:val="20"/>
                <w:szCs w:val="20"/>
                <w:color w:val="auto"/>
              </w:rPr>
            </w:pPr>
            <w:r>
              <w:rPr>
                <w:rFonts w:ascii="Arial" w:cs="Arial" w:eastAsia="Arial" w:hAnsi="Arial"/>
                <w:sz w:val="11"/>
                <w:szCs w:val="11"/>
                <w:color w:val="auto"/>
              </w:rPr>
              <w:t>—</w:t>
            </w:r>
          </w:p>
        </w:tc>
        <w:tc>
          <w:tcPr>
            <w:tcW w:w="300" w:type="dxa"/>
            <w:vAlign w:val="bottom"/>
          </w:tcPr>
          <w:p>
            <w:pPr>
              <w:spacing w:after="0"/>
              <w:rPr>
                <w:sz w:val="10"/>
                <w:szCs w:val="10"/>
                <w:color w:val="auto"/>
              </w:rPr>
            </w:pPr>
          </w:p>
        </w:tc>
        <w:tc>
          <w:tcPr>
            <w:tcW w:w="280" w:type="dxa"/>
            <w:vAlign w:val="bottom"/>
          </w:tcPr>
          <w:p>
            <w:pPr>
              <w:jc w:val="right"/>
              <w:spacing w:after="0"/>
              <w:rPr>
                <w:sz w:val="20"/>
                <w:szCs w:val="20"/>
                <w:color w:val="auto"/>
              </w:rPr>
            </w:pPr>
            <w:r>
              <w:rPr>
                <w:rFonts w:ascii="Arial" w:cs="Arial" w:eastAsia="Arial" w:hAnsi="Arial"/>
                <w:sz w:val="11"/>
                <w:szCs w:val="11"/>
                <w:color w:val="auto"/>
              </w:rPr>
              <w:t>34.8</w:t>
            </w:r>
          </w:p>
        </w:tc>
        <w:tc>
          <w:tcPr>
            <w:tcW w:w="40" w:type="dxa"/>
            <w:vAlign w:val="bottom"/>
          </w:tcPr>
          <w:p>
            <w:pPr>
              <w:spacing w:after="0"/>
              <w:rPr>
                <w:sz w:val="10"/>
                <w:szCs w:val="10"/>
                <w:color w:val="auto"/>
              </w:rPr>
            </w:pPr>
          </w:p>
        </w:tc>
      </w:tr>
      <w:tr>
        <w:trPr>
          <w:trHeight w:val="126"/>
        </w:trPr>
        <w:tc>
          <w:tcPr>
            <w:tcW w:w="5160" w:type="dxa"/>
            <w:vAlign w:val="bottom"/>
            <w:tcBorders>
              <w:right w:val="single" w:sz="8" w:color="CCEEFF"/>
            </w:tcBorders>
            <w:shd w:val="clear" w:color="auto" w:fill="CCEEFF"/>
          </w:tcPr>
          <w:p>
            <w:pPr>
              <w:ind w:left="220"/>
              <w:spacing w:after="0"/>
              <w:rPr>
                <w:sz w:val="20"/>
                <w:szCs w:val="20"/>
                <w:color w:val="auto"/>
              </w:rPr>
            </w:pPr>
            <w:r>
              <w:rPr>
                <w:rFonts w:ascii="Arial" w:cs="Arial" w:eastAsia="Arial" w:hAnsi="Arial"/>
                <w:sz w:val="11"/>
                <w:szCs w:val="11"/>
                <w:color w:val="auto"/>
              </w:rPr>
              <w:t>U.S. treasury securities</w:t>
            </w:r>
          </w:p>
        </w:tc>
        <w:tc>
          <w:tcPr>
            <w:tcW w:w="60" w:type="dxa"/>
            <w:vAlign w:val="bottom"/>
            <w:shd w:val="clear" w:color="auto" w:fill="CCEEFF"/>
          </w:tcPr>
          <w:p>
            <w:pPr>
              <w:spacing w:after="0"/>
              <w:rPr>
                <w:sz w:val="10"/>
                <w:szCs w:val="10"/>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29.8</w:t>
            </w:r>
          </w:p>
        </w:tc>
        <w:tc>
          <w:tcPr>
            <w:tcW w:w="2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2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300" w:type="dxa"/>
            <w:vAlign w:val="bottom"/>
            <w:tcBorders>
              <w:right w:val="single" w:sz="8" w:color="CCEEFF"/>
            </w:tcBorders>
            <w:shd w:val="clear" w:color="auto" w:fill="CCEEFF"/>
          </w:tcPr>
          <w:p>
            <w:pPr>
              <w:spacing w:after="0"/>
              <w:rPr>
                <w:sz w:val="10"/>
                <w:szCs w:val="10"/>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29.8</w:t>
            </w:r>
          </w:p>
        </w:tc>
        <w:tc>
          <w:tcPr>
            <w:tcW w:w="40" w:type="dxa"/>
            <w:vAlign w:val="bottom"/>
            <w:shd w:val="clear" w:color="auto" w:fill="CCEEFF"/>
          </w:tcPr>
          <w:p>
            <w:pPr>
              <w:spacing w:after="0"/>
              <w:rPr>
                <w:sz w:val="10"/>
                <w:szCs w:val="10"/>
                <w:color w:val="auto"/>
              </w:rPr>
            </w:pPr>
          </w:p>
        </w:tc>
      </w:tr>
      <w:tr>
        <w:trPr>
          <w:trHeight w:val="126"/>
        </w:trPr>
        <w:tc>
          <w:tcPr>
            <w:tcW w:w="5160" w:type="dxa"/>
            <w:vAlign w:val="bottom"/>
          </w:tcPr>
          <w:p>
            <w:pPr>
              <w:spacing w:after="0"/>
              <w:rPr>
                <w:sz w:val="20"/>
                <w:szCs w:val="20"/>
                <w:color w:val="auto"/>
              </w:rPr>
            </w:pPr>
            <w:r>
              <w:rPr>
                <w:rFonts w:ascii="Arial" w:cs="Arial" w:eastAsia="Arial" w:hAnsi="Arial"/>
                <w:sz w:val="11"/>
                <w:szCs w:val="11"/>
                <w:color w:val="auto"/>
              </w:rPr>
              <w:t>Other:</w:t>
            </w:r>
          </w:p>
        </w:tc>
        <w:tc>
          <w:tcPr>
            <w:tcW w:w="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0" w:type="dxa"/>
            <w:vAlign w:val="bottom"/>
          </w:tcPr>
          <w:p>
            <w:pPr>
              <w:spacing w:after="0"/>
              <w:rPr>
                <w:sz w:val="10"/>
                <w:szCs w:val="10"/>
                <w:color w:val="auto"/>
              </w:rPr>
            </w:pPr>
          </w:p>
        </w:tc>
      </w:tr>
      <w:tr>
        <w:trPr>
          <w:trHeight w:val="126"/>
        </w:trPr>
        <w:tc>
          <w:tcPr>
            <w:tcW w:w="5160" w:type="dxa"/>
            <w:vAlign w:val="bottom"/>
            <w:tcBorders>
              <w:right w:val="single" w:sz="8" w:color="CCEEFF"/>
            </w:tcBorders>
            <w:shd w:val="clear" w:color="auto" w:fill="CCEEFF"/>
          </w:tcPr>
          <w:p>
            <w:pPr>
              <w:ind w:left="220"/>
              <w:spacing w:after="0"/>
              <w:rPr>
                <w:sz w:val="20"/>
                <w:szCs w:val="20"/>
                <w:color w:val="auto"/>
              </w:rPr>
            </w:pPr>
            <w:r>
              <w:rPr>
                <w:rFonts w:ascii="Arial" w:cs="Arial" w:eastAsia="Arial" w:hAnsi="Arial"/>
                <w:sz w:val="11"/>
                <w:szCs w:val="11"/>
                <w:color w:val="auto"/>
              </w:rPr>
              <w:t>Cost-method investments</w:t>
            </w:r>
          </w:p>
        </w:tc>
        <w:tc>
          <w:tcPr>
            <w:tcW w:w="60" w:type="dxa"/>
            <w:vAlign w:val="bottom"/>
            <w:tcBorders>
              <w:bottom w:val="single" w:sz="8" w:color="auto"/>
            </w:tcBorders>
            <w:shd w:val="clear" w:color="auto" w:fill="CCEEFF"/>
          </w:tcPr>
          <w:p>
            <w:pPr>
              <w:spacing w:after="0"/>
              <w:rPr>
                <w:sz w:val="10"/>
                <w:szCs w:val="10"/>
                <w:color w:val="auto"/>
              </w:rPr>
            </w:pP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260" w:type="dxa"/>
            <w:vAlign w:val="bottom"/>
            <w:shd w:val="clear" w:color="auto" w:fill="CCEEFF"/>
          </w:tcPr>
          <w:p>
            <w:pPr>
              <w:spacing w:after="0"/>
              <w:rPr>
                <w:sz w:val="10"/>
                <w:szCs w:val="10"/>
                <w:color w:val="auto"/>
              </w:rPr>
            </w:pPr>
          </w:p>
        </w:tc>
        <w:tc>
          <w:tcPr>
            <w:tcW w:w="100" w:type="dxa"/>
            <w:vAlign w:val="bottom"/>
            <w:tcBorders>
              <w:bottom w:val="single" w:sz="8" w:color="auto"/>
            </w:tcBorders>
            <w:shd w:val="clear" w:color="auto" w:fill="CCEEFF"/>
          </w:tcPr>
          <w:p>
            <w:pPr>
              <w:spacing w:after="0"/>
              <w:rPr>
                <w:sz w:val="10"/>
                <w:szCs w:val="10"/>
                <w:color w:val="auto"/>
              </w:rPr>
            </w:pP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240" w:type="dxa"/>
            <w:vAlign w:val="bottom"/>
            <w:shd w:val="clear" w:color="auto" w:fill="CCEEFF"/>
          </w:tcPr>
          <w:p>
            <w:pPr>
              <w:spacing w:after="0"/>
              <w:rPr>
                <w:sz w:val="10"/>
                <w:szCs w:val="10"/>
                <w:color w:val="auto"/>
              </w:rPr>
            </w:pPr>
          </w:p>
        </w:tc>
        <w:tc>
          <w:tcPr>
            <w:tcW w:w="200" w:type="dxa"/>
            <w:vAlign w:val="bottom"/>
            <w:tcBorders>
              <w:bottom w:val="single" w:sz="8" w:color="auto"/>
            </w:tcBorders>
            <w:shd w:val="clear" w:color="auto" w:fill="CCEEFF"/>
          </w:tcPr>
          <w:p>
            <w:pPr>
              <w:spacing w:after="0"/>
              <w:rPr>
                <w:sz w:val="10"/>
                <w:szCs w:val="1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1"/>
              </w:rPr>
              <w:t>0.6</w:t>
            </w:r>
          </w:p>
        </w:tc>
        <w:tc>
          <w:tcPr>
            <w:tcW w:w="300" w:type="dxa"/>
            <w:vAlign w:val="bottom"/>
            <w:tcBorders>
              <w:right w:val="single" w:sz="8" w:color="CCEEFF"/>
            </w:tcBorders>
            <w:shd w:val="clear" w:color="auto" w:fill="CCEEFF"/>
          </w:tcPr>
          <w:p>
            <w:pPr>
              <w:spacing w:after="0"/>
              <w:rPr>
                <w:sz w:val="10"/>
                <w:szCs w:val="10"/>
                <w:color w:val="auto"/>
              </w:rPr>
            </w:pP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0.6</w:t>
            </w:r>
          </w:p>
        </w:tc>
        <w:tc>
          <w:tcPr>
            <w:tcW w:w="40" w:type="dxa"/>
            <w:vAlign w:val="bottom"/>
            <w:shd w:val="clear" w:color="auto" w:fill="CCEEFF"/>
          </w:tcPr>
          <w:p>
            <w:pPr>
              <w:spacing w:after="0"/>
              <w:rPr>
                <w:sz w:val="10"/>
                <w:szCs w:val="10"/>
                <w:color w:val="auto"/>
              </w:rPr>
            </w:pPr>
          </w:p>
        </w:tc>
      </w:tr>
      <w:tr>
        <w:trPr>
          <w:trHeight w:val="124"/>
        </w:trPr>
        <w:tc>
          <w:tcPr>
            <w:tcW w:w="5160" w:type="dxa"/>
            <w:vAlign w:val="bottom"/>
          </w:tcPr>
          <w:p>
            <w:pPr>
              <w:ind w:left="440"/>
              <w:spacing w:after="0" w:line="124" w:lineRule="exact"/>
              <w:rPr>
                <w:sz w:val="20"/>
                <w:szCs w:val="20"/>
                <w:color w:val="auto"/>
              </w:rPr>
            </w:pPr>
            <w:r>
              <w:rPr>
                <w:rFonts w:ascii="Arial" w:cs="Arial" w:eastAsia="Arial" w:hAnsi="Arial"/>
                <w:sz w:val="11"/>
                <w:szCs w:val="11"/>
                <w:color w:val="auto"/>
              </w:rPr>
              <w:t>Total assets</w:t>
            </w:r>
          </w:p>
        </w:tc>
        <w:tc>
          <w:tcPr>
            <w:tcW w:w="60" w:type="dxa"/>
            <w:vAlign w:val="bottom"/>
          </w:tcPr>
          <w:p>
            <w:pPr>
              <w:spacing w:after="0"/>
              <w:rPr>
                <w:sz w:val="20"/>
                <w:szCs w:val="20"/>
                <w:color w:val="auto"/>
              </w:rPr>
            </w:pPr>
            <w:r>
              <w:rPr>
                <w:rFonts w:ascii="Arial" w:cs="Arial" w:eastAsia="Arial" w:hAnsi="Arial"/>
                <w:sz w:val="10"/>
                <w:szCs w:val="10"/>
                <w:color w:val="auto"/>
                <w:w w:val="71"/>
              </w:rPr>
              <w:t>$</w:t>
            </w:r>
          </w:p>
        </w:tc>
        <w:tc>
          <w:tcPr>
            <w:tcW w:w="280" w:type="dxa"/>
            <w:vAlign w:val="bottom"/>
          </w:tcPr>
          <w:p>
            <w:pPr>
              <w:jc w:val="right"/>
              <w:spacing w:after="0" w:line="124" w:lineRule="exact"/>
              <w:rPr>
                <w:sz w:val="20"/>
                <w:szCs w:val="20"/>
                <w:color w:val="auto"/>
              </w:rPr>
            </w:pPr>
            <w:r>
              <w:rPr>
                <w:rFonts w:ascii="Arial" w:cs="Arial" w:eastAsia="Arial" w:hAnsi="Arial"/>
                <w:sz w:val="11"/>
                <w:szCs w:val="11"/>
                <w:color w:val="auto"/>
                <w:w w:val="94"/>
              </w:rPr>
              <w:t>224.3</w:t>
            </w:r>
          </w:p>
        </w:tc>
        <w:tc>
          <w:tcPr>
            <w:tcW w:w="360" w:type="dxa"/>
            <w:vAlign w:val="bottom"/>
            <w:gridSpan w:val="2"/>
          </w:tcPr>
          <w:p>
            <w:pPr>
              <w:jc w:val="right"/>
              <w:ind w:right="60"/>
              <w:spacing w:after="0" w:line="124" w:lineRule="exact"/>
              <w:rPr>
                <w:sz w:val="20"/>
                <w:szCs w:val="20"/>
                <w:color w:val="auto"/>
              </w:rPr>
            </w:pPr>
            <w:r>
              <w:rPr>
                <w:rFonts w:ascii="Arial" w:cs="Arial" w:eastAsia="Arial" w:hAnsi="Arial"/>
                <w:sz w:val="11"/>
                <w:szCs w:val="11"/>
                <w:color w:val="auto"/>
              </w:rPr>
              <w:t>$</w:t>
            </w:r>
          </w:p>
        </w:tc>
        <w:tc>
          <w:tcPr>
            <w:tcW w:w="260" w:type="dxa"/>
            <w:vAlign w:val="bottom"/>
          </w:tcPr>
          <w:p>
            <w:pPr>
              <w:jc w:val="right"/>
              <w:spacing w:after="0" w:line="124" w:lineRule="exact"/>
              <w:rPr>
                <w:sz w:val="20"/>
                <w:szCs w:val="20"/>
                <w:color w:val="auto"/>
              </w:rPr>
            </w:pPr>
            <w:r>
              <w:rPr>
                <w:rFonts w:ascii="Arial" w:cs="Arial" w:eastAsia="Arial" w:hAnsi="Arial"/>
                <w:sz w:val="11"/>
                <w:szCs w:val="11"/>
                <w:color w:val="auto"/>
              </w:rPr>
              <w:t>—</w:t>
            </w:r>
          </w:p>
        </w:tc>
        <w:tc>
          <w:tcPr>
            <w:tcW w:w="440" w:type="dxa"/>
            <w:vAlign w:val="bottom"/>
            <w:gridSpan w:val="2"/>
          </w:tcPr>
          <w:p>
            <w:pPr>
              <w:ind w:left="240"/>
              <w:spacing w:after="0" w:line="124" w:lineRule="exact"/>
              <w:rPr>
                <w:sz w:val="20"/>
                <w:szCs w:val="20"/>
                <w:color w:val="auto"/>
              </w:rPr>
            </w:pPr>
            <w:r>
              <w:rPr>
                <w:rFonts w:ascii="Arial" w:cs="Arial" w:eastAsia="Arial" w:hAnsi="Arial"/>
                <w:sz w:val="11"/>
                <w:szCs w:val="11"/>
                <w:color w:val="auto"/>
              </w:rPr>
              <w:t>$</w:t>
            </w:r>
          </w:p>
        </w:tc>
        <w:tc>
          <w:tcPr>
            <w:tcW w:w="180" w:type="dxa"/>
            <w:vAlign w:val="bottom"/>
          </w:tcPr>
          <w:p>
            <w:pPr>
              <w:jc w:val="right"/>
              <w:spacing w:after="0" w:line="124" w:lineRule="exact"/>
              <w:rPr>
                <w:sz w:val="20"/>
                <w:szCs w:val="20"/>
                <w:color w:val="auto"/>
              </w:rPr>
            </w:pPr>
            <w:r>
              <w:rPr>
                <w:rFonts w:ascii="Arial" w:cs="Arial" w:eastAsia="Arial" w:hAnsi="Arial"/>
                <w:sz w:val="11"/>
                <w:szCs w:val="11"/>
                <w:color w:val="auto"/>
                <w:w w:val="91"/>
              </w:rPr>
              <w:t>0.6</w:t>
            </w:r>
          </w:p>
        </w:tc>
        <w:tc>
          <w:tcPr>
            <w:tcW w:w="300" w:type="dxa"/>
            <w:vAlign w:val="bottom"/>
          </w:tcPr>
          <w:p>
            <w:pPr>
              <w:jc w:val="right"/>
              <w:spacing w:after="0" w:line="124" w:lineRule="exact"/>
              <w:rPr>
                <w:sz w:val="20"/>
                <w:szCs w:val="20"/>
                <w:color w:val="auto"/>
              </w:rPr>
            </w:pPr>
            <w:r>
              <w:rPr>
                <w:rFonts w:ascii="Arial" w:cs="Arial" w:eastAsia="Arial" w:hAnsi="Arial"/>
                <w:sz w:val="11"/>
                <w:szCs w:val="11"/>
                <w:u w:val="single" w:color="auto"/>
                <w:color w:val="auto"/>
              </w:rPr>
              <w:t>$</w:t>
            </w:r>
          </w:p>
        </w:tc>
        <w:tc>
          <w:tcPr>
            <w:tcW w:w="280" w:type="dxa"/>
            <w:vAlign w:val="bottom"/>
          </w:tcPr>
          <w:p>
            <w:pPr>
              <w:jc w:val="right"/>
              <w:spacing w:after="0" w:line="124" w:lineRule="exact"/>
              <w:rPr>
                <w:sz w:val="20"/>
                <w:szCs w:val="20"/>
                <w:color w:val="auto"/>
              </w:rPr>
            </w:pPr>
            <w:r>
              <w:rPr>
                <w:rFonts w:ascii="Arial" w:cs="Arial" w:eastAsia="Arial" w:hAnsi="Arial"/>
                <w:sz w:val="11"/>
                <w:szCs w:val="11"/>
                <w:color w:val="auto"/>
                <w:w w:val="94"/>
              </w:rPr>
              <w:t>224.9</w:t>
            </w:r>
          </w:p>
        </w:tc>
        <w:tc>
          <w:tcPr>
            <w:tcW w:w="40" w:type="dxa"/>
            <w:vAlign w:val="bottom"/>
          </w:tcPr>
          <w:p>
            <w:pPr>
              <w:spacing w:after="0"/>
              <w:rPr>
                <w:sz w:val="10"/>
                <w:szCs w:val="10"/>
                <w:color w:val="auto"/>
              </w:rPr>
            </w:pPr>
          </w:p>
        </w:tc>
      </w:tr>
      <w:tr>
        <w:trPr>
          <w:trHeight w:val="27"/>
        </w:trPr>
        <w:tc>
          <w:tcPr>
            <w:tcW w:w="5160" w:type="dxa"/>
            <w:vAlign w:val="bottom"/>
            <w:tcBorders>
              <w:right w:val="single" w:sz="8" w:color="auto"/>
            </w:tcBorders>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300" w:type="dxa"/>
            <w:vAlign w:val="bottom"/>
            <w:tcBorders>
              <w:right w:val="single" w:sz="8" w:color="auto"/>
            </w:tcBorders>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1310640</wp:posOffset>
            </wp:positionH>
            <wp:positionV relativeFrom="paragraph">
              <wp:posOffset>62865</wp:posOffset>
            </wp:positionV>
            <wp:extent cx="509270" cy="571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509270" cy="5715"/>
                    </a:xfrm>
                    <a:prstGeom prst="rect">
                      <a:avLst/>
                    </a:prstGeom>
                    <a:noFill/>
                  </pic:spPr>
                </pic:pic>
              </a:graphicData>
            </a:graphic>
          </wp:anchor>
        </w:drawing>
      </w:r>
    </w:p>
    <w:p>
      <w:pPr>
        <w:spacing w:after="0" w:line="111" w:lineRule="exact"/>
        <w:rPr>
          <w:sz w:val="20"/>
          <w:szCs w:val="20"/>
          <w:color w:val="auto"/>
        </w:rPr>
      </w:pPr>
    </w:p>
    <w:p>
      <w:pPr>
        <w:ind w:left="2280" w:hanging="221"/>
        <w:spacing w:after="0"/>
        <w:tabs>
          <w:tab w:leader="none" w:pos="2280" w:val="left"/>
        </w:tabs>
        <w:numPr>
          <w:ilvl w:val="0"/>
          <w:numId w:val="114"/>
        </w:numPr>
        <w:rPr>
          <w:rFonts w:ascii="Arial" w:cs="Arial" w:eastAsia="Arial" w:hAnsi="Arial"/>
          <w:sz w:val="8"/>
          <w:szCs w:val="8"/>
          <w:color w:val="auto"/>
        </w:rPr>
      </w:pPr>
      <w:r>
        <w:rPr>
          <w:rFonts w:ascii="Arial" w:cs="Arial" w:eastAsia="Arial" w:hAnsi="Arial"/>
          <w:sz w:val="8"/>
          <w:szCs w:val="8"/>
          <w:color w:val="auto"/>
        </w:rPr>
        <w:t>Included in cash and cash equivalents.</w:t>
      </w:r>
    </w:p>
    <w:p>
      <w:pPr>
        <w:spacing w:after="0" w:line="75" w:lineRule="exact"/>
        <w:rPr>
          <w:sz w:val="20"/>
          <w:szCs w:val="20"/>
          <w:color w:val="auto"/>
        </w:rPr>
      </w:pPr>
    </w:p>
    <w:p>
      <w:pPr>
        <w:jc w:val="both"/>
        <w:ind w:left="2060" w:right="839"/>
        <w:spacing w:after="0" w:line="242" w:lineRule="auto"/>
        <w:rPr>
          <w:sz w:val="20"/>
          <w:szCs w:val="20"/>
          <w:color w:val="auto"/>
        </w:rPr>
      </w:pPr>
      <w:r>
        <w:rPr>
          <w:rFonts w:ascii="Arial" w:cs="Arial" w:eastAsia="Arial" w:hAnsi="Arial"/>
          <w:sz w:val="11"/>
          <w:szCs w:val="11"/>
          <w:color w:val="auto"/>
        </w:rPr>
        <w:t>Cash equivalents are highly liquid investments with maturities of three months or less when purchased. These investments are carried at cost, which approximates fair value. All investments classified as available-for-sale are recorded at fair value within marketable securities in the consolidated balance sheets. The Company’s investments classified as Level 1 are based on quoted prices that are available in active markets.</w:t>
      </w:r>
    </w:p>
    <w:p>
      <w:pPr>
        <w:spacing w:after="0" w:line="95" w:lineRule="exact"/>
        <w:rPr>
          <w:sz w:val="20"/>
          <w:szCs w:val="20"/>
          <w:color w:val="auto"/>
        </w:rPr>
      </w:pPr>
    </w:p>
    <w:p>
      <w:pPr>
        <w:ind w:left="5620"/>
        <w:spacing w:after="0"/>
        <w:rPr>
          <w:sz w:val="20"/>
          <w:szCs w:val="20"/>
          <w:color w:val="auto"/>
        </w:rPr>
      </w:pPr>
      <w:r>
        <w:rPr>
          <w:rFonts w:ascii="Arial" w:cs="Arial" w:eastAsia="Arial" w:hAnsi="Arial"/>
          <w:sz w:val="11"/>
          <w:szCs w:val="11"/>
          <w:color w:val="auto"/>
        </w:rPr>
        <w:t>F-18</w:t>
      </w:r>
    </w:p>
    <w:p>
      <w:pPr>
        <w:sectPr>
          <w:pgSz w:w="11900" w:h="16838" w:orient="portrait"/>
          <w:cols w:equalWidth="0" w:num="1">
            <w:col w:w="10239"/>
          </w:cols>
          <w:pgMar w:left="220" w:top="355" w:right="1440" w:bottom="1440" w:gutter="0" w:footer="0" w:header="0"/>
          <w:type w:val="continuous"/>
        </w:sectPr>
      </w:pPr>
    </w:p>
    <w:bookmarkStart w:id="182" w:name="page183"/>
    <w:bookmarkEnd w:id="182"/>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hyperlink w:anchor="page5">
        <w:r>
          <w:rPr>
            <w:rFonts w:ascii="Arial" w:cs="Arial" w:eastAsia="Arial" w:hAnsi="Arial"/>
            <w:sz w:val="12"/>
            <w:szCs w:val="12"/>
            <w:b w:val="1"/>
            <w:bCs w:val="1"/>
            <w:u w:val="single" w:color="auto"/>
            <w:color w:val="0000EE"/>
          </w:rPr>
          <w:t>Table of Contents</w:t>
        </w:r>
      </w:hyperlink>
    </w:p>
    <w:p>
      <w:pPr>
        <w:spacing w:after="0" w:line="200" w:lineRule="exact"/>
        <w:rPr>
          <w:sz w:val="20"/>
          <w:szCs w:val="20"/>
          <w:color w:val="auto"/>
        </w:rPr>
      </w:pPr>
    </w:p>
    <w:p>
      <w:pPr>
        <w:jc w:val="center"/>
        <w:ind w:right="-1220"/>
        <w:spacing w:after="0"/>
        <w:rPr>
          <w:sz w:val="20"/>
          <w:szCs w:val="20"/>
          <w:color w:val="auto"/>
        </w:rPr>
      </w:pPr>
      <w:r>
        <w:rPr>
          <w:rFonts w:ascii="Arial" w:cs="Arial" w:eastAsia="Arial" w:hAnsi="Arial"/>
          <w:sz w:val="12"/>
          <w:szCs w:val="12"/>
          <w:b w:val="1"/>
          <w:bCs w:val="1"/>
          <w:color w:val="auto"/>
        </w:rPr>
        <w:t>PELOTON INTERACTIVE, INC.</w:t>
      </w:r>
    </w:p>
    <w:p>
      <w:pPr>
        <w:spacing w:after="0" w:line="11" w:lineRule="exact"/>
        <w:rPr>
          <w:sz w:val="20"/>
          <w:szCs w:val="20"/>
          <w:color w:val="auto"/>
        </w:rPr>
      </w:pPr>
    </w:p>
    <w:p>
      <w:pPr>
        <w:jc w:val="center"/>
        <w:ind w:right="-1220"/>
        <w:spacing w:after="0"/>
        <w:rPr>
          <w:sz w:val="20"/>
          <w:szCs w:val="20"/>
          <w:color w:val="auto"/>
        </w:rPr>
      </w:pPr>
      <w:r>
        <w:rPr>
          <w:rFonts w:ascii="Arial" w:cs="Arial" w:eastAsia="Arial" w:hAnsi="Arial"/>
          <w:sz w:val="12"/>
          <w:szCs w:val="12"/>
          <w:b w:val="1"/>
          <w:bCs w:val="1"/>
          <w:color w:val="auto"/>
        </w:rPr>
        <w:t>NOTES TO CONSOLIDATED FINANCIAL STATEMENTS</w:t>
      </w:r>
    </w:p>
    <w:p>
      <w:pPr>
        <w:spacing w:after="0" w:line="68" w:lineRule="exact"/>
        <w:rPr>
          <w:sz w:val="20"/>
          <w:szCs w:val="20"/>
          <w:color w:val="auto"/>
        </w:rPr>
      </w:pPr>
    </w:p>
    <w:p>
      <w:pPr>
        <w:ind w:left="2060"/>
        <w:spacing w:after="0"/>
        <w:rPr>
          <w:sz w:val="20"/>
          <w:szCs w:val="20"/>
          <w:color w:val="auto"/>
        </w:rPr>
      </w:pPr>
      <w:r>
        <w:rPr>
          <w:rFonts w:ascii="Arial" w:cs="Arial" w:eastAsia="Arial" w:hAnsi="Arial"/>
          <w:sz w:val="11"/>
          <w:szCs w:val="11"/>
          <w:b w:val="1"/>
          <w:bCs w:val="1"/>
          <w:color w:val="auto"/>
        </w:rPr>
        <w:t>6. Acquisition</w:t>
      </w:r>
    </w:p>
    <w:p>
      <w:pPr>
        <w:spacing w:after="0" w:line="72" w:lineRule="exact"/>
        <w:rPr>
          <w:sz w:val="20"/>
          <w:szCs w:val="20"/>
          <w:color w:val="auto"/>
        </w:rPr>
      </w:pPr>
    </w:p>
    <w:p>
      <w:pPr>
        <w:ind w:left="2060"/>
        <w:spacing w:after="0"/>
        <w:rPr>
          <w:sz w:val="20"/>
          <w:szCs w:val="20"/>
          <w:color w:val="auto"/>
        </w:rPr>
      </w:pPr>
      <w:r>
        <w:rPr>
          <w:rFonts w:ascii="Arial" w:cs="Arial" w:eastAsia="Arial" w:hAnsi="Arial"/>
          <w:sz w:val="11"/>
          <w:szCs w:val="11"/>
          <w:b w:val="1"/>
          <w:bCs w:val="1"/>
          <w:i w:val="1"/>
          <w:iCs w:val="1"/>
          <w:color w:val="auto"/>
        </w:rPr>
        <w:t>Neurotic Media Acquisition</w:t>
      </w:r>
    </w:p>
    <w:p>
      <w:pPr>
        <w:spacing w:after="0" w:line="84" w:lineRule="exact"/>
        <w:rPr>
          <w:sz w:val="20"/>
          <w:szCs w:val="20"/>
          <w:color w:val="auto"/>
        </w:rPr>
      </w:pPr>
    </w:p>
    <w:p>
      <w:pPr>
        <w:jc w:val="both"/>
        <w:ind w:left="2060" w:right="839"/>
        <w:spacing w:after="0" w:line="269" w:lineRule="auto"/>
        <w:rPr>
          <w:sz w:val="20"/>
          <w:szCs w:val="20"/>
          <w:color w:val="auto"/>
        </w:rPr>
      </w:pPr>
      <w:r>
        <w:rPr>
          <w:rFonts w:ascii="Arial" w:cs="Arial" w:eastAsia="Arial" w:hAnsi="Arial"/>
          <w:sz w:val="10"/>
          <w:szCs w:val="10"/>
          <w:color w:val="auto"/>
        </w:rPr>
        <w:t>On June 6, 2018, the Company acquired Neurotic Media, LLC (“Neurotic”), a Georgia limited liability company, for a purchase price of approximately $28.8 million net of cash acquired, which was paid in cash. Upon completion of the merger agreement, Neurotic became a wholly owned subsidiary of the Company. The Company acquired Neurotic primarily to automate and streamline content rights management on its platform, and to enhance Member engagement through new music features. The acquisition was accounted for under the acquisition method. Of the total purchase consideration, $4.3 million has been recorded to goodwill, $24.8 million to acquired developed technology, and $0.1 million to tangible net assets. Included within the purchase price and goodwill is $0.1 million in working capital adjustments identified during the measurement period subsequent to the acquisition.</w:t>
      </w:r>
    </w:p>
    <w:p>
      <w:pPr>
        <w:spacing w:after="0" w:line="127" w:lineRule="exact"/>
        <w:rPr>
          <w:sz w:val="20"/>
          <w:szCs w:val="20"/>
          <w:color w:val="auto"/>
        </w:rPr>
      </w:pPr>
    </w:p>
    <w:p>
      <w:pPr>
        <w:jc w:val="both"/>
        <w:ind w:left="2060" w:right="839"/>
        <w:spacing w:after="0" w:line="242" w:lineRule="auto"/>
        <w:rPr>
          <w:sz w:val="20"/>
          <w:szCs w:val="20"/>
          <w:color w:val="auto"/>
        </w:rPr>
      </w:pPr>
      <w:r>
        <w:rPr>
          <w:rFonts w:ascii="Arial" w:cs="Arial" w:eastAsia="Arial" w:hAnsi="Arial"/>
          <w:sz w:val="11"/>
          <w:szCs w:val="11"/>
          <w:color w:val="auto"/>
        </w:rPr>
        <w:t>The goodwill of $4.3 million represents the future economic benefits expected to arise from other intangible assets acquired that do not qualify for separate recognition, including an experienced workforce and expected future synergies. The Company allocated the goodwill to its Subscription reporting segment.</w:t>
      </w:r>
    </w:p>
    <w:p>
      <w:pPr>
        <w:spacing w:after="0" w:line="140" w:lineRule="exact"/>
        <w:rPr>
          <w:sz w:val="20"/>
          <w:szCs w:val="20"/>
          <w:color w:val="auto"/>
        </w:rPr>
      </w:pPr>
    </w:p>
    <w:p>
      <w:pPr>
        <w:jc w:val="both"/>
        <w:ind w:left="2060" w:right="839"/>
        <w:spacing w:after="0" w:line="242" w:lineRule="auto"/>
        <w:rPr>
          <w:sz w:val="20"/>
          <w:szCs w:val="20"/>
          <w:color w:val="auto"/>
        </w:rPr>
      </w:pPr>
      <w:r>
        <w:rPr>
          <w:rFonts w:ascii="Arial" w:cs="Arial" w:eastAsia="Arial" w:hAnsi="Arial"/>
          <w:sz w:val="11"/>
          <w:szCs w:val="11"/>
          <w:color w:val="auto"/>
        </w:rPr>
        <w:t>The results of operations for the acquisition have been included in the consolidated statements of operations since the acquisition date. Actual and pro forma revenue and results of operations for the acquisition have not been presented because they do not have a material impact to the Company’s consolidated revenue and results of operations, either individually or in aggregate.</w:t>
      </w:r>
    </w:p>
    <w:p>
      <w:pPr>
        <w:spacing w:after="0" w:line="200" w:lineRule="exact"/>
        <w:rPr>
          <w:sz w:val="20"/>
          <w:szCs w:val="20"/>
          <w:color w:val="auto"/>
        </w:rPr>
      </w:pPr>
    </w:p>
    <w:p>
      <w:pPr>
        <w:ind w:left="2060"/>
        <w:spacing w:after="0"/>
        <w:rPr>
          <w:sz w:val="20"/>
          <w:szCs w:val="20"/>
          <w:color w:val="auto"/>
        </w:rPr>
      </w:pPr>
      <w:r>
        <w:rPr>
          <w:rFonts w:ascii="Arial" w:cs="Arial" w:eastAsia="Arial" w:hAnsi="Arial"/>
          <w:sz w:val="11"/>
          <w:szCs w:val="11"/>
          <w:b w:val="1"/>
          <w:bCs w:val="1"/>
          <w:color w:val="auto"/>
        </w:rPr>
        <w:t>7. Property and Equipment</w:t>
      </w:r>
    </w:p>
    <w:p>
      <w:pPr>
        <w:spacing w:after="0" w:line="84" w:lineRule="exact"/>
        <w:rPr>
          <w:sz w:val="20"/>
          <w:szCs w:val="20"/>
          <w:color w:val="auto"/>
        </w:rPr>
      </w:pPr>
    </w:p>
    <w:p>
      <w:pPr>
        <w:ind w:left="2060"/>
        <w:spacing w:after="0"/>
        <w:rPr>
          <w:sz w:val="20"/>
          <w:szCs w:val="20"/>
          <w:color w:val="auto"/>
        </w:rPr>
      </w:pPr>
      <w:r>
        <w:rPr>
          <w:rFonts w:ascii="Arial" w:cs="Arial" w:eastAsia="Arial" w:hAnsi="Arial"/>
          <w:sz w:val="11"/>
          <w:szCs w:val="11"/>
          <w:color w:val="auto"/>
        </w:rPr>
        <w:t>Property and equipment consisted of the following:</w:t>
      </w:r>
    </w:p>
    <w:p>
      <w:pPr>
        <w:spacing w:after="0" w:line="150" w:lineRule="exact"/>
        <w:rPr>
          <w:sz w:val="20"/>
          <w:szCs w:val="20"/>
          <w:color w:val="auto"/>
        </w:rPr>
      </w:pPr>
    </w:p>
    <w:tbl>
      <w:tblPr>
        <w:tblLayout w:type="fixed"/>
        <w:tblInd w:w="2060" w:type="dxa"/>
        <w:tblCellMar>
          <w:top w:w="0" w:type="dxa"/>
          <w:left w:w="0" w:type="dxa"/>
          <w:bottom w:w="0" w:type="dxa"/>
          <w:right w:w="0" w:type="dxa"/>
        </w:tblCellMar>
      </w:tblPr>
      <w:tr>
        <w:trPr>
          <w:trHeight w:val="137"/>
        </w:trPr>
        <w:tc>
          <w:tcPr>
            <w:tcW w:w="3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1"/>
                <w:szCs w:val="11"/>
                <w:b w:val="1"/>
                <w:bCs w:val="1"/>
                <w:color w:val="auto"/>
              </w:rPr>
              <w:t>June 30,</w:t>
            </w:r>
          </w:p>
        </w:tc>
        <w:tc>
          <w:tcPr>
            <w:tcW w:w="40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r>
      <w:tr>
        <w:trPr>
          <w:trHeight w:val="115"/>
        </w:trPr>
        <w:tc>
          <w:tcPr>
            <w:tcW w:w="35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jc w:val="right"/>
              <w:ind w:right="66"/>
              <w:spacing w:after="0" w:line="115" w:lineRule="exact"/>
              <w:rPr>
                <w:sz w:val="20"/>
                <w:szCs w:val="20"/>
                <w:color w:val="auto"/>
              </w:rPr>
            </w:pPr>
            <w:r>
              <w:rPr>
                <w:rFonts w:ascii="Arial" w:cs="Arial" w:eastAsia="Arial" w:hAnsi="Arial"/>
                <w:sz w:val="11"/>
                <w:szCs w:val="11"/>
                <w:b w:val="1"/>
                <w:bCs w:val="1"/>
                <w:color w:val="auto"/>
              </w:rPr>
              <w:t>2018</w:t>
            </w:r>
          </w:p>
        </w:tc>
        <w:tc>
          <w:tcPr>
            <w:tcW w:w="16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jc w:val="right"/>
              <w:ind w:right="66"/>
              <w:spacing w:after="0" w:line="115" w:lineRule="exact"/>
              <w:rPr>
                <w:sz w:val="20"/>
                <w:szCs w:val="20"/>
                <w:color w:val="auto"/>
              </w:rPr>
            </w:pPr>
            <w:r>
              <w:rPr>
                <w:rFonts w:ascii="Arial" w:cs="Arial" w:eastAsia="Arial" w:hAnsi="Arial"/>
                <w:sz w:val="11"/>
                <w:szCs w:val="11"/>
                <w:b w:val="1"/>
                <w:bCs w:val="1"/>
                <w:color w:val="auto"/>
              </w:rPr>
              <w:t>2019</w:t>
            </w:r>
          </w:p>
        </w:tc>
        <w:tc>
          <w:tcPr>
            <w:tcW w:w="80" w:type="dxa"/>
            <w:vAlign w:val="bottom"/>
          </w:tcPr>
          <w:p>
            <w:pPr>
              <w:spacing w:after="0"/>
              <w:rPr>
                <w:sz w:val="10"/>
                <w:szCs w:val="10"/>
                <w:color w:val="auto"/>
              </w:rPr>
            </w:pPr>
          </w:p>
        </w:tc>
      </w:tr>
      <w:tr>
        <w:trPr>
          <w:trHeight w:val="115"/>
        </w:trPr>
        <w:tc>
          <w:tcPr>
            <w:tcW w:w="35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80" w:type="dxa"/>
            <w:vAlign w:val="bottom"/>
            <w:gridSpan w:val="5"/>
          </w:tcPr>
          <w:p>
            <w:pPr>
              <w:jc w:val="right"/>
              <w:ind w:right="286"/>
              <w:spacing w:after="0" w:line="115" w:lineRule="exact"/>
              <w:rPr>
                <w:sz w:val="20"/>
                <w:szCs w:val="20"/>
                <w:color w:val="auto"/>
              </w:rPr>
            </w:pPr>
            <w:r>
              <w:rPr>
                <w:rFonts w:ascii="Arial" w:cs="Arial" w:eastAsia="Arial" w:hAnsi="Arial"/>
                <w:sz w:val="11"/>
                <w:szCs w:val="11"/>
                <w:b w:val="1"/>
                <w:bCs w:val="1"/>
                <w:color w:val="auto"/>
              </w:rPr>
              <w:t>(in millions)</w:t>
            </w:r>
          </w:p>
        </w:tc>
        <w:tc>
          <w:tcPr>
            <w:tcW w:w="80" w:type="dxa"/>
            <w:vAlign w:val="bottom"/>
          </w:tcPr>
          <w:p>
            <w:pPr>
              <w:spacing w:after="0"/>
              <w:rPr>
                <w:sz w:val="10"/>
                <w:szCs w:val="10"/>
                <w:color w:val="auto"/>
              </w:rPr>
            </w:pPr>
          </w:p>
        </w:tc>
      </w:tr>
      <w:tr>
        <w:trPr>
          <w:trHeight w:val="126"/>
        </w:trPr>
        <w:tc>
          <w:tcPr>
            <w:tcW w:w="3500" w:type="dxa"/>
            <w:vAlign w:val="bottom"/>
            <w:shd w:val="clear" w:color="auto" w:fill="CCEEFF"/>
          </w:tcPr>
          <w:p>
            <w:pPr>
              <w:spacing w:after="0"/>
              <w:rPr>
                <w:sz w:val="20"/>
                <w:szCs w:val="20"/>
                <w:color w:val="auto"/>
              </w:rPr>
            </w:pPr>
            <w:r>
              <w:rPr>
                <w:rFonts w:ascii="Arial" w:cs="Arial" w:eastAsia="Arial" w:hAnsi="Arial"/>
                <w:sz w:val="11"/>
                <w:szCs w:val="11"/>
                <w:color w:val="auto"/>
              </w:rPr>
              <w:t>Leasehold improvements</w:t>
            </w:r>
          </w:p>
        </w:tc>
        <w:tc>
          <w:tcPr>
            <w:tcW w:w="2600" w:type="dxa"/>
            <w:vAlign w:val="bottom"/>
            <w:gridSpan w:val="4"/>
            <w:shd w:val="clear" w:color="auto" w:fill="CCEEFF"/>
          </w:tcPr>
          <w:p>
            <w:pPr>
              <w:jc w:val="right"/>
              <w:ind w:right="20"/>
              <w:spacing w:after="0"/>
              <w:rPr>
                <w:sz w:val="20"/>
                <w:szCs w:val="20"/>
                <w:color w:val="auto"/>
              </w:rPr>
            </w:pPr>
            <w:r>
              <w:rPr>
                <w:rFonts w:ascii="Arial" w:cs="Arial" w:eastAsia="Arial" w:hAnsi="Arial"/>
                <w:sz w:val="11"/>
                <w:szCs w:val="11"/>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24.6</w:t>
            </w:r>
          </w:p>
        </w:tc>
        <w:tc>
          <w:tcPr>
            <w:tcW w:w="160" w:type="dxa"/>
            <w:vAlign w:val="bottom"/>
            <w:shd w:val="clear" w:color="auto" w:fill="CCEEFF"/>
          </w:tcPr>
          <w:p>
            <w:pPr>
              <w:spacing w:after="0"/>
              <w:rPr>
                <w:sz w:val="10"/>
                <w:szCs w:val="10"/>
                <w:color w:val="auto"/>
              </w:rPr>
            </w:pP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1"/>
                <w:szCs w:val="11"/>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47.6</w:t>
            </w:r>
          </w:p>
        </w:tc>
        <w:tc>
          <w:tcPr>
            <w:tcW w:w="80" w:type="dxa"/>
            <w:vAlign w:val="bottom"/>
            <w:shd w:val="clear" w:color="auto" w:fill="CCEEFF"/>
          </w:tcPr>
          <w:p>
            <w:pPr>
              <w:spacing w:after="0"/>
              <w:rPr>
                <w:sz w:val="10"/>
                <w:szCs w:val="10"/>
                <w:color w:val="auto"/>
              </w:rPr>
            </w:pPr>
          </w:p>
        </w:tc>
      </w:tr>
      <w:tr>
        <w:trPr>
          <w:trHeight w:val="126"/>
        </w:trPr>
        <w:tc>
          <w:tcPr>
            <w:tcW w:w="3500" w:type="dxa"/>
            <w:vAlign w:val="bottom"/>
          </w:tcPr>
          <w:p>
            <w:pPr>
              <w:spacing w:after="0"/>
              <w:rPr>
                <w:sz w:val="20"/>
                <w:szCs w:val="20"/>
                <w:color w:val="auto"/>
              </w:rPr>
            </w:pPr>
            <w:r>
              <w:rPr>
                <w:rFonts w:ascii="Arial" w:cs="Arial" w:eastAsia="Arial" w:hAnsi="Arial"/>
                <w:sz w:val="11"/>
                <w:szCs w:val="11"/>
                <w:color w:val="auto"/>
              </w:rPr>
              <w:t>Machinery and equipment</w:t>
            </w:r>
          </w:p>
        </w:tc>
        <w:tc>
          <w:tcPr>
            <w:tcW w:w="3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jc w:val="right"/>
              <w:spacing w:after="0"/>
              <w:rPr>
                <w:sz w:val="20"/>
                <w:szCs w:val="20"/>
                <w:color w:val="auto"/>
              </w:rPr>
            </w:pPr>
            <w:r>
              <w:rPr>
                <w:rFonts w:ascii="Arial" w:cs="Arial" w:eastAsia="Arial" w:hAnsi="Arial"/>
                <w:sz w:val="11"/>
                <w:szCs w:val="11"/>
                <w:color w:val="auto"/>
              </w:rPr>
              <w:t>5.1</w:t>
            </w: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jc w:val="right"/>
              <w:spacing w:after="0"/>
              <w:rPr>
                <w:sz w:val="20"/>
                <w:szCs w:val="20"/>
                <w:color w:val="auto"/>
              </w:rPr>
            </w:pPr>
            <w:r>
              <w:rPr>
                <w:rFonts w:ascii="Arial" w:cs="Arial" w:eastAsia="Arial" w:hAnsi="Arial"/>
                <w:sz w:val="11"/>
                <w:szCs w:val="11"/>
                <w:color w:val="auto"/>
              </w:rPr>
              <w:t>11.7</w:t>
            </w:r>
          </w:p>
        </w:tc>
        <w:tc>
          <w:tcPr>
            <w:tcW w:w="80" w:type="dxa"/>
            <w:vAlign w:val="bottom"/>
          </w:tcPr>
          <w:p>
            <w:pPr>
              <w:spacing w:after="0"/>
              <w:rPr>
                <w:sz w:val="10"/>
                <w:szCs w:val="10"/>
                <w:color w:val="auto"/>
              </w:rPr>
            </w:pPr>
          </w:p>
        </w:tc>
      </w:tr>
      <w:tr>
        <w:trPr>
          <w:trHeight w:val="126"/>
        </w:trPr>
        <w:tc>
          <w:tcPr>
            <w:tcW w:w="3500" w:type="dxa"/>
            <w:vAlign w:val="bottom"/>
            <w:shd w:val="clear" w:color="auto" w:fill="CCEEFF"/>
          </w:tcPr>
          <w:p>
            <w:pPr>
              <w:spacing w:after="0"/>
              <w:rPr>
                <w:sz w:val="20"/>
                <w:szCs w:val="20"/>
                <w:color w:val="auto"/>
              </w:rPr>
            </w:pPr>
            <w:r>
              <w:rPr>
                <w:rFonts w:ascii="Arial" w:cs="Arial" w:eastAsia="Arial" w:hAnsi="Arial"/>
                <w:sz w:val="11"/>
                <w:szCs w:val="11"/>
                <w:color w:val="auto"/>
              </w:rPr>
              <w:t>Capitalized software</w:t>
            </w:r>
          </w:p>
        </w:tc>
        <w:tc>
          <w:tcPr>
            <w:tcW w:w="320" w:type="dxa"/>
            <w:vAlign w:val="bottom"/>
            <w:shd w:val="clear" w:color="auto" w:fill="CCEEFF"/>
          </w:tcPr>
          <w:p>
            <w:pPr>
              <w:spacing w:after="0"/>
              <w:rPr>
                <w:sz w:val="10"/>
                <w:szCs w:val="10"/>
                <w:color w:val="auto"/>
              </w:rPr>
            </w:pPr>
          </w:p>
        </w:tc>
        <w:tc>
          <w:tcPr>
            <w:tcW w:w="1120" w:type="dxa"/>
            <w:vAlign w:val="bottom"/>
            <w:shd w:val="clear" w:color="auto" w:fill="CCEEFF"/>
          </w:tcPr>
          <w:p>
            <w:pPr>
              <w:spacing w:after="0"/>
              <w:rPr>
                <w:sz w:val="10"/>
                <w:szCs w:val="10"/>
                <w:color w:val="auto"/>
              </w:rPr>
            </w:pPr>
          </w:p>
        </w:tc>
        <w:tc>
          <w:tcPr>
            <w:tcW w:w="10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5.8</w:t>
            </w:r>
          </w:p>
        </w:tc>
        <w:tc>
          <w:tcPr>
            <w:tcW w:w="1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16.0</w:t>
            </w:r>
          </w:p>
        </w:tc>
        <w:tc>
          <w:tcPr>
            <w:tcW w:w="80" w:type="dxa"/>
            <w:vAlign w:val="bottom"/>
            <w:shd w:val="clear" w:color="auto" w:fill="CCEEFF"/>
          </w:tcPr>
          <w:p>
            <w:pPr>
              <w:spacing w:after="0"/>
              <w:rPr>
                <w:sz w:val="10"/>
                <w:szCs w:val="10"/>
                <w:color w:val="auto"/>
              </w:rPr>
            </w:pPr>
          </w:p>
        </w:tc>
      </w:tr>
      <w:tr>
        <w:trPr>
          <w:trHeight w:val="126"/>
        </w:trPr>
        <w:tc>
          <w:tcPr>
            <w:tcW w:w="3500" w:type="dxa"/>
            <w:vAlign w:val="bottom"/>
          </w:tcPr>
          <w:p>
            <w:pPr>
              <w:spacing w:after="0"/>
              <w:rPr>
                <w:sz w:val="20"/>
                <w:szCs w:val="20"/>
                <w:color w:val="auto"/>
              </w:rPr>
            </w:pPr>
            <w:r>
              <w:rPr>
                <w:rFonts w:ascii="Arial" w:cs="Arial" w:eastAsia="Arial" w:hAnsi="Arial"/>
                <w:sz w:val="11"/>
                <w:szCs w:val="11"/>
                <w:color w:val="auto"/>
              </w:rPr>
              <w:t>Furniture and fixtures</w:t>
            </w:r>
          </w:p>
        </w:tc>
        <w:tc>
          <w:tcPr>
            <w:tcW w:w="3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jc w:val="right"/>
              <w:spacing w:after="0"/>
              <w:rPr>
                <w:sz w:val="20"/>
                <w:szCs w:val="20"/>
                <w:color w:val="auto"/>
              </w:rPr>
            </w:pPr>
            <w:r>
              <w:rPr>
                <w:rFonts w:ascii="Arial" w:cs="Arial" w:eastAsia="Arial" w:hAnsi="Arial"/>
                <w:sz w:val="11"/>
                <w:szCs w:val="11"/>
                <w:color w:val="auto"/>
              </w:rPr>
              <w:t>3.8</w:t>
            </w: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jc w:val="right"/>
              <w:spacing w:after="0"/>
              <w:rPr>
                <w:sz w:val="20"/>
                <w:szCs w:val="20"/>
                <w:color w:val="auto"/>
              </w:rPr>
            </w:pPr>
            <w:r>
              <w:rPr>
                <w:rFonts w:ascii="Arial" w:cs="Arial" w:eastAsia="Arial" w:hAnsi="Arial"/>
                <w:sz w:val="11"/>
                <w:szCs w:val="11"/>
                <w:color w:val="auto"/>
              </w:rPr>
              <w:t>7.5</w:t>
            </w:r>
          </w:p>
        </w:tc>
        <w:tc>
          <w:tcPr>
            <w:tcW w:w="80" w:type="dxa"/>
            <w:vAlign w:val="bottom"/>
          </w:tcPr>
          <w:p>
            <w:pPr>
              <w:spacing w:after="0"/>
              <w:rPr>
                <w:sz w:val="10"/>
                <w:szCs w:val="10"/>
                <w:color w:val="auto"/>
              </w:rPr>
            </w:pPr>
          </w:p>
        </w:tc>
      </w:tr>
      <w:tr>
        <w:trPr>
          <w:trHeight w:val="126"/>
        </w:trPr>
        <w:tc>
          <w:tcPr>
            <w:tcW w:w="3500" w:type="dxa"/>
            <w:vAlign w:val="bottom"/>
            <w:shd w:val="clear" w:color="auto" w:fill="CCEEFF"/>
          </w:tcPr>
          <w:p>
            <w:pPr>
              <w:spacing w:after="0"/>
              <w:rPr>
                <w:sz w:val="20"/>
                <w:szCs w:val="20"/>
                <w:color w:val="auto"/>
              </w:rPr>
            </w:pPr>
            <w:r>
              <w:rPr>
                <w:rFonts w:ascii="Arial" w:cs="Arial" w:eastAsia="Arial" w:hAnsi="Arial"/>
                <w:sz w:val="11"/>
                <w:szCs w:val="11"/>
                <w:color w:val="auto"/>
              </w:rPr>
              <w:t>Property</w:t>
            </w:r>
          </w:p>
        </w:tc>
        <w:tc>
          <w:tcPr>
            <w:tcW w:w="320" w:type="dxa"/>
            <w:vAlign w:val="bottom"/>
            <w:shd w:val="clear" w:color="auto" w:fill="CCEEFF"/>
          </w:tcPr>
          <w:p>
            <w:pPr>
              <w:spacing w:after="0"/>
              <w:rPr>
                <w:sz w:val="10"/>
                <w:szCs w:val="10"/>
                <w:color w:val="auto"/>
              </w:rPr>
            </w:pPr>
          </w:p>
        </w:tc>
        <w:tc>
          <w:tcPr>
            <w:tcW w:w="1120" w:type="dxa"/>
            <w:vAlign w:val="bottom"/>
            <w:shd w:val="clear" w:color="auto" w:fill="CCEEFF"/>
          </w:tcPr>
          <w:p>
            <w:pPr>
              <w:spacing w:after="0"/>
              <w:rPr>
                <w:sz w:val="10"/>
                <w:szCs w:val="10"/>
                <w:color w:val="auto"/>
              </w:rPr>
            </w:pPr>
          </w:p>
        </w:tc>
        <w:tc>
          <w:tcPr>
            <w:tcW w:w="10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2.2</w:t>
            </w:r>
          </w:p>
        </w:tc>
        <w:tc>
          <w:tcPr>
            <w:tcW w:w="1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2.3</w:t>
            </w:r>
          </w:p>
        </w:tc>
        <w:tc>
          <w:tcPr>
            <w:tcW w:w="80" w:type="dxa"/>
            <w:vAlign w:val="bottom"/>
            <w:shd w:val="clear" w:color="auto" w:fill="CCEEFF"/>
          </w:tcPr>
          <w:p>
            <w:pPr>
              <w:spacing w:after="0"/>
              <w:rPr>
                <w:sz w:val="10"/>
                <w:szCs w:val="10"/>
                <w:color w:val="auto"/>
              </w:rPr>
            </w:pPr>
          </w:p>
        </w:tc>
      </w:tr>
      <w:tr>
        <w:trPr>
          <w:trHeight w:val="126"/>
        </w:trPr>
        <w:tc>
          <w:tcPr>
            <w:tcW w:w="3500" w:type="dxa"/>
            <w:vAlign w:val="bottom"/>
          </w:tcPr>
          <w:p>
            <w:pPr>
              <w:spacing w:after="0"/>
              <w:rPr>
                <w:sz w:val="20"/>
                <w:szCs w:val="20"/>
                <w:color w:val="auto"/>
              </w:rPr>
            </w:pPr>
            <w:r>
              <w:rPr>
                <w:rFonts w:ascii="Arial" w:cs="Arial" w:eastAsia="Arial" w:hAnsi="Arial"/>
                <w:sz w:val="11"/>
                <w:szCs w:val="11"/>
                <w:color w:val="auto"/>
              </w:rPr>
              <w:t>Construction-in-progress</w:t>
            </w:r>
          </w:p>
        </w:tc>
        <w:tc>
          <w:tcPr>
            <w:tcW w:w="3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jc w:val="right"/>
              <w:spacing w:after="0"/>
              <w:rPr>
                <w:sz w:val="20"/>
                <w:szCs w:val="20"/>
                <w:color w:val="auto"/>
              </w:rPr>
            </w:pPr>
            <w:r>
              <w:rPr>
                <w:rFonts w:ascii="Arial" w:cs="Arial" w:eastAsia="Arial" w:hAnsi="Arial"/>
                <w:sz w:val="11"/>
                <w:szCs w:val="11"/>
                <w:color w:val="auto"/>
              </w:rPr>
              <w:t>3.1</w:t>
            </w: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jc w:val="right"/>
              <w:spacing w:after="0"/>
              <w:rPr>
                <w:sz w:val="20"/>
                <w:szCs w:val="20"/>
                <w:color w:val="auto"/>
              </w:rPr>
            </w:pPr>
            <w:r>
              <w:rPr>
                <w:rFonts w:ascii="Arial" w:cs="Arial" w:eastAsia="Arial" w:hAnsi="Arial"/>
                <w:sz w:val="11"/>
                <w:szCs w:val="11"/>
                <w:color w:val="auto"/>
              </w:rPr>
              <w:t>40.1</w:t>
            </w:r>
          </w:p>
        </w:tc>
        <w:tc>
          <w:tcPr>
            <w:tcW w:w="80" w:type="dxa"/>
            <w:vAlign w:val="bottom"/>
          </w:tcPr>
          <w:p>
            <w:pPr>
              <w:spacing w:after="0"/>
              <w:rPr>
                <w:sz w:val="10"/>
                <w:szCs w:val="10"/>
                <w:color w:val="auto"/>
              </w:rPr>
            </w:pPr>
          </w:p>
        </w:tc>
      </w:tr>
      <w:tr>
        <w:trPr>
          <w:trHeight w:val="126"/>
        </w:trPr>
        <w:tc>
          <w:tcPr>
            <w:tcW w:w="3500" w:type="dxa"/>
            <w:vAlign w:val="bottom"/>
            <w:shd w:val="clear" w:color="auto" w:fill="CCEEFF"/>
          </w:tcPr>
          <w:p>
            <w:pPr>
              <w:spacing w:after="0"/>
              <w:rPr>
                <w:sz w:val="20"/>
                <w:szCs w:val="20"/>
                <w:color w:val="auto"/>
              </w:rPr>
            </w:pPr>
            <w:r>
              <w:rPr>
                <w:rFonts w:ascii="Arial" w:cs="Arial" w:eastAsia="Arial" w:hAnsi="Arial"/>
                <w:sz w:val="11"/>
                <w:szCs w:val="11"/>
                <w:color w:val="auto"/>
              </w:rPr>
              <w:t>Building - build-to-suit asset</w:t>
            </w:r>
          </w:p>
        </w:tc>
        <w:tc>
          <w:tcPr>
            <w:tcW w:w="320" w:type="dxa"/>
            <w:vAlign w:val="bottom"/>
            <w:shd w:val="clear" w:color="auto" w:fill="CCEEFF"/>
          </w:tcPr>
          <w:p>
            <w:pPr>
              <w:spacing w:after="0"/>
              <w:rPr>
                <w:sz w:val="10"/>
                <w:szCs w:val="10"/>
                <w:color w:val="auto"/>
              </w:rPr>
            </w:pPr>
          </w:p>
        </w:tc>
        <w:tc>
          <w:tcPr>
            <w:tcW w:w="1120" w:type="dxa"/>
            <w:vAlign w:val="bottom"/>
            <w:shd w:val="clear" w:color="auto" w:fill="CCEEFF"/>
          </w:tcPr>
          <w:p>
            <w:pPr>
              <w:spacing w:after="0"/>
              <w:rPr>
                <w:sz w:val="10"/>
                <w:szCs w:val="10"/>
                <w:color w:val="auto"/>
              </w:rPr>
            </w:pPr>
          </w:p>
        </w:tc>
        <w:tc>
          <w:tcPr>
            <w:tcW w:w="10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147.1</w:t>
            </w:r>
          </w:p>
        </w:tc>
        <w:tc>
          <w:tcPr>
            <w:tcW w:w="80" w:type="dxa"/>
            <w:vAlign w:val="bottom"/>
            <w:shd w:val="clear" w:color="auto" w:fill="CCEEFF"/>
          </w:tcPr>
          <w:p>
            <w:pPr>
              <w:spacing w:after="0"/>
              <w:rPr>
                <w:sz w:val="10"/>
                <w:szCs w:val="10"/>
                <w:color w:val="auto"/>
              </w:rPr>
            </w:pPr>
          </w:p>
        </w:tc>
      </w:tr>
      <w:tr>
        <w:trPr>
          <w:trHeight w:val="126"/>
        </w:trPr>
        <w:tc>
          <w:tcPr>
            <w:tcW w:w="3500" w:type="dxa"/>
            <w:vAlign w:val="bottom"/>
          </w:tcPr>
          <w:p>
            <w:pPr>
              <w:spacing w:after="0"/>
              <w:rPr>
                <w:sz w:val="20"/>
                <w:szCs w:val="20"/>
                <w:color w:val="auto"/>
              </w:rPr>
            </w:pPr>
            <w:r>
              <w:rPr>
                <w:rFonts w:ascii="Arial" w:cs="Arial" w:eastAsia="Arial" w:hAnsi="Arial"/>
                <w:sz w:val="11"/>
                <w:szCs w:val="11"/>
                <w:color w:val="auto"/>
              </w:rPr>
              <w:t>Pre-production tooling</w:t>
            </w:r>
          </w:p>
        </w:tc>
        <w:tc>
          <w:tcPr>
            <w:tcW w:w="3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1.0</w:t>
            </w: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3.3</w:t>
            </w:r>
          </w:p>
        </w:tc>
        <w:tc>
          <w:tcPr>
            <w:tcW w:w="80" w:type="dxa"/>
            <w:vAlign w:val="bottom"/>
          </w:tcPr>
          <w:p>
            <w:pPr>
              <w:spacing w:after="0"/>
              <w:rPr>
                <w:sz w:val="10"/>
                <w:szCs w:val="10"/>
                <w:color w:val="auto"/>
              </w:rPr>
            </w:pPr>
          </w:p>
        </w:tc>
      </w:tr>
      <w:tr>
        <w:trPr>
          <w:trHeight w:val="124"/>
        </w:trPr>
        <w:tc>
          <w:tcPr>
            <w:tcW w:w="350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120" w:type="dxa"/>
            <w:vAlign w:val="bottom"/>
            <w:shd w:val="clear" w:color="auto" w:fill="CCEEFF"/>
          </w:tcPr>
          <w:p>
            <w:pPr>
              <w:spacing w:after="0"/>
              <w:rPr>
                <w:sz w:val="10"/>
                <w:szCs w:val="10"/>
                <w:color w:val="auto"/>
              </w:rPr>
            </w:pPr>
          </w:p>
        </w:tc>
        <w:tc>
          <w:tcPr>
            <w:tcW w:w="1080" w:type="dxa"/>
            <w:vAlign w:val="bottom"/>
            <w:shd w:val="clear" w:color="auto" w:fill="CCEEFF"/>
          </w:tcPr>
          <w:p>
            <w:pPr>
              <w:spacing w:after="0"/>
              <w:rPr>
                <w:sz w:val="10"/>
                <w:szCs w:val="10"/>
                <w:color w:val="auto"/>
              </w:rPr>
            </w:pPr>
          </w:p>
        </w:tc>
        <w:tc>
          <w:tcPr>
            <w:tcW w:w="80" w:type="dxa"/>
            <w:vAlign w:val="bottom"/>
            <w:tcBorders>
              <w:bottom w:val="single" w:sz="8" w:color="auto"/>
            </w:tcBorders>
            <w:shd w:val="clear" w:color="auto" w:fill="CCEEFF"/>
          </w:tcPr>
          <w:p>
            <w:pPr>
              <w:spacing w:after="0"/>
              <w:rPr>
                <w:sz w:val="10"/>
                <w:szCs w:val="10"/>
                <w:color w:val="auto"/>
              </w:rPr>
            </w:pPr>
          </w:p>
        </w:tc>
        <w:tc>
          <w:tcPr>
            <w:tcW w:w="400" w:type="dxa"/>
            <w:vAlign w:val="bottom"/>
            <w:tcBorders>
              <w:bottom w:val="single" w:sz="8" w:color="auto"/>
            </w:tcBorders>
            <w:shd w:val="clear" w:color="auto" w:fill="CCEEFF"/>
          </w:tcPr>
          <w:p>
            <w:pPr>
              <w:jc w:val="right"/>
              <w:spacing w:after="0" w:line="124" w:lineRule="exact"/>
              <w:rPr>
                <w:sz w:val="20"/>
                <w:szCs w:val="20"/>
                <w:color w:val="auto"/>
              </w:rPr>
            </w:pPr>
            <w:r>
              <w:rPr>
                <w:rFonts w:ascii="Arial" w:cs="Arial" w:eastAsia="Arial" w:hAnsi="Arial"/>
                <w:sz w:val="11"/>
                <w:szCs w:val="11"/>
                <w:color w:val="auto"/>
              </w:rPr>
              <w:t>45.6</w:t>
            </w:r>
          </w:p>
        </w:tc>
        <w:tc>
          <w:tcPr>
            <w:tcW w:w="1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tcBorders>
              <w:bottom w:val="single" w:sz="8" w:color="auto"/>
            </w:tcBorders>
            <w:shd w:val="clear" w:color="auto" w:fill="CCEEFF"/>
          </w:tcPr>
          <w:p>
            <w:pPr>
              <w:spacing w:after="0"/>
              <w:rPr>
                <w:sz w:val="10"/>
                <w:szCs w:val="10"/>
                <w:color w:val="auto"/>
              </w:rPr>
            </w:pPr>
          </w:p>
        </w:tc>
        <w:tc>
          <w:tcPr>
            <w:tcW w:w="400" w:type="dxa"/>
            <w:vAlign w:val="bottom"/>
            <w:tcBorders>
              <w:bottom w:val="single" w:sz="8" w:color="auto"/>
            </w:tcBorders>
            <w:shd w:val="clear" w:color="auto" w:fill="CCEEFF"/>
          </w:tcPr>
          <w:p>
            <w:pPr>
              <w:jc w:val="right"/>
              <w:spacing w:after="0" w:line="124" w:lineRule="exact"/>
              <w:rPr>
                <w:sz w:val="20"/>
                <w:szCs w:val="20"/>
                <w:color w:val="auto"/>
              </w:rPr>
            </w:pPr>
            <w:r>
              <w:rPr>
                <w:rFonts w:ascii="Arial" w:cs="Arial" w:eastAsia="Arial" w:hAnsi="Arial"/>
                <w:sz w:val="11"/>
                <w:szCs w:val="11"/>
                <w:color w:val="auto"/>
              </w:rPr>
              <w:t>275.4</w:t>
            </w:r>
          </w:p>
        </w:tc>
        <w:tc>
          <w:tcPr>
            <w:tcW w:w="80" w:type="dxa"/>
            <w:vAlign w:val="bottom"/>
            <w:shd w:val="clear" w:color="auto" w:fill="CCEEFF"/>
          </w:tcPr>
          <w:p>
            <w:pPr>
              <w:spacing w:after="0"/>
              <w:rPr>
                <w:sz w:val="10"/>
                <w:szCs w:val="10"/>
                <w:color w:val="auto"/>
              </w:rPr>
            </w:pPr>
          </w:p>
        </w:tc>
      </w:tr>
      <w:tr>
        <w:trPr>
          <w:trHeight w:val="124"/>
        </w:trPr>
        <w:tc>
          <w:tcPr>
            <w:tcW w:w="3500" w:type="dxa"/>
            <w:vAlign w:val="bottom"/>
          </w:tcPr>
          <w:p>
            <w:pPr>
              <w:spacing w:after="0" w:line="124" w:lineRule="exact"/>
              <w:rPr>
                <w:sz w:val="20"/>
                <w:szCs w:val="20"/>
                <w:color w:val="auto"/>
              </w:rPr>
            </w:pPr>
            <w:r>
              <w:rPr>
                <w:rFonts w:ascii="Arial" w:cs="Arial" w:eastAsia="Arial" w:hAnsi="Arial"/>
                <w:sz w:val="11"/>
                <w:szCs w:val="11"/>
                <w:color w:val="auto"/>
              </w:rPr>
              <w:t>Accumulated depreciation and amortization expense</w:t>
            </w:r>
          </w:p>
        </w:tc>
        <w:tc>
          <w:tcPr>
            <w:tcW w:w="3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gridSpan w:val="2"/>
          </w:tcPr>
          <w:p>
            <w:pPr>
              <w:jc w:val="right"/>
              <w:ind w:right="120"/>
              <w:spacing w:after="0" w:line="124" w:lineRule="exact"/>
              <w:rPr>
                <w:sz w:val="20"/>
                <w:szCs w:val="20"/>
                <w:color w:val="auto"/>
              </w:rPr>
            </w:pPr>
            <w:r>
              <w:rPr>
                <w:rFonts w:ascii="Arial" w:cs="Arial" w:eastAsia="Arial" w:hAnsi="Arial"/>
                <w:sz w:val="11"/>
                <w:szCs w:val="11"/>
                <w:color w:val="auto"/>
              </w:rPr>
              <w:t>(9.5)</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gridSpan w:val="2"/>
          </w:tcPr>
          <w:p>
            <w:pPr>
              <w:jc w:val="right"/>
              <w:ind w:right="40"/>
              <w:spacing w:after="0" w:line="124" w:lineRule="exact"/>
              <w:rPr>
                <w:sz w:val="20"/>
                <w:szCs w:val="20"/>
                <w:color w:val="auto"/>
              </w:rPr>
            </w:pPr>
            <w:r>
              <w:rPr>
                <w:rFonts w:ascii="Arial" w:cs="Arial" w:eastAsia="Arial" w:hAnsi="Arial"/>
                <w:sz w:val="11"/>
                <w:szCs w:val="11"/>
                <w:color w:val="auto"/>
              </w:rPr>
              <w:t>(25.6)</w:t>
            </w:r>
          </w:p>
        </w:tc>
      </w:tr>
      <w:tr>
        <w:trPr>
          <w:trHeight w:val="20"/>
        </w:trPr>
        <w:tc>
          <w:tcPr>
            <w:tcW w:w="3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31"/>
        </w:trPr>
        <w:tc>
          <w:tcPr>
            <w:tcW w:w="3500" w:type="dxa"/>
            <w:vAlign w:val="bottom"/>
            <w:shd w:val="clear" w:color="auto" w:fill="CCEEFF"/>
          </w:tcPr>
          <w:p>
            <w:pPr>
              <w:ind w:left="220"/>
              <w:spacing w:after="0" w:line="124" w:lineRule="exact"/>
              <w:rPr>
                <w:sz w:val="20"/>
                <w:szCs w:val="20"/>
                <w:color w:val="auto"/>
              </w:rPr>
            </w:pPr>
            <w:r>
              <w:rPr>
                <w:rFonts w:ascii="Arial" w:cs="Arial" w:eastAsia="Arial" w:hAnsi="Arial"/>
                <w:sz w:val="11"/>
                <w:szCs w:val="11"/>
                <w:color w:val="auto"/>
              </w:rPr>
              <w:t>Total property and equipment, net</w:t>
            </w:r>
          </w:p>
        </w:tc>
        <w:tc>
          <w:tcPr>
            <w:tcW w:w="2600" w:type="dxa"/>
            <w:vAlign w:val="bottom"/>
            <w:gridSpan w:val="4"/>
            <w:shd w:val="clear" w:color="auto" w:fill="CCEEFF"/>
          </w:tcPr>
          <w:p>
            <w:pPr>
              <w:jc w:val="right"/>
              <w:ind w:right="20"/>
              <w:spacing w:after="0" w:line="124" w:lineRule="exact"/>
              <w:rPr>
                <w:sz w:val="20"/>
                <w:szCs w:val="20"/>
                <w:color w:val="auto"/>
              </w:rPr>
            </w:pPr>
            <w:r>
              <w:rPr>
                <w:rFonts w:ascii="Arial" w:cs="Arial" w:eastAsia="Arial" w:hAnsi="Arial"/>
                <w:sz w:val="11"/>
                <w:szCs w:val="11"/>
                <w:color w:val="auto"/>
              </w:rPr>
              <w:t>$</w:t>
            </w:r>
          </w:p>
        </w:tc>
        <w:tc>
          <w:tcPr>
            <w:tcW w:w="400" w:type="dxa"/>
            <w:vAlign w:val="bottom"/>
            <w:shd w:val="clear" w:color="auto" w:fill="CCEEFF"/>
          </w:tcPr>
          <w:p>
            <w:pPr>
              <w:jc w:val="right"/>
              <w:spacing w:after="0" w:line="124" w:lineRule="exact"/>
              <w:rPr>
                <w:sz w:val="20"/>
                <w:szCs w:val="20"/>
                <w:color w:val="auto"/>
              </w:rPr>
            </w:pPr>
            <w:r>
              <w:rPr>
                <w:rFonts w:ascii="Arial" w:cs="Arial" w:eastAsia="Arial" w:hAnsi="Arial"/>
                <w:sz w:val="11"/>
                <w:szCs w:val="11"/>
                <w:color w:val="auto"/>
              </w:rPr>
              <w:t>36.2</w:t>
            </w:r>
          </w:p>
        </w:tc>
        <w:tc>
          <w:tcPr>
            <w:tcW w:w="160" w:type="dxa"/>
            <w:vAlign w:val="bottom"/>
            <w:shd w:val="clear" w:color="auto" w:fill="CCEEFF"/>
          </w:tcPr>
          <w:p>
            <w:pPr>
              <w:spacing w:after="0"/>
              <w:rPr>
                <w:sz w:val="11"/>
                <w:szCs w:val="11"/>
                <w:color w:val="auto"/>
              </w:rPr>
            </w:pPr>
          </w:p>
        </w:tc>
        <w:tc>
          <w:tcPr>
            <w:tcW w:w="220" w:type="dxa"/>
            <w:vAlign w:val="bottom"/>
            <w:gridSpan w:val="2"/>
            <w:shd w:val="clear" w:color="auto" w:fill="CCEEFF"/>
          </w:tcPr>
          <w:p>
            <w:pPr>
              <w:jc w:val="right"/>
              <w:ind w:right="20"/>
              <w:spacing w:after="0" w:line="124" w:lineRule="exact"/>
              <w:rPr>
                <w:sz w:val="20"/>
                <w:szCs w:val="20"/>
                <w:color w:val="auto"/>
              </w:rPr>
            </w:pPr>
            <w:r>
              <w:rPr>
                <w:rFonts w:ascii="Arial" w:cs="Arial" w:eastAsia="Arial" w:hAnsi="Arial"/>
                <w:sz w:val="11"/>
                <w:szCs w:val="11"/>
                <w:color w:val="auto"/>
              </w:rPr>
              <w:t>$</w:t>
            </w:r>
          </w:p>
        </w:tc>
        <w:tc>
          <w:tcPr>
            <w:tcW w:w="400" w:type="dxa"/>
            <w:vAlign w:val="bottom"/>
            <w:shd w:val="clear" w:color="auto" w:fill="CCEEFF"/>
          </w:tcPr>
          <w:p>
            <w:pPr>
              <w:jc w:val="right"/>
              <w:spacing w:after="0" w:line="124" w:lineRule="exact"/>
              <w:rPr>
                <w:sz w:val="20"/>
                <w:szCs w:val="20"/>
                <w:color w:val="auto"/>
              </w:rPr>
            </w:pPr>
            <w:r>
              <w:rPr>
                <w:rFonts w:ascii="Arial" w:cs="Arial" w:eastAsia="Arial" w:hAnsi="Arial"/>
                <w:sz w:val="11"/>
                <w:szCs w:val="11"/>
                <w:color w:val="auto"/>
              </w:rPr>
              <w:t>249.7</w:t>
            </w:r>
          </w:p>
        </w:tc>
        <w:tc>
          <w:tcPr>
            <w:tcW w:w="80" w:type="dxa"/>
            <w:vAlign w:val="bottom"/>
            <w:shd w:val="clear" w:color="auto" w:fill="CCEEFF"/>
          </w:tcPr>
          <w:p>
            <w:pPr>
              <w:spacing w:after="0"/>
              <w:rPr>
                <w:sz w:val="11"/>
                <w:szCs w:val="11"/>
                <w:color w:val="auto"/>
              </w:rPr>
            </w:pPr>
          </w:p>
        </w:tc>
      </w:tr>
      <w:tr>
        <w:trPr>
          <w:trHeight w:val="284"/>
        </w:trPr>
        <w:tc>
          <w:tcPr>
            <w:tcW w:w="3500" w:type="dxa"/>
            <w:vAlign w:val="bottom"/>
          </w:tcPr>
          <w:p>
            <w:pPr>
              <w:spacing w:after="0"/>
              <w:rPr>
                <w:sz w:val="20"/>
                <w:szCs w:val="20"/>
                <w:color w:val="auto"/>
              </w:rPr>
            </w:pPr>
            <w:r>
              <w:rPr>
                <w:rFonts w:ascii="Arial" w:cs="Arial" w:eastAsia="Arial" w:hAnsi="Arial"/>
                <w:sz w:val="11"/>
                <w:szCs w:val="11"/>
                <w:color w:val="auto"/>
                <w:w w:val="99"/>
              </w:rPr>
              <w:t>The estimated useful lives of the property and equipment are as follows:</w:t>
            </w: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r>
      <w:tr>
        <w:trPr>
          <w:trHeight w:val="283"/>
        </w:trPr>
        <w:tc>
          <w:tcPr>
            <w:tcW w:w="3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Borders>
              <w:bottom w:val="single" w:sz="8" w:color="auto"/>
            </w:tcBorders>
          </w:tcPr>
          <w:p>
            <w:pPr>
              <w:spacing w:after="0"/>
              <w:rPr>
                <w:sz w:val="20"/>
                <w:szCs w:val="20"/>
                <w:color w:val="auto"/>
              </w:rPr>
            </w:pPr>
            <w:r>
              <w:rPr>
                <w:rFonts w:ascii="Arial" w:cs="Arial" w:eastAsia="Arial" w:hAnsi="Arial"/>
                <w:sz w:val="11"/>
                <w:szCs w:val="11"/>
                <w:b w:val="1"/>
                <w:bCs w:val="1"/>
                <w:color w:val="auto"/>
                <w:w w:val="98"/>
              </w:rPr>
              <w:t>Estimated Useful Life</w:t>
            </w:r>
          </w:p>
        </w:tc>
        <w:tc>
          <w:tcPr>
            <w:tcW w:w="1160" w:type="dxa"/>
            <w:vAlign w:val="bottom"/>
            <w:gridSpan w:val="2"/>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20"/>
        </w:trPr>
        <w:tc>
          <w:tcPr>
            <w:tcW w:w="3500" w:type="dxa"/>
            <w:vAlign w:val="bottom"/>
          </w:tcPr>
          <w:p>
            <w:pPr>
              <w:spacing w:after="0" w:line="120" w:lineRule="exact"/>
              <w:rPr>
                <w:sz w:val="20"/>
                <w:szCs w:val="20"/>
                <w:color w:val="auto"/>
              </w:rPr>
            </w:pPr>
            <w:r>
              <w:rPr>
                <w:rFonts w:ascii="Arial" w:cs="Arial" w:eastAsia="Arial" w:hAnsi="Arial"/>
                <w:sz w:val="11"/>
                <w:szCs w:val="11"/>
                <w:color w:val="auto"/>
              </w:rPr>
              <w:t>Leasehold improvements</w:t>
            </w:r>
          </w:p>
        </w:tc>
        <w:tc>
          <w:tcPr>
            <w:tcW w:w="320" w:type="dxa"/>
            <w:vAlign w:val="bottom"/>
          </w:tcPr>
          <w:p>
            <w:pPr>
              <w:spacing w:after="0"/>
              <w:rPr>
                <w:sz w:val="10"/>
                <w:szCs w:val="10"/>
                <w:color w:val="auto"/>
              </w:rPr>
            </w:pPr>
          </w:p>
        </w:tc>
        <w:tc>
          <w:tcPr>
            <w:tcW w:w="2280" w:type="dxa"/>
            <w:vAlign w:val="bottom"/>
            <w:gridSpan w:val="3"/>
          </w:tcPr>
          <w:p>
            <w:pPr>
              <w:spacing w:after="0" w:line="120" w:lineRule="exact"/>
              <w:rPr>
                <w:sz w:val="20"/>
                <w:szCs w:val="20"/>
                <w:color w:val="auto"/>
              </w:rPr>
            </w:pPr>
            <w:r>
              <w:rPr>
                <w:rFonts w:ascii="Arial" w:cs="Arial" w:eastAsia="Arial" w:hAnsi="Arial"/>
                <w:sz w:val="11"/>
                <w:szCs w:val="11"/>
                <w:color w:val="auto"/>
              </w:rPr>
              <w:t>Shorter of remaining lease term or useful life</w:t>
            </w:r>
          </w:p>
        </w:tc>
        <w:tc>
          <w:tcPr>
            <w:tcW w:w="4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r>
      <w:tr>
        <w:trPr>
          <w:trHeight w:val="171"/>
        </w:trPr>
        <w:tc>
          <w:tcPr>
            <w:tcW w:w="3500" w:type="dxa"/>
            <w:vAlign w:val="bottom"/>
          </w:tcPr>
          <w:p>
            <w:pPr>
              <w:spacing w:after="0"/>
              <w:rPr>
                <w:sz w:val="20"/>
                <w:szCs w:val="20"/>
                <w:color w:val="auto"/>
              </w:rPr>
            </w:pPr>
            <w:r>
              <w:rPr>
                <w:rFonts w:ascii="Arial" w:cs="Arial" w:eastAsia="Arial" w:hAnsi="Arial"/>
                <w:sz w:val="11"/>
                <w:szCs w:val="11"/>
                <w:color w:val="auto"/>
              </w:rPr>
              <w:t>Machinery and equipment</w:t>
            </w:r>
          </w:p>
        </w:tc>
        <w:tc>
          <w:tcPr>
            <w:tcW w:w="320" w:type="dxa"/>
            <w:vAlign w:val="bottom"/>
          </w:tcPr>
          <w:p>
            <w:pPr>
              <w:spacing w:after="0"/>
              <w:rPr>
                <w:sz w:val="14"/>
                <w:szCs w:val="14"/>
                <w:color w:val="auto"/>
              </w:rPr>
            </w:pPr>
          </w:p>
        </w:tc>
        <w:tc>
          <w:tcPr>
            <w:tcW w:w="2280" w:type="dxa"/>
            <w:vAlign w:val="bottom"/>
            <w:gridSpan w:val="3"/>
          </w:tcPr>
          <w:p>
            <w:pPr>
              <w:spacing w:after="0"/>
              <w:rPr>
                <w:sz w:val="20"/>
                <w:szCs w:val="20"/>
                <w:color w:val="auto"/>
              </w:rPr>
            </w:pPr>
            <w:r>
              <w:rPr>
                <w:rFonts w:ascii="Arial" w:cs="Arial" w:eastAsia="Arial" w:hAnsi="Arial"/>
                <w:sz w:val="11"/>
                <w:szCs w:val="11"/>
                <w:color w:val="auto"/>
              </w:rPr>
              <w:t>Two to ten years</w:t>
            </w:r>
          </w:p>
        </w:tc>
        <w:tc>
          <w:tcPr>
            <w:tcW w:w="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71"/>
        </w:trPr>
        <w:tc>
          <w:tcPr>
            <w:tcW w:w="3500" w:type="dxa"/>
            <w:vAlign w:val="bottom"/>
          </w:tcPr>
          <w:p>
            <w:pPr>
              <w:spacing w:after="0"/>
              <w:rPr>
                <w:sz w:val="20"/>
                <w:szCs w:val="20"/>
                <w:color w:val="auto"/>
              </w:rPr>
            </w:pPr>
            <w:r>
              <w:rPr>
                <w:rFonts w:ascii="Arial" w:cs="Arial" w:eastAsia="Arial" w:hAnsi="Arial"/>
                <w:sz w:val="11"/>
                <w:szCs w:val="11"/>
                <w:color w:val="auto"/>
              </w:rPr>
              <w:t>Capitalized software</w:t>
            </w:r>
          </w:p>
        </w:tc>
        <w:tc>
          <w:tcPr>
            <w:tcW w:w="320" w:type="dxa"/>
            <w:vAlign w:val="bottom"/>
          </w:tcPr>
          <w:p>
            <w:pPr>
              <w:spacing w:after="0"/>
              <w:rPr>
                <w:sz w:val="14"/>
                <w:szCs w:val="14"/>
                <w:color w:val="auto"/>
              </w:rPr>
            </w:pPr>
          </w:p>
        </w:tc>
        <w:tc>
          <w:tcPr>
            <w:tcW w:w="2280" w:type="dxa"/>
            <w:vAlign w:val="bottom"/>
            <w:gridSpan w:val="3"/>
          </w:tcPr>
          <w:p>
            <w:pPr>
              <w:spacing w:after="0"/>
              <w:rPr>
                <w:sz w:val="20"/>
                <w:szCs w:val="20"/>
                <w:color w:val="auto"/>
              </w:rPr>
            </w:pPr>
            <w:r>
              <w:rPr>
                <w:rFonts w:ascii="Arial" w:cs="Arial" w:eastAsia="Arial" w:hAnsi="Arial"/>
                <w:sz w:val="11"/>
                <w:szCs w:val="11"/>
                <w:color w:val="auto"/>
              </w:rPr>
              <w:t>Three years</w:t>
            </w:r>
          </w:p>
        </w:tc>
        <w:tc>
          <w:tcPr>
            <w:tcW w:w="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71"/>
        </w:trPr>
        <w:tc>
          <w:tcPr>
            <w:tcW w:w="3500" w:type="dxa"/>
            <w:vAlign w:val="bottom"/>
          </w:tcPr>
          <w:p>
            <w:pPr>
              <w:spacing w:after="0"/>
              <w:rPr>
                <w:sz w:val="20"/>
                <w:szCs w:val="20"/>
                <w:color w:val="auto"/>
              </w:rPr>
            </w:pPr>
            <w:r>
              <w:rPr>
                <w:rFonts w:ascii="Arial" w:cs="Arial" w:eastAsia="Arial" w:hAnsi="Arial"/>
                <w:sz w:val="11"/>
                <w:szCs w:val="11"/>
                <w:color w:val="auto"/>
              </w:rPr>
              <w:t>Furniture and fixtures</w:t>
            </w:r>
          </w:p>
        </w:tc>
        <w:tc>
          <w:tcPr>
            <w:tcW w:w="320" w:type="dxa"/>
            <w:vAlign w:val="bottom"/>
          </w:tcPr>
          <w:p>
            <w:pPr>
              <w:spacing w:after="0"/>
              <w:rPr>
                <w:sz w:val="14"/>
                <w:szCs w:val="14"/>
                <w:color w:val="auto"/>
              </w:rPr>
            </w:pPr>
          </w:p>
        </w:tc>
        <w:tc>
          <w:tcPr>
            <w:tcW w:w="2280" w:type="dxa"/>
            <w:vAlign w:val="bottom"/>
            <w:gridSpan w:val="3"/>
          </w:tcPr>
          <w:p>
            <w:pPr>
              <w:spacing w:after="0"/>
              <w:rPr>
                <w:sz w:val="20"/>
                <w:szCs w:val="20"/>
                <w:color w:val="auto"/>
              </w:rPr>
            </w:pPr>
            <w:r>
              <w:rPr>
                <w:rFonts w:ascii="Arial" w:cs="Arial" w:eastAsia="Arial" w:hAnsi="Arial"/>
                <w:sz w:val="11"/>
                <w:szCs w:val="11"/>
                <w:color w:val="auto"/>
              </w:rPr>
              <w:t>Three to five years</w:t>
            </w:r>
          </w:p>
        </w:tc>
        <w:tc>
          <w:tcPr>
            <w:tcW w:w="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71"/>
        </w:trPr>
        <w:tc>
          <w:tcPr>
            <w:tcW w:w="3500" w:type="dxa"/>
            <w:vAlign w:val="bottom"/>
          </w:tcPr>
          <w:p>
            <w:pPr>
              <w:spacing w:after="0"/>
              <w:rPr>
                <w:sz w:val="20"/>
                <w:szCs w:val="20"/>
                <w:color w:val="auto"/>
              </w:rPr>
            </w:pPr>
            <w:r>
              <w:rPr>
                <w:rFonts w:ascii="Arial" w:cs="Arial" w:eastAsia="Arial" w:hAnsi="Arial"/>
                <w:sz w:val="11"/>
                <w:szCs w:val="11"/>
                <w:color w:val="auto"/>
              </w:rPr>
              <w:t>Property</w:t>
            </w:r>
          </w:p>
        </w:tc>
        <w:tc>
          <w:tcPr>
            <w:tcW w:w="320" w:type="dxa"/>
            <w:vAlign w:val="bottom"/>
          </w:tcPr>
          <w:p>
            <w:pPr>
              <w:spacing w:after="0"/>
              <w:rPr>
                <w:sz w:val="14"/>
                <w:szCs w:val="14"/>
                <w:color w:val="auto"/>
              </w:rPr>
            </w:pPr>
          </w:p>
        </w:tc>
        <w:tc>
          <w:tcPr>
            <w:tcW w:w="2280" w:type="dxa"/>
            <w:vAlign w:val="bottom"/>
            <w:gridSpan w:val="3"/>
          </w:tcPr>
          <w:p>
            <w:pPr>
              <w:spacing w:after="0"/>
              <w:rPr>
                <w:sz w:val="20"/>
                <w:szCs w:val="20"/>
                <w:color w:val="auto"/>
              </w:rPr>
            </w:pPr>
            <w:r>
              <w:rPr>
                <w:rFonts w:ascii="Arial" w:cs="Arial" w:eastAsia="Arial" w:hAnsi="Arial"/>
                <w:sz w:val="11"/>
                <w:szCs w:val="11"/>
                <w:color w:val="auto"/>
              </w:rPr>
              <w:t>20 years</w:t>
            </w:r>
          </w:p>
        </w:tc>
        <w:tc>
          <w:tcPr>
            <w:tcW w:w="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71"/>
        </w:trPr>
        <w:tc>
          <w:tcPr>
            <w:tcW w:w="3500" w:type="dxa"/>
            <w:vAlign w:val="bottom"/>
          </w:tcPr>
          <w:p>
            <w:pPr>
              <w:spacing w:after="0"/>
              <w:rPr>
                <w:sz w:val="20"/>
                <w:szCs w:val="20"/>
                <w:color w:val="auto"/>
              </w:rPr>
            </w:pPr>
            <w:r>
              <w:rPr>
                <w:rFonts w:ascii="Arial" w:cs="Arial" w:eastAsia="Arial" w:hAnsi="Arial"/>
                <w:sz w:val="11"/>
                <w:szCs w:val="11"/>
                <w:color w:val="auto"/>
              </w:rPr>
              <w:t>Pre-production tooling</w:t>
            </w:r>
          </w:p>
        </w:tc>
        <w:tc>
          <w:tcPr>
            <w:tcW w:w="320" w:type="dxa"/>
            <w:vAlign w:val="bottom"/>
          </w:tcPr>
          <w:p>
            <w:pPr>
              <w:spacing w:after="0"/>
              <w:rPr>
                <w:sz w:val="14"/>
                <w:szCs w:val="14"/>
                <w:color w:val="auto"/>
              </w:rPr>
            </w:pPr>
          </w:p>
        </w:tc>
        <w:tc>
          <w:tcPr>
            <w:tcW w:w="2280" w:type="dxa"/>
            <w:vAlign w:val="bottom"/>
            <w:gridSpan w:val="3"/>
          </w:tcPr>
          <w:p>
            <w:pPr>
              <w:spacing w:after="0"/>
              <w:rPr>
                <w:sz w:val="20"/>
                <w:szCs w:val="20"/>
                <w:color w:val="auto"/>
              </w:rPr>
            </w:pPr>
            <w:r>
              <w:rPr>
                <w:rFonts w:ascii="Arial" w:cs="Arial" w:eastAsia="Arial" w:hAnsi="Arial"/>
                <w:sz w:val="11"/>
                <w:szCs w:val="11"/>
                <w:color w:val="auto"/>
              </w:rPr>
              <w:t>Two to five years</w:t>
            </w:r>
          </w:p>
        </w:tc>
        <w:tc>
          <w:tcPr>
            <w:tcW w:w="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225"/>
        </w:trPr>
        <w:tc>
          <w:tcPr>
            <w:tcW w:w="3500" w:type="dxa"/>
            <w:vAlign w:val="bottom"/>
          </w:tcPr>
          <w:p>
            <w:pPr>
              <w:spacing w:after="0"/>
              <w:rPr>
                <w:sz w:val="19"/>
                <w:szCs w:val="19"/>
                <w:color w:val="auto"/>
              </w:rPr>
            </w:pPr>
          </w:p>
        </w:tc>
        <w:tc>
          <w:tcPr>
            <w:tcW w:w="2600" w:type="dxa"/>
            <w:vAlign w:val="bottom"/>
            <w:gridSpan w:val="4"/>
          </w:tcPr>
          <w:p>
            <w:pPr>
              <w:jc w:val="right"/>
              <w:ind w:right="2320"/>
              <w:spacing w:after="0"/>
              <w:rPr>
                <w:sz w:val="20"/>
                <w:szCs w:val="20"/>
                <w:color w:val="auto"/>
              </w:rPr>
            </w:pPr>
            <w:r>
              <w:rPr>
                <w:rFonts w:ascii="Arial" w:cs="Arial" w:eastAsia="Arial" w:hAnsi="Arial"/>
                <w:sz w:val="11"/>
                <w:szCs w:val="11"/>
                <w:color w:val="auto"/>
              </w:rPr>
              <w:t>F-19</w:t>
            </w:r>
          </w:p>
        </w:tc>
        <w:tc>
          <w:tcPr>
            <w:tcW w:w="4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r>
    </w:tbl>
    <w:p>
      <w:pPr>
        <w:sectPr>
          <w:pgSz w:w="11900" w:h="16838" w:orient="portrait"/>
          <w:cols w:equalWidth="0" w:num="1">
            <w:col w:w="10239"/>
          </w:cols>
          <w:pgMar w:left="220" w:top="354" w:right="1440" w:bottom="1440" w:gutter="0" w:footer="0" w:header="0"/>
        </w:sectPr>
      </w:pPr>
    </w:p>
    <w:bookmarkStart w:id="183" w:name="page184"/>
    <w:bookmarkEnd w:id="183"/>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hyperlink w:anchor="page5">
        <w:r>
          <w:rPr>
            <w:rFonts w:ascii="Arial" w:cs="Arial" w:eastAsia="Arial" w:hAnsi="Arial"/>
            <w:sz w:val="12"/>
            <w:szCs w:val="12"/>
            <w:b w:val="1"/>
            <w:bCs w:val="1"/>
            <w:u w:val="single" w:color="auto"/>
            <w:color w:val="0000EE"/>
          </w:rPr>
          <w:t>Table of Contents</w:t>
        </w:r>
      </w:hyperlink>
    </w:p>
    <w:p>
      <w:pPr>
        <w:spacing w:after="0" w:line="200" w:lineRule="exact"/>
        <w:rPr>
          <w:sz w:val="20"/>
          <w:szCs w:val="20"/>
          <w:color w:val="auto"/>
        </w:rPr>
      </w:pPr>
    </w:p>
    <w:p>
      <w:pPr>
        <w:jc w:val="center"/>
        <w:ind w:right="-1220"/>
        <w:spacing w:after="0"/>
        <w:rPr>
          <w:sz w:val="20"/>
          <w:szCs w:val="20"/>
          <w:color w:val="auto"/>
        </w:rPr>
      </w:pPr>
      <w:r>
        <w:rPr>
          <w:rFonts w:ascii="Arial" w:cs="Arial" w:eastAsia="Arial" w:hAnsi="Arial"/>
          <w:sz w:val="12"/>
          <w:szCs w:val="12"/>
          <w:b w:val="1"/>
          <w:bCs w:val="1"/>
          <w:color w:val="auto"/>
        </w:rPr>
        <w:t>PELOTON INTERACTIVE, INC.</w:t>
      </w:r>
    </w:p>
    <w:p>
      <w:pPr>
        <w:spacing w:after="0" w:line="11" w:lineRule="exact"/>
        <w:rPr>
          <w:sz w:val="20"/>
          <w:szCs w:val="20"/>
          <w:color w:val="auto"/>
        </w:rPr>
      </w:pPr>
    </w:p>
    <w:p>
      <w:pPr>
        <w:jc w:val="center"/>
        <w:ind w:right="-1220"/>
        <w:spacing w:after="0"/>
        <w:rPr>
          <w:sz w:val="20"/>
          <w:szCs w:val="20"/>
          <w:color w:val="auto"/>
        </w:rPr>
      </w:pPr>
      <w:r>
        <w:rPr>
          <w:rFonts w:ascii="Arial" w:cs="Arial" w:eastAsia="Arial" w:hAnsi="Arial"/>
          <w:sz w:val="12"/>
          <w:szCs w:val="12"/>
          <w:b w:val="1"/>
          <w:bCs w:val="1"/>
          <w:color w:val="auto"/>
        </w:rPr>
        <w:t>NOTES TO CONSOLIDATED FINANCIAL STATEMENTS</w:t>
      </w:r>
    </w:p>
    <w:p>
      <w:pPr>
        <w:spacing w:after="0" w:line="80" w:lineRule="exact"/>
        <w:rPr>
          <w:sz w:val="20"/>
          <w:szCs w:val="20"/>
          <w:color w:val="auto"/>
        </w:rPr>
      </w:pPr>
    </w:p>
    <w:p>
      <w:pPr>
        <w:jc w:val="both"/>
        <w:ind w:left="2060" w:right="839"/>
        <w:spacing w:after="0"/>
        <w:rPr>
          <w:sz w:val="20"/>
          <w:szCs w:val="20"/>
          <w:color w:val="auto"/>
        </w:rPr>
      </w:pPr>
      <w:r>
        <w:rPr>
          <w:rFonts w:ascii="Arial" w:cs="Arial" w:eastAsia="Arial" w:hAnsi="Arial"/>
          <w:sz w:val="11"/>
          <w:szCs w:val="11"/>
          <w:color w:val="auto"/>
        </w:rPr>
        <w:t>In November 2018, the Company entered into a lease agreement for office space for its new corporate headquarters. As a result of the Company’s involvement during the construction period, whereby the Company had certain indemnification obligations related to the construction, the Company is considered, for accounting purposes only, the owner of the construction project under build-to-suit lease accounting. Accordingly, the Company recorded the estimated fair value of the leased space as an asset, noted in the table above as “Building-build-to-suit asset.” The Company also recorded a corresponding long-term lease liability. Refer to Note 11, Commitments and Contingencies for further details.</w:t>
      </w:r>
    </w:p>
    <w:p>
      <w:pPr>
        <w:spacing w:after="0" w:line="142" w:lineRule="exact"/>
        <w:rPr>
          <w:sz w:val="20"/>
          <w:szCs w:val="20"/>
          <w:color w:val="auto"/>
        </w:rPr>
      </w:pPr>
    </w:p>
    <w:p>
      <w:pPr>
        <w:jc w:val="both"/>
        <w:ind w:left="2060" w:right="839"/>
        <w:spacing w:after="0" w:line="242" w:lineRule="auto"/>
        <w:rPr>
          <w:sz w:val="20"/>
          <w:szCs w:val="20"/>
          <w:color w:val="auto"/>
        </w:rPr>
      </w:pPr>
      <w:r>
        <w:rPr>
          <w:rFonts w:ascii="Arial" w:cs="Arial" w:eastAsia="Arial" w:hAnsi="Arial"/>
          <w:sz w:val="11"/>
          <w:szCs w:val="11"/>
          <w:color w:val="auto"/>
        </w:rPr>
        <w:t>Depreciation and amortization expense amounted to $3.7 million, $6.3 million, and $16.7 million for the fiscal years ended June 30, 2017, 2018, and 2019, respectively, of which zero, $1.2 million, and $3.3 million related to amortization of capitalized software costs for the fiscal years ended June 30, 2017, 2018, and 2019.</w:t>
      </w:r>
    </w:p>
    <w:p>
      <w:pPr>
        <w:spacing w:after="0" w:line="200" w:lineRule="exact"/>
        <w:rPr>
          <w:sz w:val="20"/>
          <w:szCs w:val="20"/>
          <w:color w:val="auto"/>
        </w:rPr>
      </w:pPr>
    </w:p>
    <w:p>
      <w:pPr>
        <w:ind w:left="2060"/>
        <w:spacing w:after="0"/>
        <w:rPr>
          <w:sz w:val="20"/>
          <w:szCs w:val="20"/>
          <w:color w:val="auto"/>
        </w:rPr>
      </w:pPr>
      <w:r>
        <w:rPr>
          <w:rFonts w:ascii="Arial" w:cs="Arial" w:eastAsia="Arial" w:hAnsi="Arial"/>
          <w:sz w:val="11"/>
          <w:szCs w:val="11"/>
          <w:b w:val="1"/>
          <w:bCs w:val="1"/>
          <w:color w:val="auto"/>
        </w:rPr>
        <w:t>8. Goodwill and Intangible Assets</w:t>
      </w:r>
    </w:p>
    <w:p>
      <w:pPr>
        <w:spacing w:after="0" w:line="84" w:lineRule="exact"/>
        <w:rPr>
          <w:sz w:val="20"/>
          <w:szCs w:val="20"/>
          <w:color w:val="auto"/>
        </w:rPr>
      </w:pPr>
    </w:p>
    <w:p>
      <w:pPr>
        <w:ind w:left="2060"/>
        <w:spacing w:after="0"/>
        <w:rPr>
          <w:sz w:val="20"/>
          <w:szCs w:val="20"/>
          <w:color w:val="auto"/>
        </w:rPr>
      </w:pPr>
      <w:r>
        <w:rPr>
          <w:rFonts w:ascii="Arial" w:cs="Arial" w:eastAsia="Arial" w:hAnsi="Arial"/>
          <w:sz w:val="11"/>
          <w:szCs w:val="11"/>
          <w:color w:val="auto"/>
        </w:rPr>
        <w:t>The changes in the carrying value of goodwill are as follows:</w:t>
      </w:r>
    </w:p>
    <w:p>
      <w:pPr>
        <w:spacing w:after="0" w:line="150" w:lineRule="exact"/>
        <w:rPr>
          <w:sz w:val="20"/>
          <w:szCs w:val="20"/>
          <w:color w:val="auto"/>
        </w:rPr>
      </w:pPr>
    </w:p>
    <w:tbl>
      <w:tblPr>
        <w:tblLayout w:type="fixed"/>
        <w:tblInd w:w="2060" w:type="dxa"/>
        <w:tblCellMar>
          <w:top w:w="0" w:type="dxa"/>
          <w:left w:w="0" w:type="dxa"/>
          <w:bottom w:w="0" w:type="dxa"/>
          <w:right w:w="0" w:type="dxa"/>
        </w:tblCellMar>
      </w:tblPr>
      <w:tr>
        <w:trPr>
          <w:trHeight w:val="137"/>
        </w:trPr>
        <w:tc>
          <w:tcPr>
            <w:tcW w:w="3620" w:type="dxa"/>
            <w:vAlign w:val="bottom"/>
          </w:tcPr>
          <w:p>
            <w:pPr>
              <w:spacing w:after="0"/>
              <w:rPr>
                <w:sz w:val="11"/>
                <w:szCs w:val="11"/>
                <w:color w:val="auto"/>
              </w:rPr>
            </w:pPr>
          </w:p>
        </w:tc>
        <w:tc>
          <w:tcPr>
            <w:tcW w:w="23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1"/>
                <w:szCs w:val="11"/>
                <w:b w:val="1"/>
                <w:bCs w:val="1"/>
                <w:color w:val="auto"/>
              </w:rPr>
              <w:t>June 30,</w:t>
            </w:r>
          </w:p>
        </w:tc>
        <w:tc>
          <w:tcPr>
            <w:tcW w:w="380" w:type="dxa"/>
            <w:vAlign w:val="bottom"/>
            <w:tcBorders>
              <w:bottom w:val="single" w:sz="8" w:color="auto"/>
            </w:tcBorders>
          </w:tcPr>
          <w:p>
            <w:pPr>
              <w:spacing w:after="0"/>
              <w:rPr>
                <w:sz w:val="11"/>
                <w:szCs w:val="11"/>
                <w:color w:val="auto"/>
              </w:rPr>
            </w:pPr>
          </w:p>
        </w:tc>
        <w:tc>
          <w:tcPr>
            <w:tcW w:w="40" w:type="dxa"/>
            <w:vAlign w:val="bottom"/>
          </w:tcPr>
          <w:p>
            <w:pPr>
              <w:spacing w:after="0"/>
              <w:rPr>
                <w:sz w:val="11"/>
                <w:szCs w:val="11"/>
                <w:color w:val="auto"/>
              </w:rPr>
            </w:pPr>
          </w:p>
        </w:tc>
      </w:tr>
      <w:tr>
        <w:trPr>
          <w:trHeight w:val="115"/>
        </w:trPr>
        <w:tc>
          <w:tcPr>
            <w:tcW w:w="3620" w:type="dxa"/>
            <w:vAlign w:val="bottom"/>
          </w:tcPr>
          <w:p>
            <w:pPr>
              <w:spacing w:after="0"/>
              <w:rPr>
                <w:sz w:val="10"/>
                <w:szCs w:val="10"/>
                <w:color w:val="auto"/>
              </w:rPr>
            </w:pPr>
          </w:p>
        </w:tc>
        <w:tc>
          <w:tcPr>
            <w:tcW w:w="234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jc w:val="right"/>
              <w:ind w:right="86"/>
              <w:spacing w:after="0" w:line="115" w:lineRule="exact"/>
              <w:rPr>
                <w:sz w:val="20"/>
                <w:szCs w:val="20"/>
                <w:color w:val="auto"/>
              </w:rPr>
            </w:pPr>
            <w:r>
              <w:rPr>
                <w:rFonts w:ascii="Arial" w:cs="Arial" w:eastAsia="Arial" w:hAnsi="Arial"/>
                <w:sz w:val="11"/>
                <w:szCs w:val="11"/>
                <w:b w:val="1"/>
                <w:bCs w:val="1"/>
                <w:color w:val="auto"/>
                <w:w w:val="97"/>
              </w:rPr>
              <w:t>2018</w:t>
            </w:r>
          </w:p>
        </w:tc>
        <w:tc>
          <w:tcPr>
            <w:tcW w:w="3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jc w:val="right"/>
              <w:ind w:right="86"/>
              <w:spacing w:after="0" w:line="115" w:lineRule="exact"/>
              <w:rPr>
                <w:sz w:val="20"/>
                <w:szCs w:val="20"/>
                <w:color w:val="auto"/>
              </w:rPr>
            </w:pPr>
            <w:r>
              <w:rPr>
                <w:rFonts w:ascii="Arial" w:cs="Arial" w:eastAsia="Arial" w:hAnsi="Arial"/>
                <w:sz w:val="11"/>
                <w:szCs w:val="11"/>
                <w:b w:val="1"/>
                <w:bCs w:val="1"/>
                <w:color w:val="auto"/>
                <w:w w:val="89"/>
              </w:rPr>
              <w:t>2019</w:t>
            </w:r>
          </w:p>
        </w:tc>
        <w:tc>
          <w:tcPr>
            <w:tcW w:w="40" w:type="dxa"/>
            <w:vAlign w:val="bottom"/>
          </w:tcPr>
          <w:p>
            <w:pPr>
              <w:spacing w:after="0"/>
              <w:rPr>
                <w:sz w:val="10"/>
                <w:szCs w:val="10"/>
                <w:color w:val="auto"/>
              </w:rPr>
            </w:pPr>
          </w:p>
        </w:tc>
      </w:tr>
      <w:tr>
        <w:trPr>
          <w:trHeight w:val="115"/>
        </w:trPr>
        <w:tc>
          <w:tcPr>
            <w:tcW w:w="3620" w:type="dxa"/>
            <w:vAlign w:val="bottom"/>
          </w:tcPr>
          <w:p>
            <w:pPr>
              <w:spacing w:after="0"/>
              <w:rPr>
                <w:sz w:val="10"/>
                <w:szCs w:val="10"/>
                <w:color w:val="auto"/>
              </w:rPr>
            </w:pPr>
          </w:p>
        </w:tc>
        <w:tc>
          <w:tcPr>
            <w:tcW w:w="2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gridSpan w:val="3"/>
          </w:tcPr>
          <w:p>
            <w:pPr>
              <w:jc w:val="right"/>
              <w:spacing w:after="0" w:line="115" w:lineRule="exact"/>
              <w:rPr>
                <w:sz w:val="20"/>
                <w:szCs w:val="20"/>
                <w:color w:val="auto"/>
              </w:rPr>
            </w:pPr>
            <w:r>
              <w:rPr>
                <w:rFonts w:ascii="Arial" w:cs="Arial" w:eastAsia="Arial" w:hAnsi="Arial"/>
                <w:sz w:val="11"/>
                <w:szCs w:val="11"/>
                <w:b w:val="1"/>
                <w:bCs w:val="1"/>
                <w:color w:val="auto"/>
              </w:rPr>
              <w:t>(in millions)</w:t>
            </w:r>
          </w:p>
        </w:tc>
        <w:tc>
          <w:tcPr>
            <w:tcW w:w="380" w:type="dxa"/>
            <w:vAlign w:val="bottom"/>
          </w:tcPr>
          <w:p>
            <w:pPr>
              <w:spacing w:after="0"/>
              <w:rPr>
                <w:sz w:val="10"/>
                <w:szCs w:val="10"/>
                <w:color w:val="auto"/>
              </w:rPr>
            </w:pPr>
          </w:p>
        </w:tc>
        <w:tc>
          <w:tcPr>
            <w:tcW w:w="40" w:type="dxa"/>
            <w:vAlign w:val="bottom"/>
          </w:tcPr>
          <w:p>
            <w:pPr>
              <w:spacing w:after="0"/>
              <w:rPr>
                <w:sz w:val="10"/>
                <w:szCs w:val="10"/>
                <w:color w:val="auto"/>
              </w:rPr>
            </w:pPr>
          </w:p>
        </w:tc>
      </w:tr>
      <w:tr>
        <w:trPr>
          <w:trHeight w:val="126"/>
        </w:trPr>
        <w:tc>
          <w:tcPr>
            <w:tcW w:w="3620" w:type="dxa"/>
            <w:vAlign w:val="bottom"/>
            <w:shd w:val="clear" w:color="auto" w:fill="CCEEFF"/>
          </w:tcPr>
          <w:p>
            <w:pPr>
              <w:spacing w:after="0"/>
              <w:rPr>
                <w:sz w:val="20"/>
                <w:szCs w:val="20"/>
                <w:color w:val="auto"/>
              </w:rPr>
            </w:pPr>
            <w:r>
              <w:rPr>
                <w:rFonts w:ascii="Arial" w:cs="Arial" w:eastAsia="Arial" w:hAnsi="Arial"/>
                <w:sz w:val="11"/>
                <w:szCs w:val="11"/>
                <w:color w:val="auto"/>
              </w:rPr>
              <w:t>Goodwill, opening balance</w:t>
            </w:r>
          </w:p>
        </w:tc>
        <w:tc>
          <w:tcPr>
            <w:tcW w:w="244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4.2</w:t>
            </w:r>
          </w:p>
        </w:tc>
        <w:tc>
          <w:tcPr>
            <w:tcW w:w="40" w:type="dxa"/>
            <w:vAlign w:val="bottom"/>
            <w:shd w:val="clear" w:color="auto" w:fill="CCEEFF"/>
          </w:tcPr>
          <w:p>
            <w:pPr>
              <w:spacing w:after="0"/>
              <w:rPr>
                <w:sz w:val="10"/>
                <w:szCs w:val="10"/>
                <w:color w:val="auto"/>
              </w:rPr>
            </w:pPr>
          </w:p>
        </w:tc>
      </w:tr>
      <w:tr>
        <w:trPr>
          <w:trHeight w:val="126"/>
        </w:trPr>
        <w:tc>
          <w:tcPr>
            <w:tcW w:w="3620" w:type="dxa"/>
            <w:vAlign w:val="bottom"/>
          </w:tcPr>
          <w:p>
            <w:pPr>
              <w:spacing w:after="0"/>
              <w:rPr>
                <w:sz w:val="20"/>
                <w:szCs w:val="20"/>
                <w:color w:val="auto"/>
              </w:rPr>
            </w:pPr>
            <w:r>
              <w:rPr>
                <w:rFonts w:ascii="Arial" w:cs="Arial" w:eastAsia="Arial" w:hAnsi="Arial"/>
                <w:sz w:val="11"/>
                <w:szCs w:val="11"/>
                <w:color w:val="auto"/>
              </w:rPr>
              <w:t>Acquisition</w:t>
            </w:r>
          </w:p>
        </w:tc>
        <w:tc>
          <w:tcPr>
            <w:tcW w:w="234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4.2</w:t>
            </w:r>
          </w:p>
        </w:tc>
        <w:tc>
          <w:tcPr>
            <w:tcW w:w="38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0.1</w:t>
            </w:r>
          </w:p>
        </w:tc>
        <w:tc>
          <w:tcPr>
            <w:tcW w:w="40" w:type="dxa"/>
            <w:vAlign w:val="bottom"/>
          </w:tcPr>
          <w:p>
            <w:pPr>
              <w:spacing w:after="0"/>
              <w:rPr>
                <w:sz w:val="10"/>
                <w:szCs w:val="10"/>
                <w:color w:val="auto"/>
              </w:rPr>
            </w:pPr>
          </w:p>
        </w:tc>
      </w:tr>
      <w:tr>
        <w:trPr>
          <w:trHeight w:val="124"/>
        </w:trPr>
        <w:tc>
          <w:tcPr>
            <w:tcW w:w="3620" w:type="dxa"/>
            <w:vAlign w:val="bottom"/>
            <w:shd w:val="clear" w:color="auto" w:fill="CCEEFF"/>
          </w:tcPr>
          <w:p>
            <w:pPr>
              <w:spacing w:after="0" w:line="124" w:lineRule="exact"/>
              <w:rPr>
                <w:sz w:val="20"/>
                <w:szCs w:val="20"/>
                <w:color w:val="auto"/>
              </w:rPr>
            </w:pPr>
            <w:r>
              <w:rPr>
                <w:rFonts w:ascii="Arial" w:cs="Arial" w:eastAsia="Arial" w:hAnsi="Arial"/>
                <w:sz w:val="11"/>
                <w:szCs w:val="11"/>
                <w:color w:val="auto"/>
              </w:rPr>
              <w:t>Goodwill, closing balance</w:t>
            </w:r>
          </w:p>
        </w:tc>
        <w:tc>
          <w:tcPr>
            <w:tcW w:w="2340" w:type="dxa"/>
            <w:vAlign w:val="bottom"/>
            <w:shd w:val="clear" w:color="auto" w:fill="CCEEFF"/>
          </w:tcPr>
          <w:p>
            <w:pPr>
              <w:spacing w:after="0"/>
              <w:rPr>
                <w:sz w:val="10"/>
                <w:szCs w:val="1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shd w:val="clear" w:color="auto" w:fill="CCEEFF"/>
          </w:tcPr>
          <w:p>
            <w:pPr>
              <w:jc w:val="right"/>
              <w:spacing w:after="0" w:line="124" w:lineRule="exact"/>
              <w:rPr>
                <w:sz w:val="20"/>
                <w:szCs w:val="20"/>
                <w:color w:val="auto"/>
              </w:rPr>
            </w:pPr>
            <w:r>
              <w:rPr>
                <w:rFonts w:ascii="Arial" w:cs="Arial" w:eastAsia="Arial" w:hAnsi="Arial"/>
                <w:sz w:val="11"/>
                <w:szCs w:val="11"/>
                <w:color w:val="auto"/>
              </w:rPr>
              <w:t>4.2</w:t>
            </w:r>
          </w:p>
        </w:tc>
        <w:tc>
          <w:tcPr>
            <w:tcW w:w="480" w:type="dxa"/>
            <w:vAlign w:val="bottom"/>
            <w:gridSpan w:val="2"/>
            <w:shd w:val="clear" w:color="auto" w:fill="CCEEFF"/>
          </w:tcPr>
          <w:p>
            <w:pPr>
              <w:jc w:val="right"/>
              <w:ind w:right="60"/>
              <w:spacing w:after="0" w:line="124" w:lineRule="exact"/>
              <w:rPr>
                <w:sz w:val="20"/>
                <w:szCs w:val="20"/>
                <w:color w:val="auto"/>
              </w:rPr>
            </w:pPr>
            <w:r>
              <w:rPr>
                <w:rFonts w:ascii="Arial" w:cs="Arial" w:eastAsia="Arial" w:hAnsi="Arial"/>
                <w:sz w:val="11"/>
                <w:szCs w:val="11"/>
                <w:color w:val="auto"/>
              </w:rPr>
              <w:t>$</w:t>
            </w:r>
          </w:p>
        </w:tc>
        <w:tc>
          <w:tcPr>
            <w:tcW w:w="380" w:type="dxa"/>
            <w:vAlign w:val="bottom"/>
            <w:shd w:val="clear" w:color="auto" w:fill="CCEEFF"/>
          </w:tcPr>
          <w:p>
            <w:pPr>
              <w:jc w:val="right"/>
              <w:spacing w:after="0" w:line="124" w:lineRule="exact"/>
              <w:rPr>
                <w:sz w:val="20"/>
                <w:szCs w:val="20"/>
                <w:color w:val="auto"/>
              </w:rPr>
            </w:pPr>
            <w:r>
              <w:rPr>
                <w:rFonts w:ascii="Arial" w:cs="Arial" w:eastAsia="Arial" w:hAnsi="Arial"/>
                <w:sz w:val="11"/>
                <w:szCs w:val="11"/>
                <w:color w:val="auto"/>
              </w:rPr>
              <w:t>4.3</w:t>
            </w:r>
          </w:p>
        </w:tc>
        <w:tc>
          <w:tcPr>
            <w:tcW w:w="40" w:type="dxa"/>
            <w:vAlign w:val="bottom"/>
            <w:shd w:val="clear" w:color="auto" w:fill="CCEEFF"/>
          </w:tcPr>
          <w:p>
            <w:pPr>
              <w:spacing w:after="0"/>
              <w:rPr>
                <w:sz w:val="10"/>
                <w:szCs w:val="10"/>
                <w:color w:val="auto"/>
              </w:rPr>
            </w:pPr>
          </w:p>
        </w:tc>
      </w:tr>
      <w:tr>
        <w:trPr>
          <w:trHeight w:val="27"/>
        </w:trPr>
        <w:tc>
          <w:tcPr>
            <w:tcW w:w="3620" w:type="dxa"/>
            <w:vAlign w:val="bottom"/>
          </w:tcPr>
          <w:p>
            <w:pPr>
              <w:spacing w:after="0"/>
              <w:rPr>
                <w:sz w:val="2"/>
                <w:szCs w:val="2"/>
                <w:color w:val="auto"/>
              </w:rPr>
            </w:pPr>
          </w:p>
        </w:tc>
        <w:tc>
          <w:tcPr>
            <w:tcW w:w="2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r>
    </w:tbl>
    <w:p>
      <w:pPr>
        <w:spacing w:after="0" w:line="154" w:lineRule="exact"/>
        <w:rPr>
          <w:sz w:val="20"/>
          <w:szCs w:val="20"/>
          <w:color w:val="auto"/>
        </w:rPr>
      </w:pPr>
    </w:p>
    <w:p>
      <w:pPr>
        <w:ind w:left="2060"/>
        <w:spacing w:after="0"/>
        <w:rPr>
          <w:sz w:val="20"/>
          <w:szCs w:val="20"/>
          <w:color w:val="auto"/>
        </w:rPr>
      </w:pPr>
      <w:r>
        <w:rPr>
          <w:rFonts w:ascii="Arial" w:cs="Arial" w:eastAsia="Arial" w:hAnsi="Arial"/>
          <w:sz w:val="11"/>
          <w:szCs w:val="11"/>
          <w:color w:val="auto"/>
        </w:rPr>
        <w:t>The gross carrying amount and accumulated amortization of the Company’s intangible assets, net, as of June 30, 2018, were as follows:</w:t>
      </w:r>
    </w:p>
    <w:p>
      <w:pPr>
        <w:spacing w:after="0" w:line="149" w:lineRule="exact"/>
        <w:rPr>
          <w:sz w:val="20"/>
          <w:szCs w:val="20"/>
          <w:color w:val="auto"/>
        </w:rPr>
      </w:pPr>
    </w:p>
    <w:tbl>
      <w:tblPr>
        <w:tblLayout w:type="fixed"/>
        <w:tblInd w:w="2060" w:type="dxa"/>
        <w:tblCellMar>
          <w:top w:w="0" w:type="dxa"/>
          <w:left w:w="0" w:type="dxa"/>
          <w:bottom w:w="0" w:type="dxa"/>
          <w:right w:w="0" w:type="dxa"/>
        </w:tblCellMar>
      </w:tblPr>
      <w:tr>
        <w:trPr>
          <w:trHeight w:val="126"/>
        </w:trPr>
        <w:tc>
          <w:tcPr>
            <w:tcW w:w="24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1"/>
                <w:szCs w:val="11"/>
                <w:b w:val="1"/>
                <w:bCs w:val="1"/>
                <w:color w:val="auto"/>
              </w:rPr>
              <w:t>Weighted-Average</w:t>
            </w:r>
          </w:p>
        </w:tc>
      </w:tr>
      <w:tr>
        <w:trPr>
          <w:trHeight w:val="126"/>
        </w:trPr>
        <w:tc>
          <w:tcPr>
            <w:tcW w:w="24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580" w:type="dxa"/>
            <w:vAlign w:val="bottom"/>
          </w:tcPr>
          <w:p>
            <w:pPr>
              <w:jc w:val="center"/>
              <w:ind w:right="166"/>
              <w:spacing w:after="0"/>
              <w:rPr>
                <w:sz w:val="20"/>
                <w:szCs w:val="20"/>
                <w:color w:val="auto"/>
              </w:rPr>
            </w:pPr>
            <w:r>
              <w:rPr>
                <w:rFonts w:ascii="Arial" w:cs="Arial" w:eastAsia="Arial" w:hAnsi="Arial"/>
                <w:sz w:val="11"/>
                <w:szCs w:val="11"/>
                <w:b w:val="1"/>
                <w:bCs w:val="1"/>
                <w:color w:val="auto"/>
              </w:rPr>
              <w:t>Gross</w:t>
            </w:r>
          </w:p>
        </w:tc>
        <w:tc>
          <w:tcPr>
            <w:tcW w:w="1100" w:type="dxa"/>
            <w:vAlign w:val="bottom"/>
            <w:gridSpan w:val="2"/>
          </w:tcPr>
          <w:p>
            <w:pPr>
              <w:ind w:left="220"/>
              <w:spacing w:after="0"/>
              <w:rPr>
                <w:sz w:val="20"/>
                <w:szCs w:val="20"/>
                <w:color w:val="auto"/>
              </w:rPr>
            </w:pPr>
            <w:r>
              <w:rPr>
                <w:rFonts w:ascii="Arial" w:cs="Arial" w:eastAsia="Arial" w:hAnsi="Arial"/>
                <w:sz w:val="11"/>
                <w:szCs w:val="11"/>
                <w:b w:val="1"/>
                <w:bCs w:val="1"/>
                <w:color w:val="auto"/>
              </w:rPr>
              <w:t>Accumulated</w:t>
            </w:r>
          </w:p>
        </w:tc>
        <w:tc>
          <w:tcPr>
            <w:tcW w:w="1100" w:type="dxa"/>
            <w:vAlign w:val="bottom"/>
            <w:gridSpan w:val="2"/>
          </w:tcPr>
          <w:p>
            <w:pPr>
              <w:ind w:left="220"/>
              <w:spacing w:after="0"/>
              <w:rPr>
                <w:sz w:val="20"/>
                <w:szCs w:val="20"/>
                <w:color w:val="auto"/>
              </w:rPr>
            </w:pPr>
            <w:r>
              <w:rPr>
                <w:rFonts w:ascii="Arial" w:cs="Arial" w:eastAsia="Arial" w:hAnsi="Arial"/>
                <w:sz w:val="11"/>
                <w:szCs w:val="11"/>
                <w:b w:val="1"/>
                <w:bCs w:val="1"/>
                <w:color w:val="auto"/>
              </w:rPr>
              <w:t>Net Carrying</w:t>
            </w:r>
          </w:p>
        </w:tc>
        <w:tc>
          <w:tcPr>
            <w:tcW w:w="1180" w:type="dxa"/>
            <w:vAlign w:val="bottom"/>
            <w:gridSpan w:val="2"/>
          </w:tcPr>
          <w:p>
            <w:pPr>
              <w:ind w:left="380"/>
              <w:spacing w:after="0"/>
              <w:rPr>
                <w:sz w:val="20"/>
                <w:szCs w:val="20"/>
                <w:color w:val="auto"/>
              </w:rPr>
            </w:pPr>
            <w:r>
              <w:rPr>
                <w:rFonts w:ascii="Arial" w:cs="Arial" w:eastAsia="Arial" w:hAnsi="Arial"/>
                <w:sz w:val="11"/>
                <w:szCs w:val="11"/>
                <w:b w:val="1"/>
                <w:bCs w:val="1"/>
                <w:color w:val="auto"/>
              </w:rPr>
              <w:t>Remaining</w:t>
            </w:r>
          </w:p>
        </w:tc>
      </w:tr>
      <w:tr>
        <w:trPr>
          <w:trHeight w:val="137"/>
        </w:trPr>
        <w:tc>
          <w:tcPr>
            <w:tcW w:w="24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580" w:type="dxa"/>
            <w:vAlign w:val="bottom"/>
          </w:tcPr>
          <w:p>
            <w:pPr>
              <w:jc w:val="center"/>
              <w:ind w:right="166"/>
              <w:spacing w:after="0"/>
              <w:rPr>
                <w:sz w:val="20"/>
                <w:szCs w:val="20"/>
                <w:color w:val="auto"/>
              </w:rPr>
            </w:pPr>
            <w:r>
              <w:rPr>
                <w:rFonts w:ascii="Arial" w:cs="Arial" w:eastAsia="Arial" w:hAnsi="Arial"/>
                <w:sz w:val="11"/>
                <w:szCs w:val="11"/>
                <w:b w:val="1"/>
                <w:bCs w:val="1"/>
                <w:color w:val="auto"/>
                <w:w w:val="95"/>
              </w:rPr>
              <w:t>Value</w:t>
            </w:r>
          </w:p>
        </w:tc>
        <w:tc>
          <w:tcPr>
            <w:tcW w:w="1100" w:type="dxa"/>
            <w:vAlign w:val="bottom"/>
            <w:gridSpan w:val="2"/>
          </w:tcPr>
          <w:p>
            <w:pPr>
              <w:ind w:left="220"/>
              <w:spacing w:after="0"/>
              <w:rPr>
                <w:sz w:val="20"/>
                <w:szCs w:val="20"/>
                <w:color w:val="auto"/>
              </w:rPr>
            </w:pPr>
            <w:r>
              <w:rPr>
                <w:rFonts w:ascii="Arial" w:cs="Arial" w:eastAsia="Arial" w:hAnsi="Arial"/>
                <w:sz w:val="11"/>
                <w:szCs w:val="11"/>
                <w:b w:val="1"/>
                <w:bCs w:val="1"/>
                <w:color w:val="auto"/>
              </w:rPr>
              <w:t>Amortization</w:t>
            </w:r>
          </w:p>
        </w:tc>
        <w:tc>
          <w:tcPr>
            <w:tcW w:w="340" w:type="dxa"/>
            <w:vAlign w:val="bottom"/>
          </w:tcPr>
          <w:p>
            <w:pPr>
              <w:spacing w:after="0"/>
              <w:rPr>
                <w:sz w:val="11"/>
                <w:szCs w:val="11"/>
                <w:color w:val="auto"/>
              </w:rPr>
            </w:pPr>
          </w:p>
        </w:tc>
        <w:tc>
          <w:tcPr>
            <w:tcW w:w="760" w:type="dxa"/>
            <w:vAlign w:val="bottom"/>
          </w:tcPr>
          <w:p>
            <w:pPr>
              <w:jc w:val="right"/>
              <w:ind w:right="366"/>
              <w:spacing w:after="0"/>
              <w:rPr>
                <w:sz w:val="20"/>
                <w:szCs w:val="20"/>
                <w:color w:val="auto"/>
              </w:rPr>
            </w:pPr>
            <w:r>
              <w:rPr>
                <w:rFonts w:ascii="Arial" w:cs="Arial" w:eastAsia="Arial" w:hAnsi="Arial"/>
                <w:sz w:val="11"/>
                <w:szCs w:val="11"/>
                <w:b w:val="1"/>
                <w:bCs w:val="1"/>
                <w:color w:val="auto"/>
              </w:rPr>
              <w:t>Value</w:t>
            </w:r>
          </w:p>
        </w:tc>
        <w:tc>
          <w:tcPr>
            <w:tcW w:w="1180" w:type="dxa"/>
            <w:vAlign w:val="bottom"/>
            <w:gridSpan w:val="2"/>
          </w:tcPr>
          <w:p>
            <w:pPr>
              <w:jc w:val="right"/>
              <w:ind w:right="60"/>
              <w:spacing w:after="0"/>
              <w:rPr>
                <w:sz w:val="20"/>
                <w:szCs w:val="20"/>
                <w:color w:val="auto"/>
              </w:rPr>
            </w:pPr>
            <w:r>
              <w:rPr>
                <w:rFonts w:ascii="Arial" w:cs="Arial" w:eastAsia="Arial" w:hAnsi="Arial"/>
                <w:sz w:val="11"/>
                <w:szCs w:val="11"/>
                <w:b w:val="1"/>
                <w:bCs w:val="1"/>
                <w:color w:val="auto"/>
              </w:rPr>
              <w:t>Useful Life (years)</w:t>
            </w:r>
          </w:p>
        </w:tc>
      </w:tr>
      <w:tr>
        <w:trPr>
          <w:trHeight w:val="115"/>
        </w:trPr>
        <w:tc>
          <w:tcPr>
            <w:tcW w:w="24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1700" w:type="dxa"/>
            <w:vAlign w:val="bottom"/>
            <w:tcBorders>
              <w:top w:val="single" w:sz="8" w:color="auto"/>
            </w:tcBorders>
            <w:gridSpan w:val="3"/>
          </w:tcPr>
          <w:p>
            <w:pPr>
              <w:jc w:val="right"/>
              <w:ind w:right="106"/>
              <w:spacing w:after="0" w:line="115" w:lineRule="exact"/>
              <w:rPr>
                <w:sz w:val="20"/>
                <w:szCs w:val="20"/>
                <w:color w:val="auto"/>
              </w:rPr>
            </w:pPr>
            <w:r>
              <w:rPr>
                <w:rFonts w:ascii="Arial" w:cs="Arial" w:eastAsia="Arial" w:hAnsi="Arial"/>
                <w:sz w:val="11"/>
                <w:szCs w:val="11"/>
                <w:b w:val="1"/>
                <w:bCs w:val="1"/>
                <w:color w:val="auto"/>
              </w:rPr>
              <w:t>(in millions, except years)</w:t>
            </w:r>
          </w:p>
        </w:tc>
        <w:tc>
          <w:tcPr>
            <w:tcW w:w="1140" w:type="dxa"/>
            <w:vAlign w:val="bottom"/>
            <w:tcBorders>
              <w:top w:val="single" w:sz="8" w:color="auto"/>
            </w:tcBorders>
          </w:tcPr>
          <w:p>
            <w:pPr>
              <w:spacing w:after="0"/>
              <w:rPr>
                <w:sz w:val="10"/>
                <w:szCs w:val="10"/>
                <w:color w:val="auto"/>
              </w:rPr>
            </w:pPr>
          </w:p>
        </w:tc>
        <w:tc>
          <w:tcPr>
            <w:tcW w:w="40" w:type="dxa"/>
            <w:vAlign w:val="bottom"/>
          </w:tcPr>
          <w:p>
            <w:pPr>
              <w:spacing w:after="0"/>
              <w:rPr>
                <w:sz w:val="10"/>
                <w:szCs w:val="10"/>
                <w:color w:val="auto"/>
              </w:rPr>
            </w:pPr>
          </w:p>
        </w:tc>
      </w:tr>
      <w:tr>
        <w:trPr>
          <w:trHeight w:val="126"/>
        </w:trPr>
        <w:tc>
          <w:tcPr>
            <w:tcW w:w="2440" w:type="dxa"/>
            <w:vAlign w:val="bottom"/>
            <w:shd w:val="clear" w:color="auto" w:fill="CCEEFF"/>
          </w:tcPr>
          <w:p>
            <w:pPr>
              <w:spacing w:after="0"/>
              <w:rPr>
                <w:sz w:val="20"/>
                <w:szCs w:val="20"/>
                <w:color w:val="auto"/>
              </w:rPr>
            </w:pPr>
            <w:r>
              <w:rPr>
                <w:rFonts w:ascii="Arial" w:cs="Arial" w:eastAsia="Arial" w:hAnsi="Arial"/>
                <w:sz w:val="11"/>
                <w:szCs w:val="11"/>
                <w:color w:val="auto"/>
              </w:rPr>
              <w:t>Acquired developed technology</w:t>
            </w:r>
          </w:p>
        </w:tc>
        <w:tc>
          <w:tcPr>
            <w:tcW w:w="1540" w:type="dxa"/>
            <w:vAlign w:val="bottom"/>
            <w:gridSpan w:val="2"/>
            <w:shd w:val="clear" w:color="auto" w:fill="CCEEFF"/>
          </w:tcPr>
          <w:p>
            <w:pPr>
              <w:jc w:val="center"/>
              <w:ind w:left="686"/>
              <w:spacing w:after="0"/>
              <w:rPr>
                <w:sz w:val="20"/>
                <w:szCs w:val="20"/>
                <w:color w:val="auto"/>
              </w:rPr>
            </w:pPr>
            <w:r>
              <w:rPr>
                <w:rFonts w:ascii="Arial" w:cs="Arial" w:eastAsia="Arial" w:hAnsi="Arial"/>
                <w:sz w:val="11"/>
                <w:szCs w:val="11"/>
                <w:color w:val="auto"/>
              </w:rPr>
              <w:t>$  24.8</w:t>
            </w:r>
          </w:p>
        </w:tc>
        <w:tc>
          <w:tcPr>
            <w:tcW w:w="500" w:type="dxa"/>
            <w:vAlign w:val="bottom"/>
            <w:shd w:val="clear" w:color="auto" w:fill="CCEEFF"/>
          </w:tcPr>
          <w:p>
            <w:pPr>
              <w:ind w:left="220"/>
              <w:spacing w:after="0"/>
              <w:rPr>
                <w:sz w:val="20"/>
                <w:szCs w:val="20"/>
                <w:color w:val="auto"/>
              </w:rPr>
            </w:pPr>
            <w:r>
              <w:rPr>
                <w:rFonts w:ascii="Arial" w:cs="Arial" w:eastAsia="Arial" w:hAnsi="Arial"/>
                <w:sz w:val="11"/>
                <w:szCs w:val="11"/>
                <w:color w:val="auto"/>
              </w:rPr>
              <w:t>$</w:t>
            </w:r>
          </w:p>
        </w:tc>
        <w:tc>
          <w:tcPr>
            <w:tcW w:w="600" w:type="dxa"/>
            <w:vAlign w:val="bottom"/>
            <w:shd w:val="clear" w:color="auto" w:fill="CCEEFF"/>
          </w:tcPr>
          <w:p>
            <w:pPr>
              <w:jc w:val="right"/>
              <w:ind w:right="146"/>
              <w:spacing w:after="0"/>
              <w:rPr>
                <w:sz w:val="20"/>
                <w:szCs w:val="20"/>
                <w:color w:val="auto"/>
              </w:rPr>
            </w:pPr>
            <w:r>
              <w:rPr>
                <w:rFonts w:ascii="Arial" w:cs="Arial" w:eastAsia="Arial" w:hAnsi="Arial"/>
                <w:sz w:val="11"/>
                <w:szCs w:val="11"/>
                <w:color w:val="auto"/>
              </w:rPr>
              <w:t>0.3</w:t>
            </w:r>
          </w:p>
        </w:tc>
        <w:tc>
          <w:tcPr>
            <w:tcW w:w="340" w:type="dxa"/>
            <w:vAlign w:val="bottom"/>
            <w:shd w:val="clear" w:color="auto" w:fill="CCEEFF"/>
          </w:tcPr>
          <w:p>
            <w:pPr>
              <w:ind w:left="220"/>
              <w:spacing w:after="0"/>
              <w:rPr>
                <w:sz w:val="20"/>
                <w:szCs w:val="20"/>
                <w:color w:val="auto"/>
              </w:rPr>
            </w:pPr>
            <w:r>
              <w:rPr>
                <w:rFonts w:ascii="Arial" w:cs="Arial" w:eastAsia="Arial" w:hAnsi="Arial"/>
                <w:sz w:val="11"/>
                <w:szCs w:val="11"/>
                <w:color w:val="auto"/>
              </w:rPr>
              <w:t>$</w:t>
            </w:r>
          </w:p>
        </w:tc>
        <w:tc>
          <w:tcPr>
            <w:tcW w:w="760" w:type="dxa"/>
            <w:vAlign w:val="bottom"/>
            <w:shd w:val="clear" w:color="auto" w:fill="CCEEFF"/>
          </w:tcPr>
          <w:p>
            <w:pPr>
              <w:jc w:val="right"/>
              <w:ind w:right="166"/>
              <w:spacing w:after="0"/>
              <w:rPr>
                <w:sz w:val="20"/>
                <w:szCs w:val="20"/>
                <w:color w:val="auto"/>
              </w:rPr>
            </w:pPr>
            <w:r>
              <w:rPr>
                <w:rFonts w:ascii="Arial" w:cs="Arial" w:eastAsia="Arial" w:hAnsi="Arial"/>
                <w:sz w:val="11"/>
                <w:szCs w:val="11"/>
                <w:color w:val="auto"/>
              </w:rPr>
              <w:t>24.5</w:t>
            </w:r>
          </w:p>
        </w:tc>
        <w:tc>
          <w:tcPr>
            <w:tcW w:w="11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5.0</w:t>
            </w:r>
          </w:p>
        </w:tc>
        <w:tc>
          <w:tcPr>
            <w:tcW w:w="40" w:type="dxa"/>
            <w:vAlign w:val="bottom"/>
            <w:shd w:val="clear" w:color="auto" w:fill="CCEEFF"/>
          </w:tcPr>
          <w:p>
            <w:pPr>
              <w:spacing w:after="0"/>
              <w:rPr>
                <w:sz w:val="10"/>
                <w:szCs w:val="10"/>
                <w:color w:val="auto"/>
              </w:rPr>
            </w:pPr>
          </w:p>
        </w:tc>
      </w:tr>
    </w:tbl>
    <w:p>
      <w:pPr>
        <w:spacing w:after="0" w:line="145" w:lineRule="exact"/>
        <w:rPr>
          <w:sz w:val="20"/>
          <w:szCs w:val="20"/>
          <w:color w:val="auto"/>
        </w:rPr>
      </w:pPr>
    </w:p>
    <w:p>
      <w:pPr>
        <w:ind w:left="2060"/>
        <w:spacing w:after="0"/>
        <w:rPr>
          <w:sz w:val="20"/>
          <w:szCs w:val="20"/>
          <w:color w:val="auto"/>
        </w:rPr>
      </w:pPr>
      <w:r>
        <w:rPr>
          <w:rFonts w:ascii="Arial" w:cs="Arial" w:eastAsia="Arial" w:hAnsi="Arial"/>
          <w:sz w:val="11"/>
          <w:szCs w:val="11"/>
          <w:color w:val="auto"/>
        </w:rPr>
        <w:t>The gross carrying amount and accumulated amortization of the Company’s intangible assets, net, as of June 30, 2019, were as follows:</w:t>
      </w:r>
    </w:p>
    <w:p>
      <w:pPr>
        <w:spacing w:after="0" w:line="149" w:lineRule="exact"/>
        <w:rPr>
          <w:sz w:val="20"/>
          <w:szCs w:val="20"/>
          <w:color w:val="auto"/>
        </w:rPr>
      </w:pPr>
    </w:p>
    <w:tbl>
      <w:tblPr>
        <w:tblLayout w:type="fixed"/>
        <w:tblInd w:w="2060" w:type="dxa"/>
        <w:tblCellMar>
          <w:top w:w="0" w:type="dxa"/>
          <w:left w:w="0" w:type="dxa"/>
          <w:bottom w:w="0" w:type="dxa"/>
          <w:right w:w="0" w:type="dxa"/>
        </w:tblCellMar>
      </w:tblPr>
      <w:tr>
        <w:trPr>
          <w:trHeight w:val="126"/>
        </w:trPr>
        <w:tc>
          <w:tcPr>
            <w:tcW w:w="24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1"/>
                <w:szCs w:val="11"/>
                <w:b w:val="1"/>
                <w:bCs w:val="1"/>
                <w:color w:val="auto"/>
              </w:rPr>
              <w:t>Weighted-Average</w:t>
            </w:r>
          </w:p>
        </w:tc>
      </w:tr>
      <w:tr>
        <w:trPr>
          <w:trHeight w:val="126"/>
        </w:trPr>
        <w:tc>
          <w:tcPr>
            <w:tcW w:w="24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580" w:type="dxa"/>
            <w:vAlign w:val="bottom"/>
          </w:tcPr>
          <w:p>
            <w:pPr>
              <w:jc w:val="center"/>
              <w:ind w:right="166"/>
              <w:spacing w:after="0"/>
              <w:rPr>
                <w:sz w:val="20"/>
                <w:szCs w:val="20"/>
                <w:color w:val="auto"/>
              </w:rPr>
            </w:pPr>
            <w:r>
              <w:rPr>
                <w:rFonts w:ascii="Arial" w:cs="Arial" w:eastAsia="Arial" w:hAnsi="Arial"/>
                <w:sz w:val="11"/>
                <w:szCs w:val="11"/>
                <w:b w:val="1"/>
                <w:bCs w:val="1"/>
                <w:color w:val="auto"/>
              </w:rPr>
              <w:t>Gross</w:t>
            </w:r>
          </w:p>
        </w:tc>
        <w:tc>
          <w:tcPr>
            <w:tcW w:w="1100" w:type="dxa"/>
            <w:vAlign w:val="bottom"/>
            <w:gridSpan w:val="2"/>
          </w:tcPr>
          <w:p>
            <w:pPr>
              <w:ind w:left="220"/>
              <w:spacing w:after="0"/>
              <w:rPr>
                <w:sz w:val="20"/>
                <w:szCs w:val="20"/>
                <w:color w:val="auto"/>
              </w:rPr>
            </w:pPr>
            <w:r>
              <w:rPr>
                <w:rFonts w:ascii="Arial" w:cs="Arial" w:eastAsia="Arial" w:hAnsi="Arial"/>
                <w:sz w:val="11"/>
                <w:szCs w:val="11"/>
                <w:b w:val="1"/>
                <w:bCs w:val="1"/>
                <w:color w:val="auto"/>
              </w:rPr>
              <w:t>Accumulated</w:t>
            </w:r>
          </w:p>
        </w:tc>
        <w:tc>
          <w:tcPr>
            <w:tcW w:w="1100" w:type="dxa"/>
            <w:vAlign w:val="bottom"/>
            <w:gridSpan w:val="2"/>
          </w:tcPr>
          <w:p>
            <w:pPr>
              <w:ind w:left="220"/>
              <w:spacing w:after="0"/>
              <w:rPr>
                <w:sz w:val="20"/>
                <w:szCs w:val="20"/>
                <w:color w:val="auto"/>
              </w:rPr>
            </w:pPr>
            <w:r>
              <w:rPr>
                <w:rFonts w:ascii="Arial" w:cs="Arial" w:eastAsia="Arial" w:hAnsi="Arial"/>
                <w:sz w:val="11"/>
                <w:szCs w:val="11"/>
                <w:b w:val="1"/>
                <w:bCs w:val="1"/>
                <w:color w:val="auto"/>
              </w:rPr>
              <w:t>Net Carrying</w:t>
            </w:r>
          </w:p>
        </w:tc>
        <w:tc>
          <w:tcPr>
            <w:tcW w:w="1180" w:type="dxa"/>
            <w:vAlign w:val="bottom"/>
            <w:gridSpan w:val="2"/>
          </w:tcPr>
          <w:p>
            <w:pPr>
              <w:ind w:left="380"/>
              <w:spacing w:after="0"/>
              <w:rPr>
                <w:sz w:val="20"/>
                <w:szCs w:val="20"/>
                <w:color w:val="auto"/>
              </w:rPr>
            </w:pPr>
            <w:r>
              <w:rPr>
                <w:rFonts w:ascii="Arial" w:cs="Arial" w:eastAsia="Arial" w:hAnsi="Arial"/>
                <w:sz w:val="11"/>
                <w:szCs w:val="11"/>
                <w:b w:val="1"/>
                <w:bCs w:val="1"/>
                <w:color w:val="auto"/>
              </w:rPr>
              <w:t>Remaining</w:t>
            </w:r>
          </w:p>
        </w:tc>
      </w:tr>
      <w:tr>
        <w:trPr>
          <w:trHeight w:val="137"/>
        </w:trPr>
        <w:tc>
          <w:tcPr>
            <w:tcW w:w="24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580" w:type="dxa"/>
            <w:vAlign w:val="bottom"/>
          </w:tcPr>
          <w:p>
            <w:pPr>
              <w:jc w:val="center"/>
              <w:ind w:right="166"/>
              <w:spacing w:after="0"/>
              <w:rPr>
                <w:sz w:val="20"/>
                <w:szCs w:val="20"/>
                <w:color w:val="auto"/>
              </w:rPr>
            </w:pPr>
            <w:r>
              <w:rPr>
                <w:rFonts w:ascii="Arial" w:cs="Arial" w:eastAsia="Arial" w:hAnsi="Arial"/>
                <w:sz w:val="11"/>
                <w:szCs w:val="11"/>
                <w:b w:val="1"/>
                <w:bCs w:val="1"/>
                <w:color w:val="auto"/>
                <w:w w:val="95"/>
              </w:rPr>
              <w:t>Value</w:t>
            </w:r>
          </w:p>
        </w:tc>
        <w:tc>
          <w:tcPr>
            <w:tcW w:w="1100" w:type="dxa"/>
            <w:vAlign w:val="bottom"/>
            <w:gridSpan w:val="2"/>
          </w:tcPr>
          <w:p>
            <w:pPr>
              <w:ind w:left="220"/>
              <w:spacing w:after="0"/>
              <w:rPr>
                <w:sz w:val="20"/>
                <w:szCs w:val="20"/>
                <w:color w:val="auto"/>
              </w:rPr>
            </w:pPr>
            <w:r>
              <w:rPr>
                <w:rFonts w:ascii="Arial" w:cs="Arial" w:eastAsia="Arial" w:hAnsi="Arial"/>
                <w:sz w:val="11"/>
                <w:szCs w:val="11"/>
                <w:b w:val="1"/>
                <w:bCs w:val="1"/>
                <w:color w:val="auto"/>
              </w:rPr>
              <w:t>Amortization</w:t>
            </w:r>
          </w:p>
        </w:tc>
        <w:tc>
          <w:tcPr>
            <w:tcW w:w="340" w:type="dxa"/>
            <w:vAlign w:val="bottom"/>
          </w:tcPr>
          <w:p>
            <w:pPr>
              <w:spacing w:after="0"/>
              <w:rPr>
                <w:sz w:val="11"/>
                <w:szCs w:val="11"/>
                <w:color w:val="auto"/>
              </w:rPr>
            </w:pPr>
          </w:p>
        </w:tc>
        <w:tc>
          <w:tcPr>
            <w:tcW w:w="760" w:type="dxa"/>
            <w:vAlign w:val="bottom"/>
          </w:tcPr>
          <w:p>
            <w:pPr>
              <w:jc w:val="right"/>
              <w:ind w:right="366"/>
              <w:spacing w:after="0"/>
              <w:rPr>
                <w:sz w:val="20"/>
                <w:szCs w:val="20"/>
                <w:color w:val="auto"/>
              </w:rPr>
            </w:pPr>
            <w:r>
              <w:rPr>
                <w:rFonts w:ascii="Arial" w:cs="Arial" w:eastAsia="Arial" w:hAnsi="Arial"/>
                <w:sz w:val="11"/>
                <w:szCs w:val="11"/>
                <w:b w:val="1"/>
                <w:bCs w:val="1"/>
                <w:color w:val="auto"/>
              </w:rPr>
              <w:t>Value</w:t>
            </w:r>
          </w:p>
        </w:tc>
        <w:tc>
          <w:tcPr>
            <w:tcW w:w="1180" w:type="dxa"/>
            <w:vAlign w:val="bottom"/>
            <w:gridSpan w:val="2"/>
          </w:tcPr>
          <w:p>
            <w:pPr>
              <w:jc w:val="right"/>
              <w:ind w:right="60"/>
              <w:spacing w:after="0"/>
              <w:rPr>
                <w:sz w:val="20"/>
                <w:szCs w:val="20"/>
                <w:color w:val="auto"/>
              </w:rPr>
            </w:pPr>
            <w:r>
              <w:rPr>
                <w:rFonts w:ascii="Arial" w:cs="Arial" w:eastAsia="Arial" w:hAnsi="Arial"/>
                <w:sz w:val="11"/>
                <w:szCs w:val="11"/>
                <w:b w:val="1"/>
                <w:bCs w:val="1"/>
                <w:color w:val="auto"/>
              </w:rPr>
              <w:t>Useful Life (years)</w:t>
            </w:r>
          </w:p>
        </w:tc>
      </w:tr>
      <w:tr>
        <w:trPr>
          <w:trHeight w:val="115"/>
        </w:trPr>
        <w:tc>
          <w:tcPr>
            <w:tcW w:w="24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1700" w:type="dxa"/>
            <w:vAlign w:val="bottom"/>
            <w:tcBorders>
              <w:top w:val="single" w:sz="8" w:color="auto"/>
            </w:tcBorders>
            <w:gridSpan w:val="3"/>
          </w:tcPr>
          <w:p>
            <w:pPr>
              <w:jc w:val="right"/>
              <w:ind w:right="106"/>
              <w:spacing w:after="0" w:line="115" w:lineRule="exact"/>
              <w:rPr>
                <w:sz w:val="20"/>
                <w:szCs w:val="20"/>
                <w:color w:val="auto"/>
              </w:rPr>
            </w:pPr>
            <w:r>
              <w:rPr>
                <w:rFonts w:ascii="Arial" w:cs="Arial" w:eastAsia="Arial" w:hAnsi="Arial"/>
                <w:sz w:val="11"/>
                <w:szCs w:val="11"/>
                <w:b w:val="1"/>
                <w:bCs w:val="1"/>
                <w:color w:val="auto"/>
              </w:rPr>
              <w:t>(in millions, except years)</w:t>
            </w:r>
          </w:p>
        </w:tc>
        <w:tc>
          <w:tcPr>
            <w:tcW w:w="1140" w:type="dxa"/>
            <w:vAlign w:val="bottom"/>
            <w:tcBorders>
              <w:top w:val="single" w:sz="8" w:color="auto"/>
            </w:tcBorders>
          </w:tcPr>
          <w:p>
            <w:pPr>
              <w:spacing w:after="0"/>
              <w:rPr>
                <w:sz w:val="10"/>
                <w:szCs w:val="10"/>
                <w:color w:val="auto"/>
              </w:rPr>
            </w:pPr>
          </w:p>
        </w:tc>
        <w:tc>
          <w:tcPr>
            <w:tcW w:w="40" w:type="dxa"/>
            <w:vAlign w:val="bottom"/>
          </w:tcPr>
          <w:p>
            <w:pPr>
              <w:spacing w:after="0"/>
              <w:rPr>
                <w:sz w:val="10"/>
                <w:szCs w:val="10"/>
                <w:color w:val="auto"/>
              </w:rPr>
            </w:pPr>
          </w:p>
        </w:tc>
      </w:tr>
      <w:tr>
        <w:trPr>
          <w:trHeight w:val="126"/>
        </w:trPr>
        <w:tc>
          <w:tcPr>
            <w:tcW w:w="2440" w:type="dxa"/>
            <w:vAlign w:val="bottom"/>
            <w:shd w:val="clear" w:color="auto" w:fill="CCEEFF"/>
          </w:tcPr>
          <w:p>
            <w:pPr>
              <w:spacing w:after="0"/>
              <w:rPr>
                <w:sz w:val="20"/>
                <w:szCs w:val="20"/>
                <w:color w:val="auto"/>
              </w:rPr>
            </w:pPr>
            <w:r>
              <w:rPr>
                <w:rFonts w:ascii="Arial" w:cs="Arial" w:eastAsia="Arial" w:hAnsi="Arial"/>
                <w:sz w:val="11"/>
                <w:szCs w:val="11"/>
                <w:color w:val="auto"/>
              </w:rPr>
              <w:t>Acquired developed technology</w:t>
            </w:r>
          </w:p>
        </w:tc>
        <w:tc>
          <w:tcPr>
            <w:tcW w:w="1540" w:type="dxa"/>
            <w:vAlign w:val="bottom"/>
            <w:gridSpan w:val="2"/>
            <w:shd w:val="clear" w:color="auto" w:fill="CCEEFF"/>
          </w:tcPr>
          <w:p>
            <w:pPr>
              <w:jc w:val="center"/>
              <w:ind w:left="686"/>
              <w:spacing w:after="0"/>
              <w:rPr>
                <w:sz w:val="20"/>
                <w:szCs w:val="20"/>
                <w:color w:val="auto"/>
              </w:rPr>
            </w:pPr>
            <w:r>
              <w:rPr>
                <w:rFonts w:ascii="Arial" w:cs="Arial" w:eastAsia="Arial" w:hAnsi="Arial"/>
                <w:sz w:val="11"/>
                <w:szCs w:val="11"/>
                <w:color w:val="auto"/>
              </w:rPr>
              <w:t>$  24.8</w:t>
            </w:r>
          </w:p>
        </w:tc>
        <w:tc>
          <w:tcPr>
            <w:tcW w:w="500" w:type="dxa"/>
            <w:vAlign w:val="bottom"/>
            <w:shd w:val="clear" w:color="auto" w:fill="CCEEFF"/>
          </w:tcPr>
          <w:p>
            <w:pPr>
              <w:ind w:left="220"/>
              <w:spacing w:after="0"/>
              <w:rPr>
                <w:sz w:val="20"/>
                <w:szCs w:val="20"/>
                <w:color w:val="auto"/>
              </w:rPr>
            </w:pPr>
            <w:r>
              <w:rPr>
                <w:rFonts w:ascii="Arial" w:cs="Arial" w:eastAsia="Arial" w:hAnsi="Arial"/>
                <w:sz w:val="11"/>
                <w:szCs w:val="11"/>
                <w:color w:val="auto"/>
              </w:rPr>
              <w:t>$</w:t>
            </w:r>
          </w:p>
        </w:tc>
        <w:tc>
          <w:tcPr>
            <w:tcW w:w="600" w:type="dxa"/>
            <w:vAlign w:val="bottom"/>
            <w:shd w:val="clear" w:color="auto" w:fill="CCEEFF"/>
          </w:tcPr>
          <w:p>
            <w:pPr>
              <w:jc w:val="right"/>
              <w:ind w:right="146"/>
              <w:spacing w:after="0"/>
              <w:rPr>
                <w:sz w:val="20"/>
                <w:szCs w:val="20"/>
                <w:color w:val="auto"/>
              </w:rPr>
            </w:pPr>
            <w:r>
              <w:rPr>
                <w:rFonts w:ascii="Arial" w:cs="Arial" w:eastAsia="Arial" w:hAnsi="Arial"/>
                <w:sz w:val="11"/>
                <w:szCs w:val="11"/>
                <w:color w:val="auto"/>
              </w:rPr>
              <w:t>5.3</w:t>
            </w:r>
          </w:p>
        </w:tc>
        <w:tc>
          <w:tcPr>
            <w:tcW w:w="340" w:type="dxa"/>
            <w:vAlign w:val="bottom"/>
            <w:shd w:val="clear" w:color="auto" w:fill="CCEEFF"/>
          </w:tcPr>
          <w:p>
            <w:pPr>
              <w:ind w:left="220"/>
              <w:spacing w:after="0"/>
              <w:rPr>
                <w:sz w:val="20"/>
                <w:szCs w:val="20"/>
                <w:color w:val="auto"/>
              </w:rPr>
            </w:pPr>
            <w:r>
              <w:rPr>
                <w:rFonts w:ascii="Arial" w:cs="Arial" w:eastAsia="Arial" w:hAnsi="Arial"/>
                <w:sz w:val="11"/>
                <w:szCs w:val="11"/>
                <w:color w:val="auto"/>
              </w:rPr>
              <w:t>$</w:t>
            </w:r>
          </w:p>
        </w:tc>
        <w:tc>
          <w:tcPr>
            <w:tcW w:w="760" w:type="dxa"/>
            <w:vAlign w:val="bottom"/>
            <w:shd w:val="clear" w:color="auto" w:fill="CCEEFF"/>
          </w:tcPr>
          <w:p>
            <w:pPr>
              <w:jc w:val="right"/>
              <w:ind w:right="166"/>
              <w:spacing w:after="0"/>
              <w:rPr>
                <w:sz w:val="20"/>
                <w:szCs w:val="20"/>
                <w:color w:val="auto"/>
              </w:rPr>
            </w:pPr>
            <w:r>
              <w:rPr>
                <w:rFonts w:ascii="Arial" w:cs="Arial" w:eastAsia="Arial" w:hAnsi="Arial"/>
                <w:sz w:val="11"/>
                <w:szCs w:val="11"/>
                <w:color w:val="auto"/>
              </w:rPr>
              <w:t>19.5</w:t>
            </w:r>
          </w:p>
        </w:tc>
        <w:tc>
          <w:tcPr>
            <w:tcW w:w="11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4.0</w:t>
            </w:r>
          </w:p>
        </w:tc>
        <w:tc>
          <w:tcPr>
            <w:tcW w:w="40" w:type="dxa"/>
            <w:vAlign w:val="bottom"/>
            <w:shd w:val="clear" w:color="auto" w:fill="CCEEFF"/>
          </w:tcPr>
          <w:p>
            <w:pPr>
              <w:spacing w:after="0"/>
              <w:rPr>
                <w:sz w:val="10"/>
                <w:szCs w:val="10"/>
                <w:color w:val="auto"/>
              </w:rPr>
            </w:pPr>
          </w:p>
        </w:tc>
      </w:tr>
    </w:tbl>
    <w:p>
      <w:pPr>
        <w:spacing w:after="0" w:line="145" w:lineRule="exact"/>
        <w:rPr>
          <w:sz w:val="20"/>
          <w:szCs w:val="20"/>
          <w:color w:val="auto"/>
        </w:rPr>
      </w:pPr>
    </w:p>
    <w:p>
      <w:pPr>
        <w:jc w:val="both"/>
        <w:ind w:left="2060" w:right="839"/>
        <w:spacing w:after="0" w:line="245" w:lineRule="auto"/>
        <w:rPr>
          <w:sz w:val="20"/>
          <w:szCs w:val="20"/>
          <w:color w:val="auto"/>
        </w:rPr>
      </w:pPr>
      <w:r>
        <w:rPr>
          <w:rFonts w:ascii="Arial" w:cs="Arial" w:eastAsia="Arial" w:hAnsi="Arial"/>
          <w:sz w:val="11"/>
          <w:szCs w:val="11"/>
          <w:color w:val="auto"/>
        </w:rPr>
        <w:t>The Company recognized intangible asset amortization in the consolidated statements of operations of zero, $0.3 million, and $5.0 million for the fiscal years ended June 30, 2017, 2018, and 2019, respectively.</w:t>
      </w:r>
    </w:p>
    <w:p>
      <w:pPr>
        <w:spacing w:after="0" w:line="138" w:lineRule="exact"/>
        <w:rPr>
          <w:sz w:val="20"/>
          <w:szCs w:val="20"/>
          <w:color w:val="auto"/>
        </w:rPr>
      </w:pPr>
    </w:p>
    <w:p>
      <w:pPr>
        <w:ind w:left="2060"/>
        <w:spacing w:after="0"/>
        <w:rPr>
          <w:sz w:val="20"/>
          <w:szCs w:val="20"/>
          <w:color w:val="auto"/>
        </w:rPr>
      </w:pPr>
      <w:r>
        <w:rPr>
          <w:rFonts w:ascii="Arial" w:cs="Arial" w:eastAsia="Arial" w:hAnsi="Arial"/>
          <w:sz w:val="11"/>
          <w:szCs w:val="11"/>
          <w:color w:val="auto"/>
        </w:rPr>
        <w:t>As of June 30, 2019, estimated amortization related to the Company’s identifiable acquisition-related intangible assets in future periods was as follows:</w:t>
      </w:r>
    </w:p>
    <w:p>
      <w:pPr>
        <w:spacing w:after="0" w:line="150" w:lineRule="exact"/>
        <w:rPr>
          <w:sz w:val="20"/>
          <w:szCs w:val="20"/>
          <w:color w:val="auto"/>
        </w:rPr>
      </w:pPr>
    </w:p>
    <w:tbl>
      <w:tblPr>
        <w:tblLayout w:type="fixed"/>
        <w:tblInd w:w="2060" w:type="dxa"/>
        <w:tblCellMar>
          <w:top w:w="0" w:type="dxa"/>
          <w:left w:w="0" w:type="dxa"/>
          <w:bottom w:w="0" w:type="dxa"/>
          <w:right w:w="0" w:type="dxa"/>
        </w:tblCellMar>
      </w:tblPr>
      <w:tr>
        <w:trPr>
          <w:trHeight w:val="137"/>
        </w:trPr>
        <w:tc>
          <w:tcPr>
            <w:tcW w:w="1440" w:type="dxa"/>
            <w:vAlign w:val="bottom"/>
          </w:tcPr>
          <w:p>
            <w:pPr>
              <w:spacing w:after="0"/>
              <w:rPr>
                <w:sz w:val="20"/>
                <w:szCs w:val="20"/>
                <w:color w:val="auto"/>
              </w:rPr>
            </w:pPr>
            <w:r>
              <w:rPr>
                <w:rFonts w:ascii="Arial" w:cs="Arial" w:eastAsia="Arial" w:hAnsi="Arial"/>
                <w:sz w:val="11"/>
                <w:szCs w:val="11"/>
                <w:b w:val="1"/>
                <w:bCs w:val="1"/>
                <w:color w:val="auto"/>
                <w:w w:val="97"/>
              </w:rPr>
              <w:t>Fiscal Year Ending June 30,</w:t>
            </w:r>
          </w:p>
        </w:tc>
        <w:tc>
          <w:tcPr>
            <w:tcW w:w="5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gridSpan w:val="2"/>
          </w:tcPr>
          <w:p>
            <w:pPr>
              <w:ind w:left="20"/>
              <w:spacing w:after="0"/>
              <w:rPr>
                <w:sz w:val="20"/>
                <w:szCs w:val="20"/>
                <w:color w:val="auto"/>
              </w:rPr>
            </w:pPr>
            <w:r>
              <w:rPr>
                <w:rFonts w:ascii="Arial" w:cs="Arial" w:eastAsia="Arial" w:hAnsi="Arial"/>
                <w:sz w:val="11"/>
                <w:szCs w:val="11"/>
                <w:b w:val="1"/>
                <w:bCs w:val="1"/>
                <w:color w:val="auto"/>
              </w:rPr>
              <w:t>Amount</w:t>
            </w:r>
          </w:p>
        </w:tc>
      </w:tr>
      <w:tr>
        <w:trPr>
          <w:trHeight w:val="124"/>
        </w:trPr>
        <w:tc>
          <w:tcPr>
            <w:tcW w:w="1440" w:type="dxa"/>
            <w:vAlign w:val="bottom"/>
            <w:tcBorders>
              <w:top w:val="single" w:sz="8" w:color="auto"/>
            </w:tcBorders>
          </w:tcPr>
          <w:p>
            <w:pPr>
              <w:spacing w:after="0"/>
              <w:rPr>
                <w:sz w:val="10"/>
                <w:szCs w:val="10"/>
                <w:color w:val="auto"/>
              </w:rPr>
            </w:pPr>
          </w:p>
        </w:tc>
        <w:tc>
          <w:tcPr>
            <w:tcW w:w="5260" w:type="dxa"/>
            <w:vAlign w:val="bottom"/>
          </w:tcPr>
          <w:p>
            <w:pPr>
              <w:spacing w:after="0"/>
              <w:rPr>
                <w:sz w:val="10"/>
                <w:szCs w:val="10"/>
                <w:color w:val="auto"/>
              </w:rPr>
            </w:pPr>
          </w:p>
        </w:tc>
        <w:tc>
          <w:tcPr>
            <w:tcW w:w="620" w:type="dxa"/>
            <w:vAlign w:val="bottom"/>
            <w:tcBorders>
              <w:top w:val="single" w:sz="8" w:color="auto"/>
            </w:tcBorders>
            <w:gridSpan w:val="2"/>
          </w:tcPr>
          <w:p>
            <w:pPr>
              <w:spacing w:after="0" w:line="124" w:lineRule="exact"/>
              <w:rPr>
                <w:sz w:val="20"/>
                <w:szCs w:val="20"/>
                <w:color w:val="auto"/>
              </w:rPr>
            </w:pPr>
            <w:r>
              <w:rPr>
                <w:rFonts w:ascii="Arial" w:cs="Arial" w:eastAsia="Arial" w:hAnsi="Arial"/>
                <w:sz w:val="11"/>
                <w:szCs w:val="11"/>
                <w:b w:val="1"/>
                <w:bCs w:val="1"/>
                <w:color w:val="auto"/>
                <w:w w:val="97"/>
              </w:rPr>
              <w:t>(in millions)</w:t>
            </w:r>
          </w:p>
        </w:tc>
        <w:tc>
          <w:tcPr>
            <w:tcW w:w="40" w:type="dxa"/>
            <w:vAlign w:val="bottom"/>
          </w:tcPr>
          <w:p>
            <w:pPr>
              <w:spacing w:after="0"/>
              <w:rPr>
                <w:sz w:val="10"/>
                <w:szCs w:val="10"/>
                <w:color w:val="auto"/>
              </w:rPr>
            </w:pPr>
          </w:p>
        </w:tc>
      </w:tr>
      <w:tr>
        <w:trPr>
          <w:trHeight w:val="126"/>
        </w:trPr>
        <w:tc>
          <w:tcPr>
            <w:tcW w:w="1440" w:type="dxa"/>
            <w:vAlign w:val="bottom"/>
            <w:shd w:val="clear" w:color="auto" w:fill="CCEEFF"/>
          </w:tcPr>
          <w:p>
            <w:pPr>
              <w:spacing w:after="0"/>
              <w:rPr>
                <w:sz w:val="20"/>
                <w:szCs w:val="20"/>
                <w:color w:val="auto"/>
              </w:rPr>
            </w:pPr>
            <w:r>
              <w:rPr>
                <w:rFonts w:ascii="Arial" w:cs="Arial" w:eastAsia="Arial" w:hAnsi="Arial"/>
                <w:sz w:val="11"/>
                <w:szCs w:val="11"/>
                <w:color w:val="auto"/>
              </w:rPr>
              <w:t>2020</w:t>
            </w:r>
          </w:p>
        </w:tc>
        <w:tc>
          <w:tcPr>
            <w:tcW w:w="5340" w:type="dxa"/>
            <w:vAlign w:val="bottom"/>
            <w:gridSpan w:val="2"/>
            <w:shd w:val="clear" w:color="auto" w:fill="CCEEFF"/>
          </w:tcPr>
          <w:p>
            <w:pPr>
              <w:ind w:left="5260"/>
              <w:spacing w:after="0"/>
              <w:rPr>
                <w:sz w:val="20"/>
                <w:szCs w:val="20"/>
                <w:color w:val="auto"/>
              </w:rPr>
            </w:pPr>
            <w:r>
              <w:rPr>
                <w:rFonts w:ascii="Arial" w:cs="Arial" w:eastAsia="Arial" w:hAnsi="Arial"/>
                <w:sz w:val="11"/>
                <w:szCs w:val="11"/>
                <w:color w:val="auto"/>
                <w:w w:val="97"/>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5.0</w:t>
            </w:r>
          </w:p>
        </w:tc>
        <w:tc>
          <w:tcPr>
            <w:tcW w:w="40" w:type="dxa"/>
            <w:vAlign w:val="bottom"/>
            <w:shd w:val="clear" w:color="auto" w:fill="CCEEFF"/>
          </w:tcPr>
          <w:p>
            <w:pPr>
              <w:spacing w:after="0"/>
              <w:rPr>
                <w:sz w:val="10"/>
                <w:szCs w:val="10"/>
                <w:color w:val="auto"/>
              </w:rPr>
            </w:pPr>
          </w:p>
        </w:tc>
      </w:tr>
      <w:tr>
        <w:trPr>
          <w:trHeight w:val="126"/>
        </w:trPr>
        <w:tc>
          <w:tcPr>
            <w:tcW w:w="1440" w:type="dxa"/>
            <w:vAlign w:val="bottom"/>
          </w:tcPr>
          <w:p>
            <w:pPr>
              <w:spacing w:after="0"/>
              <w:rPr>
                <w:sz w:val="20"/>
                <w:szCs w:val="20"/>
                <w:color w:val="auto"/>
              </w:rPr>
            </w:pPr>
            <w:r>
              <w:rPr>
                <w:rFonts w:ascii="Arial" w:cs="Arial" w:eastAsia="Arial" w:hAnsi="Arial"/>
                <w:sz w:val="11"/>
                <w:szCs w:val="11"/>
                <w:color w:val="auto"/>
              </w:rPr>
              <w:t>2021</w:t>
            </w:r>
          </w:p>
        </w:tc>
        <w:tc>
          <w:tcPr>
            <w:tcW w:w="5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5.0</w:t>
            </w:r>
          </w:p>
        </w:tc>
        <w:tc>
          <w:tcPr>
            <w:tcW w:w="40" w:type="dxa"/>
            <w:vAlign w:val="bottom"/>
          </w:tcPr>
          <w:p>
            <w:pPr>
              <w:spacing w:after="0"/>
              <w:rPr>
                <w:sz w:val="10"/>
                <w:szCs w:val="10"/>
                <w:color w:val="auto"/>
              </w:rPr>
            </w:pPr>
          </w:p>
        </w:tc>
      </w:tr>
      <w:tr>
        <w:trPr>
          <w:trHeight w:val="126"/>
        </w:trPr>
        <w:tc>
          <w:tcPr>
            <w:tcW w:w="1440" w:type="dxa"/>
            <w:vAlign w:val="bottom"/>
            <w:shd w:val="clear" w:color="auto" w:fill="CCEEFF"/>
          </w:tcPr>
          <w:p>
            <w:pPr>
              <w:spacing w:after="0"/>
              <w:rPr>
                <w:sz w:val="20"/>
                <w:szCs w:val="20"/>
                <w:color w:val="auto"/>
              </w:rPr>
            </w:pPr>
            <w:r>
              <w:rPr>
                <w:rFonts w:ascii="Arial" w:cs="Arial" w:eastAsia="Arial" w:hAnsi="Arial"/>
                <w:sz w:val="11"/>
                <w:szCs w:val="11"/>
                <w:color w:val="auto"/>
              </w:rPr>
              <w:t>2022</w:t>
            </w:r>
          </w:p>
        </w:tc>
        <w:tc>
          <w:tcPr>
            <w:tcW w:w="52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5.0</w:t>
            </w:r>
          </w:p>
        </w:tc>
        <w:tc>
          <w:tcPr>
            <w:tcW w:w="40" w:type="dxa"/>
            <w:vAlign w:val="bottom"/>
            <w:shd w:val="clear" w:color="auto" w:fill="CCEEFF"/>
          </w:tcPr>
          <w:p>
            <w:pPr>
              <w:spacing w:after="0"/>
              <w:rPr>
                <w:sz w:val="10"/>
                <w:szCs w:val="10"/>
                <w:color w:val="auto"/>
              </w:rPr>
            </w:pPr>
          </w:p>
        </w:tc>
      </w:tr>
      <w:tr>
        <w:trPr>
          <w:trHeight w:val="126"/>
        </w:trPr>
        <w:tc>
          <w:tcPr>
            <w:tcW w:w="1440" w:type="dxa"/>
            <w:vAlign w:val="bottom"/>
          </w:tcPr>
          <w:p>
            <w:pPr>
              <w:spacing w:after="0"/>
              <w:rPr>
                <w:sz w:val="20"/>
                <w:szCs w:val="20"/>
                <w:color w:val="auto"/>
              </w:rPr>
            </w:pPr>
            <w:r>
              <w:rPr>
                <w:rFonts w:ascii="Arial" w:cs="Arial" w:eastAsia="Arial" w:hAnsi="Arial"/>
                <w:sz w:val="11"/>
                <w:szCs w:val="11"/>
                <w:color w:val="auto"/>
              </w:rPr>
              <w:t>2023</w:t>
            </w:r>
          </w:p>
        </w:tc>
        <w:tc>
          <w:tcPr>
            <w:tcW w:w="5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4.5</w:t>
            </w:r>
          </w:p>
        </w:tc>
        <w:tc>
          <w:tcPr>
            <w:tcW w:w="40" w:type="dxa"/>
            <w:vAlign w:val="bottom"/>
          </w:tcPr>
          <w:p>
            <w:pPr>
              <w:spacing w:after="0"/>
              <w:rPr>
                <w:sz w:val="10"/>
                <w:szCs w:val="10"/>
                <w:color w:val="auto"/>
              </w:rPr>
            </w:pPr>
          </w:p>
        </w:tc>
      </w:tr>
      <w:tr>
        <w:trPr>
          <w:trHeight w:val="126"/>
        </w:trPr>
        <w:tc>
          <w:tcPr>
            <w:tcW w:w="1440" w:type="dxa"/>
            <w:vAlign w:val="bottom"/>
            <w:shd w:val="clear" w:color="auto" w:fill="CCEEFF"/>
          </w:tcPr>
          <w:p>
            <w:pPr>
              <w:spacing w:after="0"/>
              <w:rPr>
                <w:sz w:val="20"/>
                <w:szCs w:val="20"/>
                <w:color w:val="auto"/>
              </w:rPr>
            </w:pPr>
            <w:r>
              <w:rPr>
                <w:rFonts w:ascii="Arial" w:cs="Arial" w:eastAsia="Arial" w:hAnsi="Arial"/>
                <w:sz w:val="11"/>
                <w:szCs w:val="11"/>
                <w:color w:val="auto"/>
              </w:rPr>
              <w:t>Thereafter</w:t>
            </w:r>
          </w:p>
        </w:tc>
        <w:tc>
          <w:tcPr>
            <w:tcW w:w="5260" w:type="dxa"/>
            <w:vAlign w:val="bottom"/>
            <w:shd w:val="clear" w:color="auto" w:fill="CCEEFF"/>
          </w:tcPr>
          <w:p>
            <w:pPr>
              <w:spacing w:after="0"/>
              <w:rPr>
                <w:sz w:val="10"/>
                <w:szCs w:val="10"/>
                <w:color w:val="auto"/>
              </w:rPr>
            </w:pPr>
          </w:p>
        </w:tc>
        <w:tc>
          <w:tcPr>
            <w:tcW w:w="80" w:type="dxa"/>
            <w:vAlign w:val="bottom"/>
            <w:tcBorders>
              <w:bottom w:val="single" w:sz="8" w:color="auto"/>
            </w:tcBorders>
            <w:shd w:val="clear" w:color="auto" w:fill="CCEEFF"/>
          </w:tcPr>
          <w:p>
            <w:pPr>
              <w:spacing w:after="0"/>
              <w:rPr>
                <w:sz w:val="10"/>
                <w:szCs w:val="10"/>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40" w:type="dxa"/>
            <w:vAlign w:val="bottom"/>
            <w:shd w:val="clear" w:color="auto" w:fill="CCEEFF"/>
          </w:tcPr>
          <w:p>
            <w:pPr>
              <w:spacing w:after="0"/>
              <w:rPr>
                <w:sz w:val="10"/>
                <w:szCs w:val="10"/>
                <w:color w:val="auto"/>
              </w:rPr>
            </w:pPr>
          </w:p>
        </w:tc>
      </w:tr>
      <w:tr>
        <w:trPr>
          <w:trHeight w:val="131"/>
        </w:trPr>
        <w:tc>
          <w:tcPr>
            <w:tcW w:w="1440" w:type="dxa"/>
            <w:vAlign w:val="bottom"/>
          </w:tcPr>
          <w:p>
            <w:pPr>
              <w:ind w:left="220"/>
              <w:spacing w:after="0" w:line="124" w:lineRule="exact"/>
              <w:rPr>
                <w:sz w:val="20"/>
                <w:szCs w:val="20"/>
                <w:color w:val="auto"/>
              </w:rPr>
            </w:pPr>
            <w:r>
              <w:rPr>
                <w:rFonts w:ascii="Arial" w:cs="Arial" w:eastAsia="Arial" w:hAnsi="Arial"/>
                <w:sz w:val="11"/>
                <w:szCs w:val="11"/>
                <w:color w:val="auto"/>
              </w:rPr>
              <w:t>Total</w:t>
            </w:r>
          </w:p>
        </w:tc>
        <w:tc>
          <w:tcPr>
            <w:tcW w:w="5260" w:type="dxa"/>
            <w:vAlign w:val="bottom"/>
          </w:tcPr>
          <w:p>
            <w:pPr>
              <w:spacing w:after="0"/>
              <w:rPr>
                <w:sz w:val="11"/>
                <w:szCs w:val="11"/>
                <w:color w:val="auto"/>
              </w:rPr>
            </w:pPr>
          </w:p>
        </w:tc>
        <w:tc>
          <w:tcPr>
            <w:tcW w:w="80" w:type="dxa"/>
            <w:vAlign w:val="bottom"/>
            <w:tcBorders>
              <w:bottom w:val="single" w:sz="8" w:color="auto"/>
            </w:tcBorders>
          </w:tcPr>
          <w:p>
            <w:pPr>
              <w:spacing w:after="0" w:line="124" w:lineRule="exact"/>
              <w:rPr>
                <w:sz w:val="20"/>
                <w:szCs w:val="20"/>
                <w:color w:val="auto"/>
              </w:rPr>
            </w:pPr>
            <w:r>
              <w:rPr>
                <w:rFonts w:ascii="Arial" w:cs="Arial" w:eastAsia="Arial" w:hAnsi="Arial"/>
                <w:sz w:val="11"/>
                <w:szCs w:val="11"/>
                <w:color w:val="auto"/>
                <w:w w:val="97"/>
              </w:rPr>
              <w:t>$</w:t>
            </w:r>
          </w:p>
        </w:tc>
        <w:tc>
          <w:tcPr>
            <w:tcW w:w="540" w:type="dxa"/>
            <w:vAlign w:val="bottom"/>
            <w:tcBorders>
              <w:bottom w:val="single" w:sz="8" w:color="auto"/>
            </w:tcBorders>
          </w:tcPr>
          <w:p>
            <w:pPr>
              <w:jc w:val="right"/>
              <w:spacing w:after="0" w:line="124" w:lineRule="exact"/>
              <w:rPr>
                <w:sz w:val="20"/>
                <w:szCs w:val="20"/>
                <w:color w:val="auto"/>
              </w:rPr>
            </w:pPr>
            <w:r>
              <w:rPr>
                <w:rFonts w:ascii="Arial" w:cs="Arial" w:eastAsia="Arial" w:hAnsi="Arial"/>
                <w:sz w:val="11"/>
                <w:szCs w:val="11"/>
                <w:color w:val="auto"/>
              </w:rPr>
              <w:t>19.5</w:t>
            </w:r>
          </w:p>
        </w:tc>
        <w:tc>
          <w:tcPr>
            <w:tcW w:w="40" w:type="dxa"/>
            <w:vAlign w:val="bottom"/>
          </w:tcPr>
          <w:p>
            <w:pPr>
              <w:spacing w:after="0"/>
              <w:rPr>
                <w:sz w:val="11"/>
                <w:szCs w:val="11"/>
                <w:color w:val="auto"/>
              </w:rPr>
            </w:pPr>
          </w:p>
        </w:tc>
      </w:tr>
      <w:tr>
        <w:trPr>
          <w:trHeight w:val="239"/>
        </w:trPr>
        <w:tc>
          <w:tcPr>
            <w:tcW w:w="1440" w:type="dxa"/>
            <w:vAlign w:val="bottom"/>
          </w:tcPr>
          <w:p>
            <w:pPr>
              <w:spacing w:after="0"/>
              <w:rPr>
                <w:sz w:val="20"/>
                <w:szCs w:val="20"/>
                <w:color w:val="auto"/>
              </w:rPr>
            </w:pPr>
          </w:p>
        </w:tc>
        <w:tc>
          <w:tcPr>
            <w:tcW w:w="5340" w:type="dxa"/>
            <w:vAlign w:val="bottom"/>
            <w:gridSpan w:val="2"/>
          </w:tcPr>
          <w:p>
            <w:pPr>
              <w:ind w:left="2120"/>
              <w:spacing w:after="0"/>
              <w:rPr>
                <w:sz w:val="20"/>
                <w:szCs w:val="20"/>
                <w:color w:val="auto"/>
              </w:rPr>
            </w:pPr>
            <w:r>
              <w:rPr>
                <w:rFonts w:ascii="Arial" w:cs="Arial" w:eastAsia="Arial" w:hAnsi="Arial"/>
                <w:sz w:val="11"/>
                <w:szCs w:val="11"/>
                <w:color w:val="auto"/>
              </w:rPr>
              <w:t>F-20</w:t>
            </w:r>
          </w:p>
        </w:tc>
        <w:tc>
          <w:tcPr>
            <w:tcW w:w="540" w:type="dxa"/>
            <w:vAlign w:val="bottom"/>
          </w:tcPr>
          <w:p>
            <w:pPr>
              <w:spacing w:after="0"/>
              <w:rPr>
                <w:sz w:val="20"/>
                <w:szCs w:val="20"/>
                <w:color w:val="auto"/>
              </w:rPr>
            </w:pPr>
          </w:p>
        </w:tc>
        <w:tc>
          <w:tcPr>
            <w:tcW w:w="40" w:type="dxa"/>
            <w:vAlign w:val="bottom"/>
          </w:tcPr>
          <w:p>
            <w:pPr>
              <w:spacing w:after="0"/>
              <w:rPr>
                <w:sz w:val="20"/>
                <w:szCs w:val="20"/>
                <w:color w:val="auto"/>
              </w:rPr>
            </w:pPr>
          </w:p>
        </w:tc>
      </w:tr>
    </w:tbl>
    <w:p>
      <w:pPr>
        <w:sectPr>
          <w:pgSz w:w="11900" w:h="16838" w:orient="portrait"/>
          <w:cols w:equalWidth="0" w:num="1">
            <w:col w:w="10239"/>
          </w:cols>
          <w:pgMar w:left="220" w:top="354" w:right="1440" w:bottom="1440" w:gutter="0" w:footer="0" w:header="0"/>
        </w:sectPr>
      </w:pPr>
    </w:p>
    <w:bookmarkStart w:id="184" w:name="page185"/>
    <w:bookmarkEnd w:id="184"/>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hyperlink w:anchor="page5">
        <w:r>
          <w:rPr>
            <w:rFonts w:ascii="Arial" w:cs="Arial" w:eastAsia="Arial" w:hAnsi="Arial"/>
            <w:sz w:val="12"/>
            <w:szCs w:val="12"/>
            <w:b w:val="1"/>
            <w:bCs w:val="1"/>
            <w:u w:val="single" w:color="auto"/>
            <w:color w:val="0000EE"/>
          </w:rPr>
          <w:t>Table of Contents</w:t>
        </w:r>
      </w:hyperlink>
    </w:p>
    <w:p>
      <w:pPr>
        <w:spacing w:after="0" w:line="200" w:lineRule="exact"/>
        <w:rPr>
          <w:sz w:val="20"/>
          <w:szCs w:val="20"/>
          <w:color w:val="auto"/>
        </w:rPr>
      </w:pPr>
    </w:p>
    <w:p>
      <w:pPr>
        <w:jc w:val="center"/>
        <w:ind w:right="-1220"/>
        <w:spacing w:after="0"/>
        <w:rPr>
          <w:sz w:val="20"/>
          <w:szCs w:val="20"/>
          <w:color w:val="auto"/>
        </w:rPr>
      </w:pPr>
      <w:r>
        <w:rPr>
          <w:rFonts w:ascii="Arial" w:cs="Arial" w:eastAsia="Arial" w:hAnsi="Arial"/>
          <w:sz w:val="12"/>
          <w:szCs w:val="12"/>
          <w:b w:val="1"/>
          <w:bCs w:val="1"/>
          <w:color w:val="auto"/>
        </w:rPr>
        <w:t>PELOTON INTERACTIVE, INC.</w:t>
      </w:r>
    </w:p>
    <w:p>
      <w:pPr>
        <w:spacing w:after="0" w:line="11" w:lineRule="exact"/>
        <w:rPr>
          <w:sz w:val="20"/>
          <w:szCs w:val="20"/>
          <w:color w:val="auto"/>
        </w:rPr>
      </w:pPr>
    </w:p>
    <w:p>
      <w:pPr>
        <w:jc w:val="center"/>
        <w:ind w:right="-1220"/>
        <w:spacing w:after="0"/>
        <w:rPr>
          <w:sz w:val="20"/>
          <w:szCs w:val="20"/>
          <w:color w:val="auto"/>
        </w:rPr>
      </w:pPr>
      <w:r>
        <w:rPr>
          <w:rFonts w:ascii="Arial" w:cs="Arial" w:eastAsia="Arial" w:hAnsi="Arial"/>
          <w:sz w:val="12"/>
          <w:szCs w:val="12"/>
          <w:b w:val="1"/>
          <w:bCs w:val="1"/>
          <w:color w:val="auto"/>
        </w:rPr>
        <w:t>NOTES TO CONSOLIDATED FINANCIAL STATEMENTS</w:t>
      </w:r>
    </w:p>
    <w:p>
      <w:pPr>
        <w:spacing w:after="0" w:line="68" w:lineRule="exact"/>
        <w:rPr>
          <w:sz w:val="20"/>
          <w:szCs w:val="20"/>
          <w:color w:val="auto"/>
        </w:rPr>
      </w:pPr>
    </w:p>
    <w:p>
      <w:pPr>
        <w:ind w:left="2060"/>
        <w:spacing w:after="0"/>
        <w:rPr>
          <w:sz w:val="20"/>
          <w:szCs w:val="20"/>
          <w:color w:val="auto"/>
        </w:rPr>
      </w:pPr>
      <w:r>
        <w:rPr>
          <w:rFonts w:ascii="Arial" w:cs="Arial" w:eastAsia="Arial" w:hAnsi="Arial"/>
          <w:sz w:val="11"/>
          <w:szCs w:val="11"/>
          <w:b w:val="1"/>
          <w:bCs w:val="1"/>
          <w:color w:val="auto"/>
        </w:rPr>
        <w:t>9. Accrued Expenses</w:t>
      </w:r>
    </w:p>
    <w:p>
      <w:pPr>
        <w:spacing w:after="0" w:line="84" w:lineRule="exact"/>
        <w:rPr>
          <w:sz w:val="20"/>
          <w:szCs w:val="20"/>
          <w:color w:val="auto"/>
        </w:rPr>
      </w:pPr>
    </w:p>
    <w:p>
      <w:pPr>
        <w:ind w:left="2060"/>
        <w:spacing w:after="0"/>
        <w:rPr>
          <w:sz w:val="20"/>
          <w:szCs w:val="20"/>
          <w:color w:val="auto"/>
        </w:rPr>
      </w:pPr>
      <w:r>
        <w:rPr>
          <w:rFonts w:ascii="Arial" w:cs="Arial" w:eastAsia="Arial" w:hAnsi="Arial"/>
          <w:sz w:val="11"/>
          <w:szCs w:val="11"/>
          <w:color w:val="auto"/>
        </w:rPr>
        <w:t>Accrued expenses consisted of the following:</w:t>
      </w:r>
    </w:p>
    <w:p>
      <w:pPr>
        <w:spacing w:after="0" w:line="150" w:lineRule="exact"/>
        <w:rPr>
          <w:sz w:val="20"/>
          <w:szCs w:val="20"/>
          <w:color w:val="auto"/>
        </w:rPr>
      </w:pPr>
    </w:p>
    <w:tbl>
      <w:tblPr>
        <w:tblLayout w:type="fixed"/>
        <w:tblInd w:w="2060" w:type="dxa"/>
        <w:tblCellMar>
          <w:top w:w="0" w:type="dxa"/>
          <w:left w:w="0" w:type="dxa"/>
          <w:bottom w:w="0" w:type="dxa"/>
          <w:right w:w="0" w:type="dxa"/>
        </w:tblCellMar>
      </w:tblPr>
      <w:tr>
        <w:trPr>
          <w:trHeight w:val="137"/>
        </w:trPr>
        <w:tc>
          <w:tcPr>
            <w:tcW w:w="60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1"/>
                <w:szCs w:val="11"/>
                <w:b w:val="1"/>
                <w:bCs w:val="1"/>
                <w:color w:val="auto"/>
              </w:rPr>
              <w:t>June 30,</w:t>
            </w:r>
          </w:p>
        </w:tc>
        <w:tc>
          <w:tcPr>
            <w:tcW w:w="400" w:type="dxa"/>
            <w:vAlign w:val="bottom"/>
            <w:tcBorders>
              <w:bottom w:val="single" w:sz="8" w:color="auto"/>
            </w:tcBorders>
          </w:tcPr>
          <w:p>
            <w:pPr>
              <w:spacing w:after="0"/>
              <w:rPr>
                <w:sz w:val="11"/>
                <w:szCs w:val="11"/>
                <w:color w:val="auto"/>
              </w:rPr>
            </w:pPr>
          </w:p>
        </w:tc>
        <w:tc>
          <w:tcPr>
            <w:tcW w:w="40" w:type="dxa"/>
            <w:vAlign w:val="bottom"/>
          </w:tcPr>
          <w:p>
            <w:pPr>
              <w:spacing w:after="0"/>
              <w:rPr>
                <w:sz w:val="11"/>
                <w:szCs w:val="11"/>
                <w:color w:val="auto"/>
              </w:rPr>
            </w:pPr>
          </w:p>
        </w:tc>
      </w:tr>
      <w:tr>
        <w:trPr>
          <w:trHeight w:val="115"/>
        </w:trPr>
        <w:tc>
          <w:tcPr>
            <w:tcW w:w="602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jc w:val="right"/>
              <w:ind w:right="86"/>
              <w:spacing w:after="0" w:line="115" w:lineRule="exact"/>
              <w:rPr>
                <w:sz w:val="20"/>
                <w:szCs w:val="20"/>
                <w:color w:val="auto"/>
              </w:rPr>
            </w:pPr>
            <w:r>
              <w:rPr>
                <w:rFonts w:ascii="Arial" w:cs="Arial" w:eastAsia="Arial" w:hAnsi="Arial"/>
                <w:sz w:val="11"/>
                <w:szCs w:val="11"/>
                <w:b w:val="1"/>
                <w:bCs w:val="1"/>
                <w:color w:val="auto"/>
                <w:w w:val="97"/>
              </w:rPr>
              <w:t>2018</w:t>
            </w:r>
          </w:p>
        </w:tc>
        <w:tc>
          <w:tcPr>
            <w:tcW w:w="3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jc w:val="right"/>
              <w:ind w:right="86"/>
              <w:spacing w:after="0" w:line="115" w:lineRule="exact"/>
              <w:rPr>
                <w:sz w:val="20"/>
                <w:szCs w:val="20"/>
                <w:color w:val="auto"/>
              </w:rPr>
            </w:pPr>
            <w:r>
              <w:rPr>
                <w:rFonts w:ascii="Arial" w:cs="Arial" w:eastAsia="Arial" w:hAnsi="Arial"/>
                <w:sz w:val="11"/>
                <w:szCs w:val="11"/>
                <w:b w:val="1"/>
                <w:bCs w:val="1"/>
                <w:color w:val="auto"/>
                <w:w w:val="97"/>
              </w:rPr>
              <w:t>2019</w:t>
            </w:r>
          </w:p>
        </w:tc>
        <w:tc>
          <w:tcPr>
            <w:tcW w:w="40" w:type="dxa"/>
            <w:vAlign w:val="bottom"/>
          </w:tcPr>
          <w:p>
            <w:pPr>
              <w:spacing w:after="0"/>
              <w:rPr>
                <w:sz w:val="10"/>
                <w:szCs w:val="10"/>
                <w:color w:val="auto"/>
              </w:rPr>
            </w:pPr>
          </w:p>
        </w:tc>
      </w:tr>
      <w:tr>
        <w:trPr>
          <w:trHeight w:val="115"/>
        </w:trPr>
        <w:tc>
          <w:tcPr>
            <w:tcW w:w="60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0" w:type="dxa"/>
            <w:vAlign w:val="bottom"/>
            <w:gridSpan w:val="4"/>
          </w:tcPr>
          <w:p>
            <w:pPr>
              <w:jc w:val="right"/>
              <w:ind w:right="286"/>
              <w:spacing w:after="0" w:line="115" w:lineRule="exact"/>
              <w:rPr>
                <w:sz w:val="20"/>
                <w:szCs w:val="20"/>
                <w:color w:val="auto"/>
              </w:rPr>
            </w:pPr>
            <w:r>
              <w:rPr>
                <w:rFonts w:ascii="Arial" w:cs="Arial" w:eastAsia="Arial" w:hAnsi="Arial"/>
                <w:sz w:val="11"/>
                <w:szCs w:val="11"/>
                <w:b w:val="1"/>
                <w:bCs w:val="1"/>
                <w:color w:val="auto"/>
              </w:rPr>
              <w:t>(in millions)</w:t>
            </w:r>
          </w:p>
        </w:tc>
        <w:tc>
          <w:tcPr>
            <w:tcW w:w="40" w:type="dxa"/>
            <w:vAlign w:val="bottom"/>
          </w:tcPr>
          <w:p>
            <w:pPr>
              <w:spacing w:after="0"/>
              <w:rPr>
                <w:sz w:val="10"/>
                <w:szCs w:val="10"/>
                <w:color w:val="auto"/>
              </w:rPr>
            </w:pPr>
          </w:p>
        </w:tc>
      </w:tr>
      <w:tr>
        <w:trPr>
          <w:trHeight w:val="126"/>
        </w:trPr>
        <w:tc>
          <w:tcPr>
            <w:tcW w:w="6020" w:type="dxa"/>
            <w:vAlign w:val="bottom"/>
            <w:shd w:val="clear" w:color="auto" w:fill="CCEEFF"/>
          </w:tcPr>
          <w:p>
            <w:pPr>
              <w:spacing w:after="0"/>
              <w:rPr>
                <w:sz w:val="20"/>
                <w:szCs w:val="20"/>
                <w:color w:val="auto"/>
              </w:rPr>
            </w:pPr>
            <w:r>
              <w:rPr>
                <w:rFonts w:ascii="Arial" w:cs="Arial" w:eastAsia="Arial" w:hAnsi="Arial"/>
                <w:sz w:val="11"/>
                <w:szCs w:val="11"/>
                <w:color w:val="auto"/>
              </w:rPr>
              <w:t>Accrued marketing</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5.9</w:t>
            </w:r>
          </w:p>
        </w:tc>
        <w:tc>
          <w:tcPr>
            <w:tcW w:w="40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19.3</w:t>
            </w:r>
          </w:p>
        </w:tc>
        <w:tc>
          <w:tcPr>
            <w:tcW w:w="40" w:type="dxa"/>
            <w:vAlign w:val="bottom"/>
            <w:shd w:val="clear" w:color="auto" w:fill="CCEEFF"/>
          </w:tcPr>
          <w:p>
            <w:pPr>
              <w:spacing w:after="0"/>
              <w:rPr>
                <w:sz w:val="10"/>
                <w:szCs w:val="10"/>
                <w:color w:val="auto"/>
              </w:rPr>
            </w:pPr>
          </w:p>
        </w:tc>
      </w:tr>
      <w:tr>
        <w:trPr>
          <w:trHeight w:val="126"/>
        </w:trPr>
        <w:tc>
          <w:tcPr>
            <w:tcW w:w="6020" w:type="dxa"/>
            <w:vAlign w:val="bottom"/>
          </w:tcPr>
          <w:p>
            <w:pPr>
              <w:spacing w:after="0"/>
              <w:rPr>
                <w:sz w:val="20"/>
                <w:szCs w:val="20"/>
                <w:color w:val="auto"/>
              </w:rPr>
            </w:pPr>
            <w:r>
              <w:rPr>
                <w:rFonts w:ascii="Arial" w:cs="Arial" w:eastAsia="Arial" w:hAnsi="Arial"/>
                <w:sz w:val="11"/>
                <w:szCs w:val="11"/>
                <w:color w:val="auto"/>
              </w:rPr>
              <w:t>Content costs for past use reserve</w:t>
            </w:r>
          </w:p>
        </w:tc>
        <w:tc>
          <w:tcPr>
            <w:tcW w:w="100" w:type="dxa"/>
            <w:vAlign w:val="bottom"/>
          </w:tcPr>
          <w:p>
            <w:pPr>
              <w:spacing w:after="0"/>
              <w:rPr>
                <w:sz w:val="10"/>
                <w:szCs w:val="10"/>
                <w:color w:val="auto"/>
              </w:rPr>
            </w:pPr>
          </w:p>
        </w:tc>
        <w:tc>
          <w:tcPr>
            <w:tcW w:w="400" w:type="dxa"/>
            <w:vAlign w:val="bottom"/>
          </w:tcPr>
          <w:p>
            <w:pPr>
              <w:jc w:val="right"/>
              <w:spacing w:after="0"/>
              <w:rPr>
                <w:sz w:val="20"/>
                <w:szCs w:val="20"/>
                <w:color w:val="auto"/>
              </w:rPr>
            </w:pPr>
            <w:r>
              <w:rPr>
                <w:rFonts w:ascii="Arial" w:cs="Arial" w:eastAsia="Arial" w:hAnsi="Arial"/>
                <w:sz w:val="11"/>
                <w:szCs w:val="11"/>
                <w:color w:val="auto"/>
              </w:rPr>
              <w:t>18.6</w:t>
            </w: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jc w:val="right"/>
              <w:spacing w:after="0"/>
              <w:rPr>
                <w:sz w:val="20"/>
                <w:szCs w:val="20"/>
                <w:color w:val="auto"/>
              </w:rPr>
            </w:pPr>
            <w:r>
              <w:rPr>
                <w:rFonts w:ascii="Arial" w:cs="Arial" w:eastAsia="Arial" w:hAnsi="Arial"/>
                <w:sz w:val="11"/>
                <w:szCs w:val="11"/>
                <w:color w:val="auto"/>
              </w:rPr>
              <w:t>18.9</w:t>
            </w:r>
          </w:p>
        </w:tc>
        <w:tc>
          <w:tcPr>
            <w:tcW w:w="40" w:type="dxa"/>
            <w:vAlign w:val="bottom"/>
          </w:tcPr>
          <w:p>
            <w:pPr>
              <w:spacing w:after="0"/>
              <w:rPr>
                <w:sz w:val="10"/>
                <w:szCs w:val="10"/>
                <w:color w:val="auto"/>
              </w:rPr>
            </w:pPr>
          </w:p>
        </w:tc>
      </w:tr>
      <w:tr>
        <w:trPr>
          <w:trHeight w:val="126"/>
        </w:trPr>
        <w:tc>
          <w:tcPr>
            <w:tcW w:w="6020" w:type="dxa"/>
            <w:vAlign w:val="bottom"/>
            <w:shd w:val="clear" w:color="auto" w:fill="CCEEFF"/>
          </w:tcPr>
          <w:p>
            <w:pPr>
              <w:spacing w:after="0"/>
              <w:rPr>
                <w:sz w:val="20"/>
                <w:szCs w:val="20"/>
                <w:color w:val="auto"/>
              </w:rPr>
            </w:pPr>
            <w:r>
              <w:rPr>
                <w:rFonts w:ascii="Arial" w:cs="Arial" w:eastAsia="Arial" w:hAnsi="Arial"/>
                <w:sz w:val="11"/>
                <w:szCs w:val="11"/>
                <w:color w:val="auto"/>
              </w:rPr>
              <w:t>Other</w:t>
            </w:r>
          </w:p>
        </w:tc>
        <w:tc>
          <w:tcPr>
            <w:tcW w:w="100" w:type="dxa"/>
            <w:vAlign w:val="bottom"/>
            <w:tcBorders>
              <w:bottom w:val="single" w:sz="8" w:color="auto"/>
            </w:tcBorders>
            <w:shd w:val="clear" w:color="auto" w:fill="CCEEFF"/>
          </w:tcPr>
          <w:p>
            <w:pPr>
              <w:spacing w:after="0"/>
              <w:rPr>
                <w:sz w:val="10"/>
                <w:szCs w:val="10"/>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26.8</w:t>
            </w:r>
          </w:p>
        </w:tc>
        <w:tc>
          <w:tcPr>
            <w:tcW w:w="320" w:type="dxa"/>
            <w:vAlign w:val="bottom"/>
            <w:shd w:val="clear" w:color="auto" w:fill="CCEEFF"/>
          </w:tcPr>
          <w:p>
            <w:pPr>
              <w:spacing w:after="0"/>
              <w:rPr>
                <w:sz w:val="10"/>
                <w:szCs w:val="10"/>
                <w:color w:val="auto"/>
              </w:rPr>
            </w:pPr>
          </w:p>
        </w:tc>
        <w:tc>
          <w:tcPr>
            <w:tcW w:w="80" w:type="dxa"/>
            <w:vAlign w:val="bottom"/>
            <w:tcBorders>
              <w:bottom w:val="single" w:sz="8" w:color="auto"/>
            </w:tcBorders>
            <w:shd w:val="clear" w:color="auto" w:fill="CCEEFF"/>
          </w:tcPr>
          <w:p>
            <w:pPr>
              <w:spacing w:after="0"/>
              <w:rPr>
                <w:sz w:val="10"/>
                <w:szCs w:val="10"/>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66.3</w:t>
            </w:r>
          </w:p>
        </w:tc>
        <w:tc>
          <w:tcPr>
            <w:tcW w:w="40" w:type="dxa"/>
            <w:vAlign w:val="bottom"/>
            <w:shd w:val="clear" w:color="auto" w:fill="CCEEFF"/>
          </w:tcPr>
          <w:p>
            <w:pPr>
              <w:spacing w:after="0"/>
              <w:rPr>
                <w:sz w:val="10"/>
                <w:szCs w:val="10"/>
                <w:color w:val="auto"/>
              </w:rPr>
            </w:pPr>
          </w:p>
        </w:tc>
      </w:tr>
      <w:tr>
        <w:trPr>
          <w:trHeight w:val="124"/>
        </w:trPr>
        <w:tc>
          <w:tcPr>
            <w:tcW w:w="6020" w:type="dxa"/>
            <w:vAlign w:val="bottom"/>
          </w:tcPr>
          <w:p>
            <w:pPr>
              <w:ind w:left="220"/>
              <w:spacing w:after="0" w:line="124" w:lineRule="exact"/>
              <w:rPr>
                <w:sz w:val="20"/>
                <w:szCs w:val="20"/>
                <w:color w:val="auto"/>
              </w:rPr>
            </w:pPr>
            <w:r>
              <w:rPr>
                <w:rFonts w:ascii="Arial" w:cs="Arial" w:eastAsia="Arial" w:hAnsi="Arial"/>
                <w:sz w:val="11"/>
                <w:szCs w:val="11"/>
                <w:color w:val="auto"/>
              </w:rPr>
              <w:t>Total accrued expenses</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tcPr>
          <w:p>
            <w:pPr>
              <w:jc w:val="right"/>
              <w:spacing w:after="0" w:line="124" w:lineRule="exact"/>
              <w:rPr>
                <w:sz w:val="20"/>
                <w:szCs w:val="20"/>
                <w:color w:val="auto"/>
              </w:rPr>
            </w:pPr>
            <w:r>
              <w:rPr>
                <w:rFonts w:ascii="Arial" w:cs="Arial" w:eastAsia="Arial" w:hAnsi="Arial"/>
                <w:sz w:val="11"/>
                <w:szCs w:val="11"/>
                <w:color w:val="auto"/>
              </w:rPr>
              <w:t>51.</w:t>
            </w:r>
            <w:r>
              <w:rPr>
                <w:rFonts w:ascii="Arial" w:cs="Arial" w:eastAsia="Arial" w:hAnsi="Arial"/>
                <w:sz w:val="11"/>
                <w:szCs w:val="11"/>
                <w:u w:val="single" w:color="auto"/>
                <w:color w:val="auto"/>
              </w:rPr>
              <w:t>4</w:t>
            </w:r>
          </w:p>
        </w:tc>
        <w:tc>
          <w:tcPr>
            <w:tcW w:w="400" w:type="dxa"/>
            <w:vAlign w:val="bottom"/>
            <w:gridSpan w:val="2"/>
          </w:tcPr>
          <w:p>
            <w:pPr>
              <w:jc w:val="right"/>
              <w:ind w:right="40"/>
              <w:spacing w:after="0" w:line="124" w:lineRule="exact"/>
              <w:rPr>
                <w:sz w:val="20"/>
                <w:szCs w:val="20"/>
                <w:color w:val="auto"/>
              </w:rPr>
            </w:pPr>
            <w:r>
              <w:rPr>
                <w:rFonts w:ascii="Arial" w:cs="Arial" w:eastAsia="Arial" w:hAnsi="Arial"/>
                <w:sz w:val="11"/>
                <w:szCs w:val="11"/>
                <w:color w:val="auto"/>
              </w:rPr>
              <w:t>$</w:t>
            </w:r>
          </w:p>
        </w:tc>
        <w:tc>
          <w:tcPr>
            <w:tcW w:w="400" w:type="dxa"/>
            <w:vAlign w:val="bottom"/>
          </w:tcPr>
          <w:p>
            <w:pPr>
              <w:jc w:val="right"/>
              <w:spacing w:after="0" w:line="124" w:lineRule="exact"/>
              <w:rPr>
                <w:sz w:val="20"/>
                <w:szCs w:val="20"/>
                <w:color w:val="auto"/>
              </w:rPr>
            </w:pPr>
            <w:r>
              <w:rPr>
                <w:rFonts w:ascii="Arial" w:cs="Arial" w:eastAsia="Arial" w:hAnsi="Arial"/>
                <w:sz w:val="11"/>
                <w:szCs w:val="11"/>
                <w:color w:val="auto"/>
              </w:rPr>
              <w:t>104.5</w:t>
            </w:r>
          </w:p>
        </w:tc>
        <w:tc>
          <w:tcPr>
            <w:tcW w:w="40" w:type="dxa"/>
            <w:vAlign w:val="bottom"/>
          </w:tcPr>
          <w:p>
            <w:pPr>
              <w:spacing w:after="0"/>
              <w:rPr>
                <w:sz w:val="10"/>
                <w:szCs w:val="10"/>
                <w:color w:val="auto"/>
              </w:rPr>
            </w:pPr>
          </w:p>
        </w:tc>
      </w:tr>
      <w:tr>
        <w:trPr>
          <w:trHeight w:val="27"/>
        </w:trPr>
        <w:tc>
          <w:tcPr>
            <w:tcW w:w="60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r>
    </w:tbl>
    <w:p>
      <w:pPr>
        <w:spacing w:after="0" w:line="214" w:lineRule="exact"/>
        <w:rPr>
          <w:sz w:val="20"/>
          <w:szCs w:val="20"/>
          <w:color w:val="auto"/>
        </w:rPr>
      </w:pPr>
    </w:p>
    <w:p>
      <w:pPr>
        <w:ind w:left="2060"/>
        <w:spacing w:after="0"/>
        <w:rPr>
          <w:sz w:val="20"/>
          <w:szCs w:val="20"/>
          <w:color w:val="auto"/>
        </w:rPr>
      </w:pPr>
      <w:r>
        <w:rPr>
          <w:rFonts w:ascii="Arial" w:cs="Arial" w:eastAsia="Arial" w:hAnsi="Arial"/>
          <w:sz w:val="11"/>
          <w:szCs w:val="11"/>
          <w:b w:val="1"/>
          <w:bCs w:val="1"/>
          <w:color w:val="auto"/>
        </w:rPr>
        <w:t>10. Debt and Financing Arrangements</w:t>
      </w:r>
    </w:p>
    <w:p>
      <w:pPr>
        <w:spacing w:after="0" w:line="72" w:lineRule="exact"/>
        <w:rPr>
          <w:sz w:val="20"/>
          <w:szCs w:val="20"/>
          <w:color w:val="auto"/>
        </w:rPr>
      </w:pPr>
    </w:p>
    <w:p>
      <w:pPr>
        <w:ind w:left="2060"/>
        <w:spacing w:after="0"/>
        <w:rPr>
          <w:sz w:val="20"/>
          <w:szCs w:val="20"/>
          <w:color w:val="auto"/>
        </w:rPr>
      </w:pPr>
      <w:r>
        <w:rPr>
          <w:rFonts w:ascii="Arial" w:cs="Arial" w:eastAsia="Arial" w:hAnsi="Arial"/>
          <w:sz w:val="11"/>
          <w:szCs w:val="11"/>
          <w:b w:val="1"/>
          <w:bCs w:val="1"/>
          <w:i w:val="1"/>
          <w:iCs w:val="1"/>
          <w:color w:val="auto"/>
        </w:rPr>
        <w:t>2015 Debt Financing Facility</w:t>
      </w:r>
    </w:p>
    <w:p>
      <w:pPr>
        <w:spacing w:after="0" w:line="84" w:lineRule="exact"/>
        <w:rPr>
          <w:sz w:val="20"/>
          <w:szCs w:val="20"/>
          <w:color w:val="auto"/>
        </w:rPr>
      </w:pPr>
    </w:p>
    <w:p>
      <w:pPr>
        <w:jc w:val="both"/>
        <w:ind w:left="2060" w:right="839"/>
        <w:spacing w:after="0" w:line="278" w:lineRule="auto"/>
        <w:rPr>
          <w:sz w:val="20"/>
          <w:szCs w:val="20"/>
          <w:color w:val="auto"/>
        </w:rPr>
      </w:pPr>
      <w:r>
        <w:rPr>
          <w:rFonts w:ascii="Arial" w:cs="Arial" w:eastAsia="Arial" w:hAnsi="Arial"/>
          <w:sz w:val="10"/>
          <w:szCs w:val="10"/>
          <w:color w:val="auto"/>
        </w:rPr>
        <w:t>In June 2015, the Company entered into a $3.0 million senior secured term loan facility (as amended from time to time, the “Term Loan Agreement”) with Silicon Valley Bank (“SVB”), maturing on June 1, 2019. The term loan was repayable in 36 scheduled installments commencing on July 1, 2016. Principal outstanding under the Term Loan Agreement accrued interest, payable monthly, at a floating rate per annum equal to the prime rate plus 1.50%.</w:t>
      </w:r>
    </w:p>
    <w:p>
      <w:pPr>
        <w:spacing w:after="0" w:line="123" w:lineRule="exact"/>
        <w:rPr>
          <w:sz w:val="20"/>
          <w:szCs w:val="20"/>
          <w:color w:val="auto"/>
        </w:rPr>
      </w:pPr>
    </w:p>
    <w:p>
      <w:pPr>
        <w:jc w:val="both"/>
        <w:ind w:left="2060" w:right="839"/>
        <w:spacing w:after="0"/>
        <w:rPr>
          <w:sz w:val="20"/>
          <w:szCs w:val="20"/>
          <w:color w:val="auto"/>
        </w:rPr>
      </w:pPr>
      <w:r>
        <w:rPr>
          <w:rFonts w:ascii="Arial" w:cs="Arial" w:eastAsia="Arial" w:hAnsi="Arial"/>
          <w:sz w:val="11"/>
          <w:szCs w:val="11"/>
          <w:color w:val="auto"/>
        </w:rPr>
        <w:t>In June 2015, the Company entered into a three-year, $32.0 million secured revolving credit facility with SVB (as amended from time to time, the “2015 Credit Agreement”). The amount that could be borrowed under the 2015 Credit Agreement was based upon a borrowing base formula with respect to the Company’s trailing three-month revenue and outstanding liability balances. Borrowed funds accrued interest at a floating rate per annum equal to the prime rate plus 0.25%. Amounts owed under the Term Loan Agreement and 2015 Credit Agreement (collectively, the “SVB Debt Facility”) were guaranteed by the Company. The Company also granted security interests in substantially all of its assets to collateralize these obligations.</w:t>
      </w:r>
    </w:p>
    <w:p>
      <w:pPr>
        <w:spacing w:after="0" w:line="142" w:lineRule="exact"/>
        <w:rPr>
          <w:sz w:val="20"/>
          <w:szCs w:val="20"/>
          <w:color w:val="auto"/>
        </w:rPr>
      </w:pPr>
    </w:p>
    <w:p>
      <w:pPr>
        <w:jc w:val="both"/>
        <w:ind w:left="2060" w:right="839"/>
        <w:spacing w:after="0" w:line="241" w:lineRule="auto"/>
        <w:rPr>
          <w:sz w:val="20"/>
          <w:szCs w:val="20"/>
          <w:color w:val="auto"/>
        </w:rPr>
      </w:pPr>
      <w:r>
        <w:rPr>
          <w:rFonts w:ascii="Arial" w:cs="Arial" w:eastAsia="Arial" w:hAnsi="Arial"/>
          <w:sz w:val="11"/>
          <w:szCs w:val="11"/>
          <w:color w:val="auto"/>
        </w:rPr>
        <w:t>The Company had the option to repay its borrowings under the SVB Debt Facility without penalty prior to maturity. As of June 30, 2017, there was $2.0 million of principal outstanding under the Term Loan Agreement of the SVB Debt Facility. In November 2017, the Company terminated the SVB Debt Facility and repaid the remaining $1.6 million principal outstanding under the Term Loan Agreement as of that date. The Company recognized a loss of approximately $0.1 million in November 2017 related to the write-off of the unamortized balance of loan fees on the SVB Debt Facility.</w:t>
      </w:r>
    </w:p>
    <w:p>
      <w:pPr>
        <w:spacing w:after="0" w:line="201" w:lineRule="exact"/>
        <w:rPr>
          <w:sz w:val="20"/>
          <w:szCs w:val="20"/>
          <w:color w:val="auto"/>
        </w:rPr>
      </w:pPr>
    </w:p>
    <w:p>
      <w:pPr>
        <w:ind w:left="2060"/>
        <w:spacing w:after="0"/>
        <w:rPr>
          <w:sz w:val="20"/>
          <w:szCs w:val="20"/>
          <w:color w:val="auto"/>
        </w:rPr>
      </w:pPr>
      <w:r>
        <w:rPr>
          <w:rFonts w:ascii="Arial" w:cs="Arial" w:eastAsia="Arial" w:hAnsi="Arial"/>
          <w:sz w:val="11"/>
          <w:szCs w:val="11"/>
          <w:b w:val="1"/>
          <w:bCs w:val="1"/>
          <w:i w:val="1"/>
          <w:iCs w:val="1"/>
          <w:color w:val="auto"/>
        </w:rPr>
        <w:t>2018 Revolving Credit Facility</w:t>
      </w:r>
    </w:p>
    <w:p>
      <w:pPr>
        <w:spacing w:after="0" w:line="84" w:lineRule="exact"/>
        <w:rPr>
          <w:sz w:val="20"/>
          <w:szCs w:val="20"/>
          <w:color w:val="auto"/>
        </w:rPr>
      </w:pPr>
    </w:p>
    <w:p>
      <w:pPr>
        <w:jc w:val="both"/>
        <w:ind w:left="2060" w:right="839"/>
        <w:spacing w:after="0" w:line="241" w:lineRule="auto"/>
        <w:rPr>
          <w:sz w:val="20"/>
          <w:szCs w:val="20"/>
          <w:color w:val="auto"/>
        </w:rPr>
      </w:pPr>
      <w:r>
        <w:rPr>
          <w:rFonts w:ascii="Arial" w:cs="Arial" w:eastAsia="Arial" w:hAnsi="Arial"/>
          <w:sz w:val="11"/>
          <w:szCs w:val="11"/>
          <w:color w:val="auto"/>
        </w:rPr>
        <w:t>In November 2017, the Company entered into a four-year, $100.0 million secured revolving credit facility (the “2018 Credit Agreement”) with JPMorgan Chase Bank, N.A., which serves as administrative agent, Bank of America, N.A., Goldman Sachs Lending Partners LLC, and SVB, as joint syndication agents, which replaced the SVB Credit Facility. Interest on the 2018 Credit Agreement was paid based on LIBOR plus a predetermined margin or base rate. The Company was required to pay a commitment fee of 0.375% based on the unused portion of the revolving credit facility.</w:t>
      </w:r>
    </w:p>
    <w:p>
      <w:pPr>
        <w:spacing w:after="0" w:line="140" w:lineRule="exact"/>
        <w:rPr>
          <w:sz w:val="20"/>
          <w:szCs w:val="20"/>
          <w:color w:val="auto"/>
        </w:rPr>
      </w:pPr>
    </w:p>
    <w:p>
      <w:pPr>
        <w:jc w:val="both"/>
        <w:ind w:left="2060" w:right="839"/>
        <w:spacing w:after="0" w:line="242" w:lineRule="auto"/>
        <w:rPr>
          <w:sz w:val="20"/>
          <w:szCs w:val="20"/>
          <w:color w:val="auto"/>
        </w:rPr>
      </w:pPr>
      <w:r>
        <w:rPr>
          <w:rFonts w:ascii="Arial" w:cs="Arial" w:eastAsia="Arial" w:hAnsi="Arial"/>
          <w:sz w:val="11"/>
          <w:szCs w:val="11"/>
          <w:color w:val="auto"/>
        </w:rPr>
        <w:t>In connection with the execution of the 2018 Credit Agreement, the Company incurred debt issuance costs of $1.2 million during the fiscal year ended June 30, 2018, which are capitalized and were being amortized to interest expense using the effective interest method over the term of the 2018 Credit Agreement.</w:t>
      </w:r>
    </w:p>
    <w:p>
      <w:pPr>
        <w:spacing w:after="0" w:line="200" w:lineRule="exact"/>
        <w:rPr>
          <w:sz w:val="20"/>
          <w:szCs w:val="20"/>
          <w:color w:val="auto"/>
        </w:rPr>
      </w:pPr>
    </w:p>
    <w:p>
      <w:pPr>
        <w:ind w:left="2060"/>
        <w:spacing w:after="0"/>
        <w:rPr>
          <w:sz w:val="20"/>
          <w:szCs w:val="20"/>
          <w:color w:val="auto"/>
        </w:rPr>
      </w:pPr>
      <w:r>
        <w:rPr>
          <w:rFonts w:ascii="Arial" w:cs="Arial" w:eastAsia="Arial" w:hAnsi="Arial"/>
          <w:sz w:val="11"/>
          <w:szCs w:val="11"/>
          <w:b w:val="1"/>
          <w:bCs w:val="1"/>
          <w:i w:val="1"/>
          <w:iCs w:val="1"/>
          <w:color w:val="auto"/>
        </w:rPr>
        <w:t>Amended and Restated Credit Agreement</w:t>
      </w:r>
    </w:p>
    <w:p>
      <w:pPr>
        <w:spacing w:after="0" w:line="84" w:lineRule="exact"/>
        <w:rPr>
          <w:sz w:val="20"/>
          <w:szCs w:val="20"/>
          <w:color w:val="auto"/>
        </w:rPr>
      </w:pPr>
    </w:p>
    <w:p>
      <w:pPr>
        <w:jc w:val="both"/>
        <w:ind w:left="2060" w:right="839"/>
        <w:spacing w:after="0"/>
        <w:rPr>
          <w:sz w:val="20"/>
          <w:szCs w:val="20"/>
          <w:color w:val="auto"/>
        </w:rPr>
      </w:pPr>
      <w:r>
        <w:rPr>
          <w:rFonts w:ascii="Arial" w:cs="Arial" w:eastAsia="Arial" w:hAnsi="Arial"/>
          <w:sz w:val="11"/>
          <w:szCs w:val="11"/>
          <w:color w:val="auto"/>
        </w:rPr>
        <w:t>In June 2019, the Company entered into an amended and restated revolving credit agreement (“Amended Credit Agreement”) with JPMorgan Chase Bank, N.A., as administrative agent, lead arranger and bookrunner and Bank of America, N.A., Barclays Bank PLC, Goldman Sachs Lending Partners LLC and SVB, as joint syndication agents, which amended and restated the 2018 Credit Agreement. The Amended Credit Agreement provides for a $250.0 million secured revolving credit facility, including up to the lesser of $150.0 million and the aggregate unused amount of the facility for the issuance of</w:t>
      </w:r>
    </w:p>
    <w:p>
      <w:pPr>
        <w:spacing w:after="0" w:line="97" w:lineRule="exact"/>
        <w:rPr>
          <w:sz w:val="20"/>
          <w:szCs w:val="20"/>
          <w:color w:val="auto"/>
        </w:rPr>
      </w:pPr>
    </w:p>
    <w:p>
      <w:pPr>
        <w:ind w:left="5620"/>
        <w:spacing w:after="0"/>
        <w:rPr>
          <w:sz w:val="20"/>
          <w:szCs w:val="20"/>
          <w:color w:val="auto"/>
        </w:rPr>
      </w:pPr>
      <w:r>
        <w:rPr>
          <w:rFonts w:ascii="Arial" w:cs="Arial" w:eastAsia="Arial" w:hAnsi="Arial"/>
          <w:sz w:val="11"/>
          <w:szCs w:val="11"/>
          <w:color w:val="auto"/>
        </w:rPr>
        <w:t>F-21</w:t>
      </w:r>
    </w:p>
    <w:p>
      <w:pPr>
        <w:sectPr>
          <w:pgSz w:w="11900" w:h="16838" w:orient="portrait"/>
          <w:cols w:equalWidth="0" w:num="1">
            <w:col w:w="10239"/>
          </w:cols>
          <w:pgMar w:left="220" w:top="354" w:right="1440" w:bottom="1440" w:gutter="0" w:footer="0" w:header="0"/>
        </w:sectPr>
      </w:pPr>
    </w:p>
    <w:bookmarkStart w:id="185" w:name="page186"/>
    <w:bookmarkEnd w:id="185"/>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hyperlink w:anchor="page5">
        <w:r>
          <w:rPr>
            <w:rFonts w:ascii="Arial" w:cs="Arial" w:eastAsia="Arial" w:hAnsi="Arial"/>
            <w:sz w:val="12"/>
            <w:szCs w:val="12"/>
            <w:b w:val="1"/>
            <w:bCs w:val="1"/>
            <w:u w:val="single" w:color="auto"/>
            <w:color w:val="0000EE"/>
          </w:rPr>
          <w:t>Table of Contents</w:t>
        </w:r>
      </w:hyperlink>
    </w:p>
    <w:p>
      <w:pPr>
        <w:spacing w:after="0" w:line="200" w:lineRule="exact"/>
        <w:rPr>
          <w:sz w:val="20"/>
          <w:szCs w:val="20"/>
          <w:color w:val="auto"/>
        </w:rPr>
      </w:pPr>
    </w:p>
    <w:p>
      <w:pPr>
        <w:jc w:val="center"/>
        <w:ind w:right="-1220"/>
        <w:spacing w:after="0"/>
        <w:rPr>
          <w:sz w:val="20"/>
          <w:szCs w:val="20"/>
          <w:color w:val="auto"/>
        </w:rPr>
      </w:pPr>
      <w:r>
        <w:rPr>
          <w:rFonts w:ascii="Arial" w:cs="Arial" w:eastAsia="Arial" w:hAnsi="Arial"/>
          <w:sz w:val="12"/>
          <w:szCs w:val="12"/>
          <w:b w:val="1"/>
          <w:bCs w:val="1"/>
          <w:color w:val="auto"/>
        </w:rPr>
        <w:t>PELOTON INTERACTIVE, INC.</w:t>
      </w:r>
    </w:p>
    <w:p>
      <w:pPr>
        <w:spacing w:after="0" w:line="11" w:lineRule="exact"/>
        <w:rPr>
          <w:sz w:val="20"/>
          <w:szCs w:val="20"/>
          <w:color w:val="auto"/>
        </w:rPr>
      </w:pPr>
    </w:p>
    <w:p>
      <w:pPr>
        <w:jc w:val="center"/>
        <w:ind w:right="-1220"/>
        <w:spacing w:after="0"/>
        <w:rPr>
          <w:sz w:val="20"/>
          <w:szCs w:val="20"/>
          <w:color w:val="auto"/>
        </w:rPr>
      </w:pPr>
      <w:r>
        <w:rPr>
          <w:rFonts w:ascii="Arial" w:cs="Arial" w:eastAsia="Arial" w:hAnsi="Arial"/>
          <w:sz w:val="12"/>
          <w:szCs w:val="12"/>
          <w:b w:val="1"/>
          <w:bCs w:val="1"/>
          <w:color w:val="auto"/>
        </w:rPr>
        <w:t>NOTES TO CONSOLIDATED FINANCIAL STATEMENTS</w:t>
      </w:r>
    </w:p>
    <w:p>
      <w:pPr>
        <w:spacing w:after="0" w:line="80" w:lineRule="exact"/>
        <w:rPr>
          <w:sz w:val="20"/>
          <w:szCs w:val="20"/>
          <w:color w:val="auto"/>
        </w:rPr>
      </w:pPr>
    </w:p>
    <w:p>
      <w:pPr>
        <w:jc w:val="both"/>
        <w:ind w:left="2060" w:right="839"/>
        <w:spacing w:after="0" w:line="245" w:lineRule="auto"/>
        <w:rPr>
          <w:sz w:val="20"/>
          <w:szCs w:val="20"/>
          <w:color w:val="auto"/>
        </w:rPr>
      </w:pPr>
      <w:r>
        <w:rPr>
          <w:rFonts w:ascii="Arial" w:cs="Arial" w:eastAsia="Arial" w:hAnsi="Arial"/>
          <w:sz w:val="11"/>
          <w:szCs w:val="11"/>
          <w:color w:val="auto"/>
        </w:rPr>
        <w:t>letters of credit. Interest on the Amended Credit Agreement is paid based on LIBOR plus 2.75% or an Alternative Base Rate plus 1.75%. The Company is required to pay an annual commitment fee of 0.375% on a quarterly basis based on the unused portion of the revolving credit facility.</w:t>
      </w:r>
    </w:p>
    <w:p>
      <w:pPr>
        <w:spacing w:after="0" w:line="138" w:lineRule="exact"/>
        <w:rPr>
          <w:sz w:val="20"/>
          <w:szCs w:val="20"/>
          <w:color w:val="auto"/>
        </w:rPr>
      </w:pPr>
    </w:p>
    <w:p>
      <w:pPr>
        <w:jc w:val="both"/>
        <w:ind w:left="2060" w:right="839"/>
        <w:spacing w:after="0" w:line="245" w:lineRule="auto"/>
        <w:rPr>
          <w:sz w:val="20"/>
          <w:szCs w:val="20"/>
          <w:color w:val="auto"/>
        </w:rPr>
      </w:pPr>
      <w:r>
        <w:rPr>
          <w:rFonts w:ascii="Arial" w:cs="Arial" w:eastAsia="Arial" w:hAnsi="Arial"/>
          <w:sz w:val="11"/>
          <w:szCs w:val="11"/>
          <w:color w:val="auto"/>
        </w:rPr>
        <w:t>The Company incurred total commitment fees of $0.2 million and $0.3 million during the fiscal years ended June 30, 2018 and 2019, respectively, which are included in interest expense in the statements of operations.</w:t>
      </w:r>
    </w:p>
    <w:p>
      <w:pPr>
        <w:spacing w:after="0" w:line="138" w:lineRule="exact"/>
        <w:rPr>
          <w:sz w:val="20"/>
          <w:szCs w:val="20"/>
          <w:color w:val="auto"/>
        </w:rPr>
      </w:pPr>
    </w:p>
    <w:p>
      <w:pPr>
        <w:jc w:val="both"/>
        <w:ind w:left="2060" w:right="839"/>
        <w:spacing w:after="0" w:line="245" w:lineRule="auto"/>
        <w:rPr>
          <w:sz w:val="20"/>
          <w:szCs w:val="20"/>
          <w:color w:val="auto"/>
        </w:rPr>
      </w:pPr>
      <w:r>
        <w:rPr>
          <w:rFonts w:ascii="Arial" w:cs="Arial" w:eastAsia="Arial" w:hAnsi="Arial"/>
          <w:sz w:val="11"/>
          <w:szCs w:val="11"/>
          <w:color w:val="auto"/>
        </w:rPr>
        <w:t>The principal amount, if any, is payable in full in June 2024. As of June 30, 2019, the Company had not drawn on the credit facility and did not have outstanding borrowings under the Amended Credit Agreement.</w:t>
      </w:r>
    </w:p>
    <w:p>
      <w:pPr>
        <w:spacing w:after="0" w:line="138" w:lineRule="exact"/>
        <w:rPr>
          <w:sz w:val="20"/>
          <w:szCs w:val="20"/>
          <w:color w:val="auto"/>
        </w:rPr>
      </w:pPr>
    </w:p>
    <w:p>
      <w:pPr>
        <w:jc w:val="both"/>
        <w:ind w:left="2060" w:right="839"/>
        <w:spacing w:after="0" w:line="241" w:lineRule="auto"/>
        <w:rPr>
          <w:sz w:val="20"/>
          <w:szCs w:val="20"/>
          <w:color w:val="auto"/>
        </w:rPr>
      </w:pPr>
      <w:r>
        <w:rPr>
          <w:rFonts w:ascii="Arial" w:cs="Arial" w:eastAsia="Arial" w:hAnsi="Arial"/>
          <w:sz w:val="11"/>
          <w:szCs w:val="11"/>
          <w:color w:val="auto"/>
        </w:rPr>
        <w:t>In connection with the execution of the Amended Credit Agreement, the Company incurred debt issuance costs of $0.9 million during the fiscal year ended June 30, 2019, which are being capitalized and are being amortized to interest expense using the effective interest method over the term of the Amended Credit Agreement. The remaining unamortized deferred financing fees of $0.7 million related to the 2018 Credit Agreement were deferred and are being amortized to interest expense using the effective interest method over the term of the Amended Credit Agreement.</w:t>
      </w:r>
    </w:p>
    <w:p>
      <w:pPr>
        <w:spacing w:after="0" w:line="140" w:lineRule="exact"/>
        <w:rPr>
          <w:sz w:val="20"/>
          <w:szCs w:val="20"/>
          <w:color w:val="auto"/>
        </w:rPr>
      </w:pPr>
    </w:p>
    <w:p>
      <w:pPr>
        <w:jc w:val="both"/>
        <w:ind w:left="2060" w:right="839"/>
        <w:spacing w:after="0"/>
        <w:rPr>
          <w:sz w:val="20"/>
          <w:szCs w:val="20"/>
          <w:color w:val="auto"/>
        </w:rPr>
      </w:pPr>
      <w:r>
        <w:rPr>
          <w:rFonts w:ascii="Arial" w:cs="Arial" w:eastAsia="Arial" w:hAnsi="Arial"/>
          <w:sz w:val="11"/>
          <w:szCs w:val="11"/>
          <w:color w:val="auto"/>
        </w:rPr>
        <w:t>The Company has the option to repay its borrowings under the Amended Credit Agreement without premium or penalty prior to maturity. The Amended Credit Agreement contains customary affirmative covenants, such as financial statement reporting requirements and delivery of borrowing base certificates, as well as customary covenants that restrict its ability to, among other things, incur additional indebtedness, sell certain assets, guarantee obligations of third parties, declare cash dividends in the entirety or make certain other distributions, and undergo a merger or consolidation or certain other transactions. The Amended Credit Agreement also contains certain financial condition covenants, including maintaining a total level of liquidity of not less than $125.0 million and maintaining certain minimum total revenue ranging from $725.0 million to $1,985.0 million depending on the applicable date of determination. As of June 30, 2019, the Company was in compliance with the covenants under the Amended Credit Agreement. At June 30, 2019, the Company was contingently liable for approximately $40.1 million in standby letters of credit as security for its operating lease and inventory purchasing obligations.</w:t>
      </w:r>
    </w:p>
    <w:p>
      <w:pPr>
        <w:spacing w:after="0" w:line="201" w:lineRule="exact"/>
        <w:rPr>
          <w:sz w:val="20"/>
          <w:szCs w:val="20"/>
          <w:color w:val="auto"/>
        </w:rPr>
      </w:pPr>
    </w:p>
    <w:p>
      <w:pPr>
        <w:ind w:left="2060"/>
        <w:spacing w:after="0"/>
        <w:rPr>
          <w:sz w:val="20"/>
          <w:szCs w:val="20"/>
          <w:color w:val="auto"/>
        </w:rPr>
      </w:pPr>
      <w:r>
        <w:rPr>
          <w:rFonts w:ascii="Arial" w:cs="Arial" w:eastAsia="Arial" w:hAnsi="Arial"/>
          <w:sz w:val="11"/>
          <w:szCs w:val="11"/>
          <w:b w:val="1"/>
          <w:bCs w:val="1"/>
          <w:color w:val="auto"/>
        </w:rPr>
        <w:t>11. Commitments and Contingencies</w:t>
      </w:r>
    </w:p>
    <w:p>
      <w:pPr>
        <w:spacing w:after="0" w:line="72" w:lineRule="exact"/>
        <w:rPr>
          <w:sz w:val="20"/>
          <w:szCs w:val="20"/>
          <w:color w:val="auto"/>
        </w:rPr>
      </w:pPr>
    </w:p>
    <w:p>
      <w:pPr>
        <w:ind w:left="2060"/>
        <w:spacing w:after="0"/>
        <w:rPr>
          <w:sz w:val="20"/>
          <w:szCs w:val="20"/>
          <w:color w:val="auto"/>
        </w:rPr>
      </w:pPr>
      <w:r>
        <w:rPr>
          <w:rFonts w:ascii="Arial" w:cs="Arial" w:eastAsia="Arial" w:hAnsi="Arial"/>
          <w:sz w:val="11"/>
          <w:szCs w:val="11"/>
          <w:b w:val="1"/>
          <w:bCs w:val="1"/>
          <w:i w:val="1"/>
          <w:iCs w:val="1"/>
          <w:color w:val="auto"/>
        </w:rPr>
        <w:t>Lease Obligations</w:t>
      </w:r>
    </w:p>
    <w:p>
      <w:pPr>
        <w:spacing w:after="0" w:line="84" w:lineRule="exact"/>
        <w:rPr>
          <w:sz w:val="20"/>
          <w:szCs w:val="20"/>
          <w:color w:val="auto"/>
        </w:rPr>
      </w:pPr>
    </w:p>
    <w:p>
      <w:pPr>
        <w:jc w:val="both"/>
        <w:ind w:left="2060" w:right="839"/>
        <w:spacing w:after="0" w:line="242" w:lineRule="auto"/>
        <w:rPr>
          <w:sz w:val="20"/>
          <w:szCs w:val="20"/>
          <w:color w:val="auto"/>
        </w:rPr>
      </w:pPr>
      <w:r>
        <w:rPr>
          <w:rFonts w:ascii="Arial" w:cs="Arial" w:eastAsia="Arial" w:hAnsi="Arial"/>
          <w:sz w:val="11"/>
          <w:szCs w:val="11"/>
          <w:color w:val="auto"/>
        </w:rPr>
        <w:t>The Company leases facilities under operating leases with various expiration dates through 2039. The Company’s corporate headquarters is located in New York, New York. The Company also leases space for the operation of its production studio facilities, retail showrooms, microstores, warehouses, and office spaces.</w:t>
      </w:r>
    </w:p>
    <w:p>
      <w:pPr>
        <w:spacing w:after="0" w:line="140" w:lineRule="exact"/>
        <w:rPr>
          <w:sz w:val="20"/>
          <w:szCs w:val="20"/>
          <w:color w:val="auto"/>
        </w:rPr>
      </w:pPr>
    </w:p>
    <w:p>
      <w:pPr>
        <w:jc w:val="both"/>
        <w:ind w:left="2060" w:right="839"/>
        <w:spacing w:after="0"/>
        <w:rPr>
          <w:sz w:val="20"/>
          <w:szCs w:val="20"/>
          <w:color w:val="auto"/>
        </w:rPr>
      </w:pPr>
      <w:r>
        <w:rPr>
          <w:rFonts w:ascii="Arial" w:cs="Arial" w:eastAsia="Arial" w:hAnsi="Arial"/>
          <w:sz w:val="11"/>
          <w:szCs w:val="11"/>
          <w:color w:val="auto"/>
        </w:rPr>
        <w:t>Certain of the Company’s lease agreements contain renewal options, rent escalation clauses, rent holidays or landlord incentives. Landlord incentives are capitalized within deferred rent and amortized as a reduction of rent expense over the term of the lease. Rent expense for non-cancellable operating leases with scheduled rent increases or landlord incentives is recognized on a straight-line basis over the lease term, including any applicable rent holidays, beginning on the date of initial possession, which is generally the date when the Company enters the space and begins to make improvements in preparation for intended use. The excess of straight-line rent expense over the scheduled payment amounts and landlord incentives is recorded as a deferred rent obligation. The Company has the option to extend or renew most of its leases, which may increase the future minimum lease commitments. The Company’s lease agreements for its retail showrooms generally provide for a fixed minimum rental plus contingent rent, which is determined as a percentage of gross sales in excess of specified levels.</w:t>
      </w:r>
    </w:p>
    <w:p>
      <w:pPr>
        <w:spacing w:after="0" w:line="141" w:lineRule="exact"/>
        <w:rPr>
          <w:sz w:val="20"/>
          <w:szCs w:val="20"/>
          <w:color w:val="auto"/>
        </w:rPr>
      </w:pPr>
    </w:p>
    <w:p>
      <w:pPr>
        <w:jc w:val="both"/>
        <w:ind w:left="2060" w:right="839"/>
        <w:spacing w:after="0" w:line="245" w:lineRule="auto"/>
        <w:rPr>
          <w:sz w:val="20"/>
          <w:szCs w:val="20"/>
          <w:color w:val="auto"/>
        </w:rPr>
      </w:pPr>
      <w:r>
        <w:rPr>
          <w:rFonts w:ascii="Arial" w:cs="Arial" w:eastAsia="Arial" w:hAnsi="Arial"/>
          <w:sz w:val="11"/>
          <w:szCs w:val="11"/>
          <w:color w:val="auto"/>
        </w:rPr>
        <w:t>Rent expense under existing operating lease agreements was $8.0 million, $15.1 million, and $35.8 million for the fiscal years ended June 30, 2017, 2018, and 2019, respectively.</w:t>
      </w:r>
    </w:p>
    <w:p>
      <w:pPr>
        <w:spacing w:after="0" w:line="93" w:lineRule="exact"/>
        <w:rPr>
          <w:sz w:val="20"/>
          <w:szCs w:val="20"/>
          <w:color w:val="auto"/>
        </w:rPr>
      </w:pPr>
    </w:p>
    <w:p>
      <w:pPr>
        <w:ind w:left="5620"/>
        <w:spacing w:after="0"/>
        <w:rPr>
          <w:sz w:val="20"/>
          <w:szCs w:val="20"/>
          <w:color w:val="auto"/>
        </w:rPr>
      </w:pPr>
      <w:r>
        <w:rPr>
          <w:rFonts w:ascii="Arial" w:cs="Arial" w:eastAsia="Arial" w:hAnsi="Arial"/>
          <w:sz w:val="11"/>
          <w:szCs w:val="11"/>
          <w:color w:val="auto"/>
        </w:rPr>
        <w:t>F-22</w:t>
      </w:r>
    </w:p>
    <w:p>
      <w:pPr>
        <w:sectPr>
          <w:pgSz w:w="11900" w:h="16838" w:orient="portrait"/>
          <w:cols w:equalWidth="0" w:num="1">
            <w:col w:w="10239"/>
          </w:cols>
          <w:pgMar w:left="220" w:top="354" w:right="1440" w:bottom="1440" w:gutter="0" w:footer="0" w:header="0"/>
        </w:sectPr>
      </w:pPr>
    </w:p>
    <w:bookmarkStart w:id="186" w:name="page187"/>
    <w:bookmarkEnd w:id="186"/>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hyperlink w:anchor="page5">
        <w:r>
          <w:rPr>
            <w:rFonts w:ascii="Arial" w:cs="Arial" w:eastAsia="Arial" w:hAnsi="Arial"/>
            <w:sz w:val="12"/>
            <w:szCs w:val="12"/>
            <w:b w:val="1"/>
            <w:bCs w:val="1"/>
            <w:u w:val="single" w:color="auto"/>
            <w:color w:val="0000EE"/>
          </w:rPr>
          <w:t>Table of Contents</w:t>
        </w:r>
      </w:hyperlink>
    </w:p>
    <w:p>
      <w:pPr>
        <w:spacing w:after="0" w:line="200" w:lineRule="exact"/>
        <w:rPr>
          <w:sz w:val="20"/>
          <w:szCs w:val="20"/>
          <w:color w:val="auto"/>
        </w:rPr>
      </w:pPr>
    </w:p>
    <w:p>
      <w:pPr>
        <w:jc w:val="center"/>
        <w:ind w:right="-1220"/>
        <w:spacing w:after="0"/>
        <w:rPr>
          <w:sz w:val="20"/>
          <w:szCs w:val="20"/>
          <w:color w:val="auto"/>
        </w:rPr>
      </w:pPr>
      <w:r>
        <w:rPr>
          <w:rFonts w:ascii="Arial" w:cs="Arial" w:eastAsia="Arial" w:hAnsi="Arial"/>
          <w:sz w:val="12"/>
          <w:szCs w:val="12"/>
          <w:b w:val="1"/>
          <w:bCs w:val="1"/>
          <w:color w:val="auto"/>
        </w:rPr>
        <w:t>PELOTON INTERACTIVE, INC.</w:t>
      </w:r>
    </w:p>
    <w:p>
      <w:pPr>
        <w:spacing w:after="0" w:line="11" w:lineRule="exact"/>
        <w:rPr>
          <w:sz w:val="20"/>
          <w:szCs w:val="20"/>
          <w:color w:val="auto"/>
        </w:rPr>
      </w:pPr>
    </w:p>
    <w:p>
      <w:pPr>
        <w:jc w:val="center"/>
        <w:ind w:right="-1220"/>
        <w:spacing w:after="0"/>
        <w:rPr>
          <w:sz w:val="20"/>
          <w:szCs w:val="20"/>
          <w:color w:val="auto"/>
        </w:rPr>
      </w:pPr>
      <w:r>
        <w:rPr>
          <w:rFonts w:ascii="Arial" w:cs="Arial" w:eastAsia="Arial" w:hAnsi="Arial"/>
          <w:sz w:val="12"/>
          <w:szCs w:val="12"/>
          <w:b w:val="1"/>
          <w:bCs w:val="1"/>
          <w:color w:val="auto"/>
        </w:rPr>
        <w:t>NOTES TO CONSOLIDATED FINANCIAL STATEMENTS</w:t>
      </w:r>
    </w:p>
    <w:p>
      <w:pPr>
        <w:spacing w:after="0" w:line="80" w:lineRule="exact"/>
        <w:rPr>
          <w:sz w:val="20"/>
          <w:szCs w:val="20"/>
          <w:color w:val="auto"/>
        </w:rPr>
      </w:pPr>
    </w:p>
    <w:p>
      <w:pPr>
        <w:ind w:left="2060"/>
        <w:spacing w:after="0"/>
        <w:rPr>
          <w:sz w:val="20"/>
          <w:szCs w:val="20"/>
          <w:color w:val="auto"/>
        </w:rPr>
      </w:pPr>
      <w:r>
        <w:rPr>
          <w:rFonts w:ascii="Arial" w:cs="Arial" w:eastAsia="Arial" w:hAnsi="Arial"/>
          <w:sz w:val="11"/>
          <w:szCs w:val="11"/>
          <w:color w:val="auto"/>
        </w:rPr>
        <w:t>The following represents the Company’s minimum annual rental payments under operating leases for each of the next five years and thereafter:</w:t>
      </w:r>
    </w:p>
    <w:p>
      <w:pPr>
        <w:spacing w:after="0" w:line="149" w:lineRule="exact"/>
        <w:rPr>
          <w:sz w:val="20"/>
          <w:szCs w:val="20"/>
          <w:color w:val="auto"/>
        </w:rPr>
      </w:pPr>
    </w:p>
    <w:tbl>
      <w:tblPr>
        <w:tblLayout w:type="fixed"/>
        <w:tblInd w:w="2060" w:type="dxa"/>
        <w:tblCellMar>
          <w:top w:w="0" w:type="dxa"/>
          <w:left w:w="0" w:type="dxa"/>
          <w:bottom w:w="0" w:type="dxa"/>
          <w:right w:w="0" w:type="dxa"/>
        </w:tblCellMar>
      </w:tblPr>
      <w:tr>
        <w:trPr>
          <w:trHeight w:val="126"/>
        </w:trPr>
        <w:tc>
          <w:tcPr>
            <w:tcW w:w="1440" w:type="dxa"/>
            <w:vAlign w:val="bottom"/>
            <w:vMerge w:val="restart"/>
          </w:tcPr>
          <w:p>
            <w:pPr>
              <w:spacing w:after="0"/>
              <w:rPr>
                <w:sz w:val="20"/>
                <w:szCs w:val="20"/>
                <w:color w:val="auto"/>
              </w:rPr>
            </w:pPr>
            <w:r>
              <w:rPr>
                <w:rFonts w:ascii="Arial" w:cs="Arial" w:eastAsia="Arial" w:hAnsi="Arial"/>
                <w:sz w:val="11"/>
                <w:szCs w:val="11"/>
                <w:b w:val="1"/>
                <w:bCs w:val="1"/>
                <w:color w:val="auto"/>
                <w:w w:val="97"/>
              </w:rPr>
              <w:t>Fiscal Year Ending June 30,</w:t>
            </w:r>
          </w:p>
        </w:tc>
        <w:tc>
          <w:tcPr>
            <w:tcW w:w="5920" w:type="dxa"/>
            <w:vAlign w:val="bottom"/>
            <w:gridSpan w:val="4"/>
          </w:tcPr>
          <w:p>
            <w:pPr>
              <w:ind w:left="5020"/>
              <w:spacing w:after="0"/>
              <w:rPr>
                <w:sz w:val="20"/>
                <w:szCs w:val="20"/>
                <w:color w:val="auto"/>
              </w:rPr>
            </w:pPr>
            <w:r>
              <w:rPr>
                <w:rFonts w:ascii="Arial" w:cs="Arial" w:eastAsia="Arial" w:hAnsi="Arial"/>
                <w:sz w:val="11"/>
                <w:szCs w:val="11"/>
                <w:b w:val="1"/>
                <w:bCs w:val="1"/>
                <w:color w:val="auto"/>
              </w:rPr>
              <w:t>Future Minimum</w:t>
            </w:r>
          </w:p>
        </w:tc>
        <w:tc>
          <w:tcPr>
            <w:tcW w:w="0" w:type="dxa"/>
            <w:vAlign w:val="bottom"/>
          </w:tcPr>
          <w:p>
            <w:pPr>
              <w:spacing w:after="0"/>
              <w:rPr>
                <w:sz w:val="1"/>
                <w:szCs w:val="1"/>
                <w:color w:val="auto"/>
              </w:rPr>
            </w:pPr>
          </w:p>
        </w:tc>
      </w:tr>
      <w:tr>
        <w:trPr>
          <w:trHeight w:val="128"/>
        </w:trPr>
        <w:tc>
          <w:tcPr>
            <w:tcW w:w="1440" w:type="dxa"/>
            <w:vAlign w:val="bottom"/>
            <w:vMerge w:val="continue"/>
          </w:tcPr>
          <w:p>
            <w:pPr>
              <w:spacing w:after="0"/>
              <w:rPr>
                <w:sz w:val="11"/>
                <w:szCs w:val="11"/>
                <w:color w:val="auto"/>
              </w:rPr>
            </w:pPr>
          </w:p>
        </w:tc>
        <w:tc>
          <w:tcPr>
            <w:tcW w:w="50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gridSpan w:val="2"/>
          </w:tcPr>
          <w:p>
            <w:pPr>
              <w:ind w:left="80"/>
              <w:spacing w:after="0"/>
              <w:rPr>
                <w:sz w:val="20"/>
                <w:szCs w:val="20"/>
                <w:color w:val="auto"/>
              </w:rPr>
            </w:pPr>
            <w:r>
              <w:rPr>
                <w:rFonts w:ascii="Arial" w:cs="Arial" w:eastAsia="Arial" w:hAnsi="Arial"/>
                <w:sz w:val="11"/>
                <w:szCs w:val="11"/>
                <w:b w:val="1"/>
                <w:bCs w:val="1"/>
                <w:color w:val="auto"/>
              </w:rPr>
              <w:t>Payments</w:t>
            </w:r>
          </w:p>
        </w:tc>
        <w:tc>
          <w:tcPr>
            <w:tcW w:w="0" w:type="dxa"/>
            <w:vAlign w:val="bottom"/>
          </w:tcPr>
          <w:p>
            <w:pPr>
              <w:spacing w:after="0"/>
              <w:rPr>
                <w:sz w:val="1"/>
                <w:szCs w:val="1"/>
                <w:color w:val="auto"/>
              </w:rPr>
            </w:pPr>
          </w:p>
        </w:tc>
      </w:tr>
      <w:tr>
        <w:trPr>
          <w:trHeight w:val="124"/>
        </w:trPr>
        <w:tc>
          <w:tcPr>
            <w:tcW w:w="1440" w:type="dxa"/>
            <w:vAlign w:val="bottom"/>
            <w:tcBorders>
              <w:top w:val="single" w:sz="8" w:color="auto"/>
            </w:tcBorders>
          </w:tcPr>
          <w:p>
            <w:pPr>
              <w:spacing w:after="0"/>
              <w:rPr>
                <w:sz w:val="10"/>
                <w:szCs w:val="10"/>
                <w:color w:val="auto"/>
              </w:rPr>
            </w:pPr>
          </w:p>
        </w:tc>
        <w:tc>
          <w:tcPr>
            <w:tcW w:w="504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tcPr>
          <w:p>
            <w:pPr>
              <w:jc w:val="right"/>
              <w:ind w:right="66"/>
              <w:spacing w:after="0" w:line="124" w:lineRule="exact"/>
              <w:rPr>
                <w:sz w:val="20"/>
                <w:szCs w:val="20"/>
                <w:color w:val="auto"/>
              </w:rPr>
            </w:pPr>
            <w:r>
              <w:rPr>
                <w:rFonts w:ascii="Arial" w:cs="Arial" w:eastAsia="Arial" w:hAnsi="Arial"/>
                <w:sz w:val="11"/>
                <w:szCs w:val="11"/>
                <w:b w:val="1"/>
                <w:bCs w:val="1"/>
                <w:color w:val="auto"/>
              </w:rPr>
              <w:t>(in millions)</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1440" w:type="dxa"/>
            <w:vAlign w:val="bottom"/>
            <w:shd w:val="clear" w:color="auto" w:fill="CCEEFF"/>
          </w:tcPr>
          <w:p>
            <w:pPr>
              <w:spacing w:after="0"/>
              <w:rPr>
                <w:sz w:val="20"/>
                <w:szCs w:val="20"/>
                <w:color w:val="auto"/>
              </w:rPr>
            </w:pPr>
            <w:r>
              <w:rPr>
                <w:rFonts w:ascii="Arial" w:cs="Arial" w:eastAsia="Arial" w:hAnsi="Arial"/>
                <w:sz w:val="11"/>
                <w:szCs w:val="11"/>
                <w:color w:val="auto"/>
              </w:rPr>
              <w:t>2020</w:t>
            </w:r>
          </w:p>
        </w:tc>
        <w:tc>
          <w:tcPr>
            <w:tcW w:w="5120" w:type="dxa"/>
            <w:vAlign w:val="bottom"/>
            <w:gridSpan w:val="2"/>
            <w:shd w:val="clear" w:color="auto" w:fill="CCEEFF"/>
          </w:tcPr>
          <w:p>
            <w:pPr>
              <w:ind w:left="5020"/>
              <w:spacing w:after="0"/>
              <w:rPr>
                <w:sz w:val="20"/>
                <w:szCs w:val="20"/>
                <w:color w:val="auto"/>
              </w:rPr>
            </w:pPr>
            <w:r>
              <w:rPr>
                <w:rFonts w:ascii="Arial" w:cs="Arial" w:eastAsia="Arial" w:hAnsi="Arial"/>
                <w:sz w:val="11"/>
                <w:szCs w:val="11"/>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33.0</w:t>
            </w: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1440" w:type="dxa"/>
            <w:vAlign w:val="bottom"/>
          </w:tcPr>
          <w:p>
            <w:pPr>
              <w:spacing w:after="0"/>
              <w:rPr>
                <w:sz w:val="20"/>
                <w:szCs w:val="20"/>
                <w:color w:val="auto"/>
              </w:rPr>
            </w:pPr>
            <w:r>
              <w:rPr>
                <w:rFonts w:ascii="Arial" w:cs="Arial" w:eastAsia="Arial" w:hAnsi="Arial"/>
                <w:sz w:val="11"/>
                <w:szCs w:val="11"/>
                <w:color w:val="auto"/>
              </w:rPr>
              <w:t>2021</w:t>
            </w:r>
          </w:p>
        </w:tc>
        <w:tc>
          <w:tcPr>
            <w:tcW w:w="50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46.3</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1440" w:type="dxa"/>
            <w:vAlign w:val="bottom"/>
            <w:shd w:val="clear" w:color="auto" w:fill="CCEEFF"/>
          </w:tcPr>
          <w:p>
            <w:pPr>
              <w:spacing w:after="0"/>
              <w:rPr>
                <w:sz w:val="20"/>
                <w:szCs w:val="20"/>
                <w:color w:val="auto"/>
              </w:rPr>
            </w:pPr>
            <w:r>
              <w:rPr>
                <w:rFonts w:ascii="Arial" w:cs="Arial" w:eastAsia="Arial" w:hAnsi="Arial"/>
                <w:sz w:val="11"/>
                <w:szCs w:val="11"/>
                <w:color w:val="auto"/>
              </w:rPr>
              <w:t>2022</w:t>
            </w:r>
          </w:p>
        </w:tc>
        <w:tc>
          <w:tcPr>
            <w:tcW w:w="50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52.8</w:t>
            </w: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1440" w:type="dxa"/>
            <w:vAlign w:val="bottom"/>
          </w:tcPr>
          <w:p>
            <w:pPr>
              <w:spacing w:after="0"/>
              <w:rPr>
                <w:sz w:val="20"/>
                <w:szCs w:val="20"/>
                <w:color w:val="auto"/>
              </w:rPr>
            </w:pPr>
            <w:r>
              <w:rPr>
                <w:rFonts w:ascii="Arial" w:cs="Arial" w:eastAsia="Arial" w:hAnsi="Arial"/>
                <w:sz w:val="11"/>
                <w:szCs w:val="11"/>
                <w:color w:val="auto"/>
              </w:rPr>
              <w:t>2023</w:t>
            </w:r>
          </w:p>
        </w:tc>
        <w:tc>
          <w:tcPr>
            <w:tcW w:w="50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55.1</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1440" w:type="dxa"/>
            <w:vAlign w:val="bottom"/>
            <w:shd w:val="clear" w:color="auto" w:fill="CCEEFF"/>
          </w:tcPr>
          <w:p>
            <w:pPr>
              <w:spacing w:after="0"/>
              <w:rPr>
                <w:sz w:val="20"/>
                <w:szCs w:val="20"/>
                <w:color w:val="auto"/>
              </w:rPr>
            </w:pPr>
            <w:r>
              <w:rPr>
                <w:rFonts w:ascii="Arial" w:cs="Arial" w:eastAsia="Arial" w:hAnsi="Arial"/>
                <w:sz w:val="11"/>
                <w:szCs w:val="11"/>
                <w:color w:val="auto"/>
              </w:rPr>
              <w:t>2024</w:t>
            </w:r>
          </w:p>
        </w:tc>
        <w:tc>
          <w:tcPr>
            <w:tcW w:w="50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52.3</w:t>
            </w: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1440" w:type="dxa"/>
            <w:vAlign w:val="bottom"/>
          </w:tcPr>
          <w:p>
            <w:pPr>
              <w:spacing w:after="0"/>
              <w:rPr>
                <w:sz w:val="20"/>
                <w:szCs w:val="20"/>
                <w:color w:val="auto"/>
              </w:rPr>
            </w:pPr>
            <w:r>
              <w:rPr>
                <w:rFonts w:ascii="Arial" w:cs="Arial" w:eastAsia="Arial" w:hAnsi="Arial"/>
                <w:sz w:val="11"/>
                <w:szCs w:val="11"/>
                <w:color w:val="auto"/>
              </w:rPr>
              <w:t>Thereafter</w:t>
            </w:r>
          </w:p>
        </w:tc>
        <w:tc>
          <w:tcPr>
            <w:tcW w:w="504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545.4</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1440" w:type="dxa"/>
            <w:vAlign w:val="bottom"/>
            <w:shd w:val="clear" w:color="auto" w:fill="CCEEFF"/>
          </w:tcPr>
          <w:p>
            <w:pPr>
              <w:ind w:left="220"/>
              <w:spacing w:after="0" w:line="124" w:lineRule="exact"/>
              <w:rPr>
                <w:sz w:val="20"/>
                <w:szCs w:val="20"/>
                <w:color w:val="auto"/>
              </w:rPr>
            </w:pPr>
            <w:r>
              <w:rPr>
                <w:rFonts w:ascii="Arial" w:cs="Arial" w:eastAsia="Arial" w:hAnsi="Arial"/>
                <w:sz w:val="11"/>
                <w:szCs w:val="11"/>
                <w:color w:val="auto"/>
              </w:rPr>
              <w:t>Total</w:t>
            </w:r>
          </w:p>
        </w:tc>
        <w:tc>
          <w:tcPr>
            <w:tcW w:w="5120" w:type="dxa"/>
            <w:vAlign w:val="bottom"/>
            <w:gridSpan w:val="2"/>
            <w:shd w:val="clear" w:color="auto" w:fill="CCEEFF"/>
          </w:tcPr>
          <w:p>
            <w:pPr>
              <w:ind w:left="5020"/>
              <w:spacing w:after="0" w:line="124" w:lineRule="exact"/>
              <w:rPr>
                <w:sz w:val="20"/>
                <w:szCs w:val="20"/>
                <w:color w:val="auto"/>
              </w:rPr>
            </w:pPr>
            <w:r>
              <w:rPr>
                <w:rFonts w:ascii="Arial" w:cs="Arial" w:eastAsia="Arial" w:hAnsi="Arial"/>
                <w:sz w:val="11"/>
                <w:szCs w:val="11"/>
                <w:color w:val="auto"/>
              </w:rPr>
              <w:t>$</w:t>
            </w:r>
          </w:p>
        </w:tc>
        <w:tc>
          <w:tcPr>
            <w:tcW w:w="760" w:type="dxa"/>
            <w:vAlign w:val="bottom"/>
            <w:shd w:val="clear" w:color="auto" w:fill="CCEEFF"/>
          </w:tcPr>
          <w:p>
            <w:pPr>
              <w:jc w:val="right"/>
              <w:spacing w:after="0" w:line="124" w:lineRule="exact"/>
              <w:rPr>
                <w:sz w:val="20"/>
                <w:szCs w:val="20"/>
                <w:color w:val="auto"/>
              </w:rPr>
            </w:pPr>
            <w:r>
              <w:rPr>
                <w:rFonts w:ascii="Arial" w:cs="Arial" w:eastAsia="Arial" w:hAnsi="Arial"/>
                <w:sz w:val="11"/>
                <w:szCs w:val="11"/>
                <w:color w:val="auto"/>
              </w:rPr>
              <w:t>784.9</w:t>
            </w: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7"/>
        </w:trPr>
        <w:tc>
          <w:tcPr>
            <w:tcW w:w="1440" w:type="dxa"/>
            <w:vAlign w:val="bottom"/>
          </w:tcPr>
          <w:p>
            <w:pPr>
              <w:spacing w:after="0"/>
              <w:rPr>
                <w:sz w:val="2"/>
                <w:szCs w:val="2"/>
                <w:color w:val="auto"/>
              </w:rPr>
            </w:pPr>
          </w:p>
        </w:tc>
        <w:tc>
          <w:tcPr>
            <w:tcW w:w="50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jc w:val="both"/>
        <w:ind w:left="2060" w:right="839"/>
        <w:spacing w:after="0" w:line="242" w:lineRule="auto"/>
        <w:rPr>
          <w:sz w:val="20"/>
          <w:szCs w:val="20"/>
          <w:color w:val="auto"/>
        </w:rPr>
      </w:pPr>
      <w:r>
        <w:rPr>
          <w:rFonts w:ascii="Arial" w:cs="Arial" w:eastAsia="Arial" w:hAnsi="Arial"/>
          <w:sz w:val="11"/>
          <w:szCs w:val="11"/>
          <w:color w:val="auto"/>
        </w:rPr>
        <w:t>In November 2015, the Company entered into a 10-year operating lease agreement for its current headquarters office space at 125 West 25th Street, New York, New York (the “25th Street Lease”). The 25th Street Lease commenced in November 2016, upon the date the Company took possession of the leased space, although cash payments for rental obligations under the lease did not begin until May 2017.</w:t>
      </w:r>
    </w:p>
    <w:p>
      <w:pPr>
        <w:spacing w:after="0" w:line="140" w:lineRule="exact"/>
        <w:rPr>
          <w:sz w:val="20"/>
          <w:szCs w:val="20"/>
          <w:color w:val="auto"/>
        </w:rPr>
      </w:pPr>
    </w:p>
    <w:p>
      <w:pPr>
        <w:jc w:val="both"/>
        <w:ind w:left="2060" w:right="839"/>
        <w:spacing w:after="0"/>
        <w:rPr>
          <w:sz w:val="20"/>
          <w:szCs w:val="20"/>
          <w:color w:val="auto"/>
        </w:rPr>
      </w:pPr>
      <w:r>
        <w:rPr>
          <w:rFonts w:ascii="Arial" w:cs="Arial" w:eastAsia="Arial" w:hAnsi="Arial"/>
          <w:sz w:val="11"/>
          <w:szCs w:val="11"/>
          <w:color w:val="auto"/>
        </w:rPr>
        <w:t>In December 2017, the Company entered into a 21-year operating lease agreement for a New York office and retail space at 5 Manhattan West (the “5 Manhattan West Lease”). The 5 Manhattan West Lease commenced in October 2018, upon the date the Company took possession of the leased space and the Company is committed to $99.5 million in minimum fixed payments over the term of the lease although cash payments for rental obligations under the lease do not begin until October 2019. The 5 Manhattan West Lease contains a renewal option for two additional five-year periods. The 5 Manhattan West Lease includes a tenant improvement allowance in the future amounting to $3.0 million. This allowance will be reflected as a reduction in rent expense over the life of the lease on a straight-line basis in the consolidated statements of operations and as a leasehold improvement and other liability in the consolidated balance sheets.</w:t>
      </w:r>
    </w:p>
    <w:p>
      <w:pPr>
        <w:spacing w:after="0" w:line="141" w:lineRule="exact"/>
        <w:rPr>
          <w:sz w:val="20"/>
          <w:szCs w:val="20"/>
          <w:color w:val="auto"/>
        </w:rPr>
      </w:pPr>
    </w:p>
    <w:p>
      <w:pPr>
        <w:jc w:val="both"/>
        <w:ind w:left="2060" w:right="839"/>
        <w:spacing w:after="0"/>
        <w:rPr>
          <w:sz w:val="20"/>
          <w:szCs w:val="20"/>
          <w:color w:val="auto"/>
        </w:rPr>
      </w:pPr>
      <w:r>
        <w:rPr>
          <w:rFonts w:ascii="Arial" w:cs="Arial" w:eastAsia="Arial" w:hAnsi="Arial"/>
          <w:sz w:val="11"/>
          <w:szCs w:val="11"/>
          <w:color w:val="auto"/>
        </w:rPr>
        <w:t>In November 2018, the Company entered into a 16-year operating lease agreement for space to be used as its new corporate headquarters. The lease is expected to commence in August 2019, upon the date the Company takes possession of the leased space and commits the Company to $503.0 million in minimum fixed payments over the term of the lease. The lease contains a renewal option for an additional 10-year period and includes a tenant improvement allowance amounting to $28.0 million. As a result of the Company’s involvement during the construction period, whereby it has certain indemnification obligations related to the construction, the Company is considered, for accounting purposes only, the owner of the construction project under build-to-suit lease accounting.</w:t>
      </w:r>
    </w:p>
    <w:p>
      <w:pPr>
        <w:spacing w:after="0" w:line="202" w:lineRule="exact"/>
        <w:rPr>
          <w:sz w:val="20"/>
          <w:szCs w:val="20"/>
          <w:color w:val="auto"/>
        </w:rPr>
      </w:pPr>
    </w:p>
    <w:p>
      <w:pPr>
        <w:ind w:left="2060"/>
        <w:spacing w:after="0"/>
        <w:rPr>
          <w:sz w:val="20"/>
          <w:szCs w:val="20"/>
          <w:color w:val="auto"/>
        </w:rPr>
      </w:pPr>
      <w:r>
        <w:rPr>
          <w:rFonts w:ascii="Arial" w:cs="Arial" w:eastAsia="Arial" w:hAnsi="Arial"/>
          <w:sz w:val="11"/>
          <w:szCs w:val="11"/>
          <w:b w:val="1"/>
          <w:bCs w:val="1"/>
          <w:i w:val="1"/>
          <w:iCs w:val="1"/>
          <w:color w:val="auto"/>
        </w:rPr>
        <w:t>Commitments</w:t>
      </w:r>
    </w:p>
    <w:p>
      <w:pPr>
        <w:spacing w:after="0" w:line="84" w:lineRule="exact"/>
        <w:rPr>
          <w:sz w:val="20"/>
          <w:szCs w:val="20"/>
          <w:color w:val="auto"/>
        </w:rPr>
      </w:pPr>
    </w:p>
    <w:p>
      <w:pPr>
        <w:ind w:left="2060"/>
        <w:spacing w:after="0"/>
        <w:rPr>
          <w:sz w:val="20"/>
          <w:szCs w:val="20"/>
          <w:color w:val="auto"/>
        </w:rPr>
      </w:pPr>
      <w:r>
        <w:rPr>
          <w:rFonts w:ascii="Arial" w:cs="Arial" w:eastAsia="Arial" w:hAnsi="Arial"/>
          <w:sz w:val="11"/>
          <w:szCs w:val="11"/>
          <w:color w:val="auto"/>
        </w:rPr>
        <w:t>The Company is subject to minimum guarantee royalty payments associated under certain music license agreements.</w:t>
      </w:r>
    </w:p>
    <w:p>
      <w:pPr>
        <w:spacing w:after="0" w:line="144" w:lineRule="exact"/>
        <w:rPr>
          <w:sz w:val="20"/>
          <w:szCs w:val="20"/>
          <w:color w:val="auto"/>
        </w:rPr>
      </w:pPr>
    </w:p>
    <w:p>
      <w:pPr>
        <w:ind w:left="2060"/>
        <w:spacing w:after="0"/>
        <w:rPr>
          <w:sz w:val="20"/>
          <w:szCs w:val="20"/>
          <w:color w:val="auto"/>
        </w:rPr>
      </w:pPr>
      <w:r>
        <w:rPr>
          <w:rFonts w:ascii="Arial" w:cs="Arial" w:eastAsia="Arial" w:hAnsi="Arial"/>
          <w:sz w:val="11"/>
          <w:szCs w:val="11"/>
          <w:color w:val="auto"/>
        </w:rPr>
        <w:t>The following represents the Company’s minimum annual guarantee payments under license agreements for each of the next five years and thereafter:</w:t>
      </w:r>
    </w:p>
    <w:p>
      <w:pPr>
        <w:spacing w:after="0" w:line="149" w:lineRule="exact"/>
        <w:rPr>
          <w:sz w:val="20"/>
          <w:szCs w:val="20"/>
          <w:color w:val="auto"/>
        </w:rPr>
      </w:pPr>
    </w:p>
    <w:tbl>
      <w:tblPr>
        <w:tblLayout w:type="fixed"/>
        <w:tblInd w:w="2060" w:type="dxa"/>
        <w:tblCellMar>
          <w:top w:w="0" w:type="dxa"/>
          <w:left w:w="0" w:type="dxa"/>
          <w:bottom w:w="0" w:type="dxa"/>
          <w:right w:w="0" w:type="dxa"/>
        </w:tblCellMar>
      </w:tblPr>
      <w:tr>
        <w:trPr>
          <w:trHeight w:val="126"/>
        </w:trPr>
        <w:tc>
          <w:tcPr>
            <w:tcW w:w="1440" w:type="dxa"/>
            <w:vAlign w:val="bottom"/>
            <w:vMerge w:val="restart"/>
          </w:tcPr>
          <w:p>
            <w:pPr>
              <w:spacing w:after="0"/>
              <w:rPr>
                <w:sz w:val="20"/>
                <w:szCs w:val="20"/>
                <w:color w:val="auto"/>
              </w:rPr>
            </w:pPr>
            <w:r>
              <w:rPr>
                <w:rFonts w:ascii="Arial" w:cs="Arial" w:eastAsia="Arial" w:hAnsi="Arial"/>
                <w:sz w:val="11"/>
                <w:szCs w:val="11"/>
                <w:b w:val="1"/>
                <w:bCs w:val="1"/>
                <w:color w:val="auto"/>
                <w:w w:val="97"/>
              </w:rPr>
              <w:t>Fiscal Year Ending June 30,</w:t>
            </w:r>
          </w:p>
        </w:tc>
        <w:tc>
          <w:tcPr>
            <w:tcW w:w="5920" w:type="dxa"/>
            <w:vAlign w:val="bottom"/>
            <w:gridSpan w:val="4"/>
          </w:tcPr>
          <w:p>
            <w:pPr>
              <w:jc w:val="right"/>
              <w:ind w:right="60"/>
              <w:spacing w:after="0"/>
              <w:rPr>
                <w:sz w:val="20"/>
                <w:szCs w:val="20"/>
                <w:color w:val="auto"/>
              </w:rPr>
            </w:pPr>
            <w:r>
              <w:rPr>
                <w:rFonts w:ascii="Arial" w:cs="Arial" w:eastAsia="Arial" w:hAnsi="Arial"/>
                <w:sz w:val="11"/>
                <w:szCs w:val="11"/>
                <w:b w:val="1"/>
                <w:bCs w:val="1"/>
                <w:color w:val="auto"/>
              </w:rPr>
              <w:t>Future Minimum</w:t>
            </w:r>
          </w:p>
        </w:tc>
        <w:tc>
          <w:tcPr>
            <w:tcW w:w="0" w:type="dxa"/>
            <w:vAlign w:val="bottom"/>
          </w:tcPr>
          <w:p>
            <w:pPr>
              <w:spacing w:after="0"/>
              <w:rPr>
                <w:sz w:val="1"/>
                <w:szCs w:val="1"/>
                <w:color w:val="auto"/>
              </w:rPr>
            </w:pPr>
          </w:p>
        </w:tc>
      </w:tr>
      <w:tr>
        <w:trPr>
          <w:trHeight w:val="128"/>
        </w:trPr>
        <w:tc>
          <w:tcPr>
            <w:tcW w:w="1440" w:type="dxa"/>
            <w:vAlign w:val="bottom"/>
            <w:vMerge w:val="continue"/>
          </w:tcPr>
          <w:p>
            <w:pPr>
              <w:spacing w:after="0"/>
              <w:rPr>
                <w:sz w:val="11"/>
                <w:szCs w:val="11"/>
                <w:color w:val="auto"/>
              </w:rPr>
            </w:pPr>
          </w:p>
        </w:tc>
        <w:tc>
          <w:tcPr>
            <w:tcW w:w="50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gridSpan w:val="2"/>
          </w:tcPr>
          <w:p>
            <w:pPr>
              <w:ind w:left="80"/>
              <w:spacing w:after="0"/>
              <w:rPr>
                <w:sz w:val="20"/>
                <w:szCs w:val="20"/>
                <w:color w:val="auto"/>
              </w:rPr>
            </w:pPr>
            <w:r>
              <w:rPr>
                <w:rFonts w:ascii="Arial" w:cs="Arial" w:eastAsia="Arial" w:hAnsi="Arial"/>
                <w:sz w:val="11"/>
                <w:szCs w:val="11"/>
                <w:b w:val="1"/>
                <w:bCs w:val="1"/>
                <w:color w:val="auto"/>
              </w:rPr>
              <w:t>Payments</w:t>
            </w:r>
          </w:p>
        </w:tc>
        <w:tc>
          <w:tcPr>
            <w:tcW w:w="0" w:type="dxa"/>
            <w:vAlign w:val="bottom"/>
          </w:tcPr>
          <w:p>
            <w:pPr>
              <w:spacing w:after="0"/>
              <w:rPr>
                <w:sz w:val="1"/>
                <w:szCs w:val="1"/>
                <w:color w:val="auto"/>
              </w:rPr>
            </w:pPr>
          </w:p>
        </w:tc>
      </w:tr>
      <w:tr>
        <w:trPr>
          <w:trHeight w:val="124"/>
        </w:trPr>
        <w:tc>
          <w:tcPr>
            <w:tcW w:w="1440" w:type="dxa"/>
            <w:vAlign w:val="bottom"/>
            <w:tcBorders>
              <w:top w:val="single" w:sz="8" w:color="auto"/>
            </w:tcBorders>
          </w:tcPr>
          <w:p>
            <w:pPr>
              <w:spacing w:after="0"/>
              <w:rPr>
                <w:sz w:val="10"/>
                <w:szCs w:val="10"/>
                <w:color w:val="auto"/>
              </w:rPr>
            </w:pPr>
          </w:p>
        </w:tc>
        <w:tc>
          <w:tcPr>
            <w:tcW w:w="504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tcPr>
          <w:p>
            <w:pPr>
              <w:jc w:val="right"/>
              <w:ind w:right="66"/>
              <w:spacing w:after="0" w:line="124" w:lineRule="exact"/>
              <w:rPr>
                <w:sz w:val="20"/>
                <w:szCs w:val="20"/>
                <w:color w:val="auto"/>
              </w:rPr>
            </w:pPr>
            <w:r>
              <w:rPr>
                <w:rFonts w:ascii="Arial" w:cs="Arial" w:eastAsia="Arial" w:hAnsi="Arial"/>
                <w:sz w:val="11"/>
                <w:szCs w:val="11"/>
                <w:b w:val="1"/>
                <w:bCs w:val="1"/>
                <w:color w:val="auto"/>
              </w:rPr>
              <w:t>(in millions)</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1440" w:type="dxa"/>
            <w:vAlign w:val="bottom"/>
            <w:shd w:val="clear" w:color="auto" w:fill="CCEEFF"/>
          </w:tcPr>
          <w:p>
            <w:pPr>
              <w:spacing w:after="0"/>
              <w:rPr>
                <w:sz w:val="20"/>
                <w:szCs w:val="20"/>
                <w:color w:val="auto"/>
              </w:rPr>
            </w:pPr>
            <w:r>
              <w:rPr>
                <w:rFonts w:ascii="Arial" w:cs="Arial" w:eastAsia="Arial" w:hAnsi="Arial"/>
                <w:sz w:val="11"/>
                <w:szCs w:val="11"/>
                <w:color w:val="auto"/>
              </w:rPr>
              <w:t>2020</w:t>
            </w:r>
          </w:p>
        </w:tc>
        <w:tc>
          <w:tcPr>
            <w:tcW w:w="512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13.3</w:t>
            </w: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1440" w:type="dxa"/>
            <w:vAlign w:val="bottom"/>
          </w:tcPr>
          <w:p>
            <w:pPr>
              <w:spacing w:after="0"/>
              <w:rPr>
                <w:sz w:val="20"/>
                <w:szCs w:val="20"/>
                <w:color w:val="auto"/>
              </w:rPr>
            </w:pPr>
            <w:r>
              <w:rPr>
                <w:rFonts w:ascii="Arial" w:cs="Arial" w:eastAsia="Arial" w:hAnsi="Arial"/>
                <w:sz w:val="11"/>
                <w:szCs w:val="11"/>
                <w:color w:val="auto"/>
              </w:rPr>
              <w:t>2021</w:t>
            </w:r>
          </w:p>
        </w:tc>
        <w:tc>
          <w:tcPr>
            <w:tcW w:w="50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18.4</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1440" w:type="dxa"/>
            <w:vAlign w:val="bottom"/>
            <w:shd w:val="clear" w:color="auto" w:fill="CCEEFF"/>
          </w:tcPr>
          <w:p>
            <w:pPr>
              <w:spacing w:after="0"/>
              <w:rPr>
                <w:sz w:val="20"/>
                <w:szCs w:val="20"/>
                <w:color w:val="auto"/>
              </w:rPr>
            </w:pPr>
            <w:r>
              <w:rPr>
                <w:rFonts w:ascii="Arial" w:cs="Arial" w:eastAsia="Arial" w:hAnsi="Arial"/>
                <w:sz w:val="11"/>
                <w:szCs w:val="11"/>
                <w:color w:val="auto"/>
              </w:rPr>
              <w:t>2022</w:t>
            </w:r>
          </w:p>
        </w:tc>
        <w:tc>
          <w:tcPr>
            <w:tcW w:w="5040" w:type="dxa"/>
            <w:vAlign w:val="bottom"/>
            <w:shd w:val="clear" w:color="auto" w:fill="CCEEFF"/>
          </w:tcPr>
          <w:p>
            <w:pPr>
              <w:spacing w:after="0"/>
              <w:rPr>
                <w:sz w:val="10"/>
                <w:szCs w:val="10"/>
                <w:color w:val="auto"/>
              </w:rPr>
            </w:pPr>
          </w:p>
        </w:tc>
        <w:tc>
          <w:tcPr>
            <w:tcW w:w="80" w:type="dxa"/>
            <w:vAlign w:val="bottom"/>
            <w:tcBorders>
              <w:bottom w:val="single" w:sz="8" w:color="auto"/>
            </w:tcBorders>
            <w:shd w:val="clear" w:color="auto" w:fill="CCEEFF"/>
          </w:tcPr>
          <w:p>
            <w:pPr>
              <w:spacing w:after="0"/>
              <w:rPr>
                <w:sz w:val="10"/>
                <w:szCs w:val="10"/>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10.3</w:t>
            </w: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1440" w:type="dxa"/>
            <w:vAlign w:val="bottom"/>
          </w:tcPr>
          <w:p>
            <w:pPr>
              <w:ind w:left="220"/>
              <w:spacing w:after="0" w:line="124" w:lineRule="exact"/>
              <w:rPr>
                <w:sz w:val="20"/>
                <w:szCs w:val="20"/>
                <w:color w:val="auto"/>
              </w:rPr>
            </w:pPr>
            <w:r>
              <w:rPr>
                <w:rFonts w:ascii="Arial" w:cs="Arial" w:eastAsia="Arial" w:hAnsi="Arial"/>
                <w:sz w:val="11"/>
                <w:szCs w:val="11"/>
                <w:color w:val="auto"/>
              </w:rPr>
              <w:t>Total</w:t>
            </w:r>
          </w:p>
        </w:tc>
        <w:tc>
          <w:tcPr>
            <w:tcW w:w="5120" w:type="dxa"/>
            <w:vAlign w:val="bottom"/>
            <w:gridSpan w:val="2"/>
          </w:tcPr>
          <w:p>
            <w:pPr>
              <w:jc w:val="right"/>
              <w:ind w:right="40"/>
              <w:spacing w:after="0" w:line="124" w:lineRule="exact"/>
              <w:rPr>
                <w:sz w:val="20"/>
                <w:szCs w:val="20"/>
                <w:color w:val="auto"/>
              </w:rPr>
            </w:pPr>
            <w:r>
              <w:rPr>
                <w:rFonts w:ascii="Arial" w:cs="Arial" w:eastAsia="Arial" w:hAnsi="Arial"/>
                <w:sz w:val="11"/>
                <w:szCs w:val="11"/>
                <w:color w:val="auto"/>
              </w:rPr>
              <w:t>$</w:t>
            </w:r>
          </w:p>
        </w:tc>
        <w:tc>
          <w:tcPr>
            <w:tcW w:w="760" w:type="dxa"/>
            <w:vAlign w:val="bottom"/>
          </w:tcPr>
          <w:p>
            <w:pPr>
              <w:jc w:val="right"/>
              <w:spacing w:after="0" w:line="124" w:lineRule="exact"/>
              <w:rPr>
                <w:sz w:val="20"/>
                <w:szCs w:val="20"/>
                <w:color w:val="auto"/>
              </w:rPr>
            </w:pPr>
            <w:r>
              <w:rPr>
                <w:rFonts w:ascii="Arial" w:cs="Arial" w:eastAsia="Arial" w:hAnsi="Arial"/>
                <w:sz w:val="11"/>
                <w:szCs w:val="11"/>
                <w:color w:val="auto"/>
              </w:rPr>
              <w:t>42.0</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39"/>
        </w:trPr>
        <w:tc>
          <w:tcPr>
            <w:tcW w:w="1440" w:type="dxa"/>
            <w:vAlign w:val="bottom"/>
          </w:tcPr>
          <w:p>
            <w:pPr>
              <w:spacing w:after="0"/>
              <w:rPr>
                <w:sz w:val="20"/>
                <w:szCs w:val="20"/>
                <w:color w:val="auto"/>
              </w:rPr>
            </w:pPr>
          </w:p>
        </w:tc>
        <w:tc>
          <w:tcPr>
            <w:tcW w:w="5040" w:type="dxa"/>
            <w:vAlign w:val="bottom"/>
          </w:tcPr>
          <w:p>
            <w:pPr>
              <w:ind w:left="2120"/>
              <w:spacing w:after="0"/>
              <w:rPr>
                <w:sz w:val="20"/>
                <w:szCs w:val="20"/>
                <w:color w:val="auto"/>
              </w:rPr>
            </w:pPr>
            <w:r>
              <w:rPr>
                <w:rFonts w:ascii="Arial" w:cs="Arial" w:eastAsia="Arial" w:hAnsi="Arial"/>
                <w:sz w:val="11"/>
                <w:szCs w:val="11"/>
                <w:color w:val="auto"/>
              </w:rPr>
              <w:t>F-23</w:t>
            </w:r>
          </w:p>
        </w:tc>
        <w:tc>
          <w:tcPr>
            <w:tcW w:w="8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ectPr>
          <w:pgSz w:w="11900" w:h="16838" w:orient="portrait"/>
          <w:cols w:equalWidth="0" w:num="1">
            <w:col w:w="10239"/>
          </w:cols>
          <w:pgMar w:left="220" w:top="354" w:right="1440" w:bottom="1440" w:gutter="0" w:footer="0" w:header="0"/>
        </w:sectPr>
      </w:pPr>
    </w:p>
    <w:bookmarkStart w:id="187" w:name="page188"/>
    <w:bookmarkEnd w:id="187"/>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hyperlink w:anchor="page5">
        <w:r>
          <w:rPr>
            <w:rFonts w:ascii="Arial" w:cs="Arial" w:eastAsia="Arial" w:hAnsi="Arial"/>
            <w:sz w:val="12"/>
            <w:szCs w:val="12"/>
            <w:b w:val="1"/>
            <w:bCs w:val="1"/>
            <w:u w:val="single" w:color="auto"/>
            <w:color w:val="0000EE"/>
          </w:rPr>
          <w:t>Table of Contents</w:t>
        </w:r>
      </w:hyperlink>
    </w:p>
    <w:p>
      <w:pPr>
        <w:spacing w:after="0" w:line="200" w:lineRule="exact"/>
        <w:rPr>
          <w:sz w:val="20"/>
          <w:szCs w:val="20"/>
          <w:color w:val="auto"/>
        </w:rPr>
      </w:pPr>
    </w:p>
    <w:p>
      <w:pPr>
        <w:jc w:val="center"/>
        <w:ind w:right="-1220"/>
        <w:spacing w:after="0"/>
        <w:rPr>
          <w:sz w:val="20"/>
          <w:szCs w:val="20"/>
          <w:color w:val="auto"/>
        </w:rPr>
      </w:pPr>
      <w:r>
        <w:rPr>
          <w:rFonts w:ascii="Arial" w:cs="Arial" w:eastAsia="Arial" w:hAnsi="Arial"/>
          <w:sz w:val="12"/>
          <w:szCs w:val="12"/>
          <w:b w:val="1"/>
          <w:bCs w:val="1"/>
          <w:color w:val="auto"/>
        </w:rPr>
        <w:t>PELOTON INTERACTIVE, INC.</w:t>
      </w:r>
    </w:p>
    <w:p>
      <w:pPr>
        <w:spacing w:after="0" w:line="11" w:lineRule="exact"/>
        <w:rPr>
          <w:sz w:val="20"/>
          <w:szCs w:val="20"/>
          <w:color w:val="auto"/>
        </w:rPr>
      </w:pPr>
    </w:p>
    <w:p>
      <w:pPr>
        <w:jc w:val="center"/>
        <w:ind w:right="-1220"/>
        <w:spacing w:after="0"/>
        <w:rPr>
          <w:sz w:val="20"/>
          <w:szCs w:val="20"/>
          <w:color w:val="auto"/>
        </w:rPr>
      </w:pPr>
      <w:r>
        <w:rPr>
          <w:rFonts w:ascii="Arial" w:cs="Arial" w:eastAsia="Arial" w:hAnsi="Arial"/>
          <w:sz w:val="12"/>
          <w:szCs w:val="12"/>
          <w:b w:val="1"/>
          <w:bCs w:val="1"/>
          <w:color w:val="auto"/>
        </w:rPr>
        <w:t>NOTES TO CONSOLIDATED FINANCIAL STATEMENTS</w:t>
      </w:r>
    </w:p>
    <w:p>
      <w:pPr>
        <w:spacing w:after="0" w:line="68" w:lineRule="exact"/>
        <w:rPr>
          <w:sz w:val="20"/>
          <w:szCs w:val="20"/>
          <w:color w:val="auto"/>
        </w:rPr>
      </w:pPr>
    </w:p>
    <w:p>
      <w:pPr>
        <w:ind w:left="2060"/>
        <w:spacing w:after="0"/>
        <w:rPr>
          <w:sz w:val="20"/>
          <w:szCs w:val="20"/>
          <w:color w:val="auto"/>
        </w:rPr>
      </w:pPr>
      <w:r>
        <w:rPr>
          <w:rFonts w:ascii="Arial" w:cs="Arial" w:eastAsia="Arial" w:hAnsi="Arial"/>
          <w:sz w:val="11"/>
          <w:szCs w:val="11"/>
          <w:b w:val="1"/>
          <w:bCs w:val="1"/>
          <w:i w:val="1"/>
          <w:iCs w:val="1"/>
          <w:color w:val="auto"/>
        </w:rPr>
        <w:t>Sales and Use Taxes</w:t>
      </w:r>
    </w:p>
    <w:p>
      <w:pPr>
        <w:spacing w:after="0" w:line="84" w:lineRule="exact"/>
        <w:rPr>
          <w:sz w:val="20"/>
          <w:szCs w:val="20"/>
          <w:color w:val="auto"/>
        </w:rPr>
      </w:pPr>
    </w:p>
    <w:p>
      <w:pPr>
        <w:jc w:val="both"/>
        <w:ind w:left="2060" w:right="839"/>
        <w:spacing w:after="0" w:line="241" w:lineRule="auto"/>
        <w:rPr>
          <w:sz w:val="20"/>
          <w:szCs w:val="20"/>
          <w:color w:val="auto"/>
        </w:rPr>
      </w:pPr>
      <w:r>
        <w:rPr>
          <w:rFonts w:ascii="Arial" w:cs="Arial" w:eastAsia="Arial" w:hAnsi="Arial"/>
          <w:sz w:val="11"/>
          <w:szCs w:val="11"/>
          <w:color w:val="auto"/>
        </w:rPr>
        <w:t>The Company has recorded an estimate of $5.7 million and $4.1 million as of June 30, 2018 and 2019, respectively, for the potential sales tax liability associated with its subscription fees, which is included in accrued expenses in the accompanying consolidated balance sheets. The Company continues to analyze possible sales tax exposure but does not currently believe that any individual claim or aggregate claims that might arise will ultimately have a material effect on its results of operations, financial position or cash flows.</w:t>
      </w:r>
    </w:p>
    <w:p>
      <w:pPr>
        <w:spacing w:after="0" w:line="201" w:lineRule="exact"/>
        <w:rPr>
          <w:sz w:val="20"/>
          <w:szCs w:val="20"/>
          <w:color w:val="auto"/>
        </w:rPr>
      </w:pPr>
    </w:p>
    <w:p>
      <w:pPr>
        <w:ind w:left="2060"/>
        <w:spacing w:after="0"/>
        <w:rPr>
          <w:sz w:val="20"/>
          <w:szCs w:val="20"/>
          <w:color w:val="auto"/>
        </w:rPr>
      </w:pPr>
      <w:r>
        <w:rPr>
          <w:rFonts w:ascii="Arial" w:cs="Arial" w:eastAsia="Arial" w:hAnsi="Arial"/>
          <w:sz w:val="11"/>
          <w:szCs w:val="11"/>
          <w:b w:val="1"/>
          <w:bCs w:val="1"/>
          <w:i w:val="1"/>
          <w:iCs w:val="1"/>
          <w:color w:val="auto"/>
        </w:rPr>
        <w:t>Content Costs for Past Use Reserve</w:t>
      </w:r>
    </w:p>
    <w:p>
      <w:pPr>
        <w:spacing w:after="0" w:line="84" w:lineRule="exact"/>
        <w:rPr>
          <w:sz w:val="20"/>
          <w:szCs w:val="20"/>
          <w:color w:val="auto"/>
        </w:rPr>
      </w:pPr>
    </w:p>
    <w:p>
      <w:pPr>
        <w:jc w:val="both"/>
        <w:ind w:left="2060" w:right="839"/>
        <w:spacing w:after="0" w:line="241" w:lineRule="auto"/>
        <w:rPr>
          <w:sz w:val="20"/>
          <w:szCs w:val="20"/>
          <w:color w:val="auto"/>
        </w:rPr>
      </w:pPr>
      <w:r>
        <w:rPr>
          <w:rFonts w:ascii="Arial" w:cs="Arial" w:eastAsia="Arial" w:hAnsi="Arial"/>
          <w:sz w:val="11"/>
          <w:szCs w:val="11"/>
          <w:color w:val="auto"/>
        </w:rPr>
        <w:t>To secure the rights to stream music on the Peloton platform, the Company must obtain licenses from, and pay royalties to, copyright owners of both sound recordings and musical compositions. During the fiscal years ended June 30, 2017, 2018, and 2019, the Company has entered into negotiations with various music rights holders, to pay for any and all uses of musical compositions and sound recordings to-date and, at the same time, enter into go-forward license agreements for the use of music in the future.</w:t>
      </w:r>
    </w:p>
    <w:p>
      <w:pPr>
        <w:spacing w:after="0" w:line="140" w:lineRule="exact"/>
        <w:rPr>
          <w:sz w:val="20"/>
          <w:szCs w:val="20"/>
          <w:color w:val="auto"/>
        </w:rPr>
      </w:pPr>
    </w:p>
    <w:p>
      <w:pPr>
        <w:jc w:val="both"/>
        <w:ind w:left="2060" w:right="839"/>
        <w:spacing w:after="0"/>
        <w:rPr>
          <w:sz w:val="20"/>
          <w:szCs w:val="20"/>
          <w:color w:val="auto"/>
        </w:rPr>
      </w:pPr>
      <w:r>
        <w:rPr>
          <w:rFonts w:ascii="Arial" w:cs="Arial" w:eastAsia="Arial" w:hAnsi="Arial"/>
          <w:sz w:val="11"/>
          <w:szCs w:val="11"/>
          <w:color w:val="auto"/>
        </w:rPr>
        <w:t>Prior to the execution of go-forward music license agreements, the Company estimates and records expenses inclusive of estimated content costs for past use (refer to Note 2—Summary of Significant Accounting Policies—Music Royalty Fees) as well as normal and recurring music royalty expenses. The Company recorded content costs for past use of $15.5 million, $14.5 million, and $16.4 million during the fiscal years ended June 30, 2017, 2018, and 2019, respectively. In addition, the Company recorded estimates for normal and recurring royalty expense of $0.4 million, $1.0 million, and $2.8 million during the fiscal years ended June 30, 2017, 2018, and 2019, respectively. The Company includes both of these components in its reserve. As of 2018, and 2019, the Company has recorded reserves of $18.6 million and $18.9 million, respectively, included in accrued expenses in the accompanying consolidated balance sheets.</w:t>
      </w:r>
    </w:p>
    <w:p>
      <w:pPr>
        <w:spacing w:after="0" w:line="201" w:lineRule="exact"/>
        <w:rPr>
          <w:sz w:val="20"/>
          <w:szCs w:val="20"/>
          <w:color w:val="auto"/>
        </w:rPr>
      </w:pPr>
    </w:p>
    <w:p>
      <w:pPr>
        <w:ind w:left="2060"/>
        <w:spacing w:after="0"/>
        <w:rPr>
          <w:sz w:val="20"/>
          <w:szCs w:val="20"/>
          <w:color w:val="auto"/>
        </w:rPr>
      </w:pPr>
      <w:r>
        <w:rPr>
          <w:rFonts w:ascii="Arial" w:cs="Arial" w:eastAsia="Arial" w:hAnsi="Arial"/>
          <w:sz w:val="11"/>
          <w:szCs w:val="11"/>
          <w:b w:val="1"/>
          <w:bCs w:val="1"/>
          <w:i w:val="1"/>
          <w:iCs w:val="1"/>
          <w:color w:val="auto"/>
        </w:rPr>
        <w:t>Legal Proceedings</w:t>
      </w:r>
    </w:p>
    <w:p>
      <w:pPr>
        <w:spacing w:after="0" w:line="84" w:lineRule="exact"/>
        <w:rPr>
          <w:sz w:val="20"/>
          <w:szCs w:val="20"/>
          <w:color w:val="auto"/>
        </w:rPr>
      </w:pPr>
    </w:p>
    <w:p>
      <w:pPr>
        <w:jc w:val="both"/>
        <w:ind w:left="2060" w:right="839"/>
        <w:spacing w:after="0"/>
        <w:rPr>
          <w:sz w:val="20"/>
          <w:szCs w:val="20"/>
          <w:color w:val="auto"/>
        </w:rPr>
      </w:pPr>
      <w:r>
        <w:rPr>
          <w:rFonts w:ascii="Arial" w:cs="Arial" w:eastAsia="Arial" w:hAnsi="Arial"/>
          <w:sz w:val="11"/>
          <w:szCs w:val="11"/>
          <w:color w:val="auto"/>
        </w:rPr>
        <w:t>On March 19, 2019, Downtown Music Publishing LLC, ole Media Management, L.P., Big Deal Music, LLC, CYPMP, LLC, Peer International Corporation, PSO Limited, Peermusic Ltd., Peermusic III, Ltd., Peertunes, Ltd., Songs of Peer Ltd., Reservoir Media Management, Inc., The Richmond Organization, Inc., Round Hill Music LLC, The Royalty Network, Inc., and Ultra International Music Publishing, LLC filed a lawsuit against the Company in the U.S. District Court for the Southern District of New York, captioned Downtown Music Publ’g LLC, et. al v. Peloton Interactive, Inc., alleging that the Company engaged in copyright infringement by using certain accused songs in streaming and recorded fitness classes without necessary licenses. The plaintiffs allege that they are music publishers that own or control the copyrights in numerous musical works that were synchronized by the Company without the plaintiffs’ authorization. The complaint asserts a single claim for copyright infringement. It seeks injunctive relief, up to $150 million in damages, and attorneys’ fees and costs. The Company intends to vigorously defend the claim.</w:t>
      </w:r>
    </w:p>
    <w:p>
      <w:pPr>
        <w:spacing w:after="0" w:line="141" w:lineRule="exact"/>
        <w:rPr>
          <w:sz w:val="20"/>
          <w:szCs w:val="20"/>
          <w:color w:val="auto"/>
        </w:rPr>
      </w:pPr>
    </w:p>
    <w:p>
      <w:pPr>
        <w:jc w:val="both"/>
        <w:ind w:left="2060" w:right="839"/>
        <w:spacing w:after="0" w:line="267" w:lineRule="auto"/>
        <w:rPr>
          <w:sz w:val="20"/>
          <w:szCs w:val="20"/>
          <w:color w:val="auto"/>
        </w:rPr>
      </w:pPr>
      <w:r>
        <w:rPr>
          <w:rFonts w:ascii="Arial" w:cs="Arial" w:eastAsia="Arial" w:hAnsi="Arial"/>
          <w:sz w:val="10"/>
          <w:szCs w:val="10"/>
          <w:color w:val="auto"/>
        </w:rPr>
        <w:t>On April 30, 2019, the Company answered the complaint and filed counterclaims against the original named plaintiffs and National Music Publishers’ Association, Inc., a trade association, alleging that they coordinated to collectively negotiate licenses in violation of the antitrust laws. The counterclaims also assert that the trade association tortuously interfered with the Company’s attempts to engage in direct negotiations with music publishers in violation of state law. The counterclaims seek injunctive relief, monetary damages (to be trebled under applicable statute), and attorneys’ fees and costs. An initial pretrial conference was held on May 9, 2019 and discovery has commenced. An amended complaint filed on May 31, 2019 named additional plaintiffs Greensleeves Publishing Ltd., Me Gusta Music, LLC, Raleigh Music Publishing LLC, STB Music, Inc., and TuneCore, Inc. and identified additional musical works. The Company answered the amended complaint on June 14, 2019. On June 24, 2019, counter-defendants filed a motion to dismiss the counterclaims, to which the Company filed an opposition on August 8, 2019. Discovery on the claims and counterclaims is ongoing in the case.</w:t>
      </w:r>
    </w:p>
    <w:p>
      <w:pPr>
        <w:spacing w:after="0" w:line="129" w:lineRule="exact"/>
        <w:rPr>
          <w:sz w:val="20"/>
          <w:szCs w:val="20"/>
          <w:color w:val="auto"/>
        </w:rPr>
      </w:pPr>
    </w:p>
    <w:p>
      <w:pPr>
        <w:jc w:val="both"/>
        <w:ind w:left="2060" w:right="839"/>
        <w:spacing w:after="0" w:line="242" w:lineRule="auto"/>
        <w:rPr>
          <w:sz w:val="20"/>
          <w:szCs w:val="20"/>
          <w:color w:val="auto"/>
        </w:rPr>
      </w:pPr>
      <w:r>
        <w:rPr>
          <w:rFonts w:ascii="Arial" w:cs="Arial" w:eastAsia="Arial" w:hAnsi="Arial"/>
          <w:sz w:val="11"/>
          <w:szCs w:val="11"/>
          <w:color w:val="auto"/>
        </w:rPr>
        <w:t>While the Company cannot predict what the ultimate result of any judgment against, or settlement by, the Company, will be in this matter, based on application of ASC 450, “Contingencies”, at June 30, 2019, the Company has accrued its best estimate within a range of reasonably possible outcomes ranging from $4.0 million to $11.0 million, which is included in</w:t>
      </w:r>
    </w:p>
    <w:p>
      <w:pPr>
        <w:spacing w:after="0" w:line="95" w:lineRule="exact"/>
        <w:rPr>
          <w:sz w:val="20"/>
          <w:szCs w:val="20"/>
          <w:color w:val="auto"/>
        </w:rPr>
      </w:pPr>
    </w:p>
    <w:p>
      <w:pPr>
        <w:ind w:left="5620"/>
        <w:spacing w:after="0"/>
        <w:rPr>
          <w:sz w:val="20"/>
          <w:szCs w:val="20"/>
          <w:color w:val="auto"/>
        </w:rPr>
      </w:pPr>
      <w:r>
        <w:rPr>
          <w:rFonts w:ascii="Arial" w:cs="Arial" w:eastAsia="Arial" w:hAnsi="Arial"/>
          <w:sz w:val="11"/>
          <w:szCs w:val="11"/>
          <w:color w:val="auto"/>
        </w:rPr>
        <w:t>F-24</w:t>
      </w:r>
    </w:p>
    <w:p>
      <w:pPr>
        <w:sectPr>
          <w:pgSz w:w="11900" w:h="16838" w:orient="portrait"/>
          <w:cols w:equalWidth="0" w:num="1">
            <w:col w:w="10239"/>
          </w:cols>
          <w:pgMar w:left="220" w:top="354" w:right="1440" w:bottom="1440" w:gutter="0" w:footer="0" w:header="0"/>
        </w:sectPr>
      </w:pPr>
    </w:p>
    <w:bookmarkStart w:id="188" w:name="page189"/>
    <w:bookmarkEnd w:id="188"/>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hyperlink w:anchor="page5">
        <w:r>
          <w:rPr>
            <w:rFonts w:ascii="Arial" w:cs="Arial" w:eastAsia="Arial" w:hAnsi="Arial"/>
            <w:sz w:val="12"/>
            <w:szCs w:val="12"/>
            <w:b w:val="1"/>
            <w:bCs w:val="1"/>
            <w:u w:val="single" w:color="auto"/>
            <w:color w:val="0000EE"/>
          </w:rPr>
          <w:t>Table of Contents</w:t>
        </w:r>
      </w:hyperlink>
    </w:p>
    <w:p>
      <w:pPr>
        <w:spacing w:after="0" w:line="200" w:lineRule="exact"/>
        <w:rPr>
          <w:sz w:val="20"/>
          <w:szCs w:val="20"/>
          <w:color w:val="auto"/>
        </w:rPr>
      </w:pPr>
    </w:p>
    <w:p>
      <w:pPr>
        <w:jc w:val="center"/>
        <w:ind w:right="-1220"/>
        <w:spacing w:after="0"/>
        <w:rPr>
          <w:sz w:val="20"/>
          <w:szCs w:val="20"/>
          <w:color w:val="auto"/>
        </w:rPr>
      </w:pPr>
      <w:r>
        <w:rPr>
          <w:rFonts w:ascii="Arial" w:cs="Arial" w:eastAsia="Arial" w:hAnsi="Arial"/>
          <w:sz w:val="12"/>
          <w:szCs w:val="12"/>
          <w:b w:val="1"/>
          <w:bCs w:val="1"/>
          <w:color w:val="auto"/>
        </w:rPr>
        <w:t>PELOTON INTERACTIVE, INC.</w:t>
      </w:r>
    </w:p>
    <w:p>
      <w:pPr>
        <w:spacing w:after="0" w:line="11" w:lineRule="exact"/>
        <w:rPr>
          <w:sz w:val="20"/>
          <w:szCs w:val="20"/>
          <w:color w:val="auto"/>
        </w:rPr>
      </w:pPr>
    </w:p>
    <w:p>
      <w:pPr>
        <w:jc w:val="center"/>
        <w:ind w:right="-1220"/>
        <w:spacing w:after="0"/>
        <w:rPr>
          <w:sz w:val="20"/>
          <w:szCs w:val="20"/>
          <w:color w:val="auto"/>
        </w:rPr>
      </w:pPr>
      <w:r>
        <w:rPr>
          <w:rFonts w:ascii="Arial" w:cs="Arial" w:eastAsia="Arial" w:hAnsi="Arial"/>
          <w:sz w:val="12"/>
          <w:szCs w:val="12"/>
          <w:b w:val="1"/>
          <w:bCs w:val="1"/>
          <w:color w:val="auto"/>
        </w:rPr>
        <w:t>NOTES TO CONSOLIDATED FINANCIAL STATEMENTS</w:t>
      </w:r>
    </w:p>
    <w:p>
      <w:pPr>
        <w:spacing w:after="0" w:line="80" w:lineRule="exact"/>
        <w:rPr>
          <w:sz w:val="20"/>
          <w:szCs w:val="20"/>
          <w:color w:val="auto"/>
        </w:rPr>
      </w:pPr>
    </w:p>
    <w:p>
      <w:pPr>
        <w:jc w:val="both"/>
        <w:ind w:left="2060" w:right="839"/>
        <w:spacing w:after="0" w:line="242" w:lineRule="auto"/>
        <w:rPr>
          <w:sz w:val="20"/>
          <w:szCs w:val="20"/>
          <w:color w:val="auto"/>
        </w:rPr>
      </w:pPr>
      <w:r>
        <w:rPr>
          <w:rFonts w:ascii="Arial" w:cs="Arial" w:eastAsia="Arial" w:hAnsi="Arial"/>
          <w:sz w:val="11"/>
          <w:szCs w:val="11"/>
          <w:color w:val="auto"/>
        </w:rPr>
        <w:t>accrued expenses in the accompanying consolidated balance sheets. Amounts accrued for this matter at June 30, 2019 are not considered material to the Company’s financial position and the Company continues to vigorously defend its position in the aforementioned outstanding matter and assess its legal position.</w:t>
      </w:r>
    </w:p>
    <w:p>
      <w:pPr>
        <w:spacing w:after="0" w:line="140" w:lineRule="exact"/>
        <w:rPr>
          <w:sz w:val="20"/>
          <w:szCs w:val="20"/>
          <w:color w:val="auto"/>
        </w:rPr>
      </w:pPr>
    </w:p>
    <w:p>
      <w:pPr>
        <w:jc w:val="both"/>
        <w:ind w:left="2060" w:right="839"/>
        <w:spacing w:after="0" w:line="242" w:lineRule="auto"/>
        <w:rPr>
          <w:sz w:val="20"/>
          <w:szCs w:val="20"/>
          <w:color w:val="auto"/>
        </w:rPr>
      </w:pPr>
      <w:r>
        <w:rPr>
          <w:rFonts w:ascii="Arial" w:cs="Arial" w:eastAsia="Arial" w:hAnsi="Arial"/>
          <w:sz w:val="11"/>
          <w:szCs w:val="11"/>
          <w:color w:val="auto"/>
        </w:rPr>
        <w:t>In addition to the above, from time to time, the Company is subject to litigation matters and claims that arise in the ordinary course of its business. The Company believes that the outcome of any existing litigation, either individually or in the aggregate, will not have a material impact on the results of operations, financial condition, or cash flows of the Company.</w:t>
      </w:r>
    </w:p>
    <w:p>
      <w:pPr>
        <w:spacing w:after="0" w:line="200" w:lineRule="exact"/>
        <w:rPr>
          <w:sz w:val="20"/>
          <w:szCs w:val="20"/>
          <w:color w:val="auto"/>
        </w:rPr>
      </w:pPr>
    </w:p>
    <w:p>
      <w:pPr>
        <w:ind w:left="2060"/>
        <w:spacing w:after="0"/>
        <w:rPr>
          <w:sz w:val="20"/>
          <w:szCs w:val="20"/>
          <w:color w:val="auto"/>
        </w:rPr>
      </w:pPr>
      <w:r>
        <w:rPr>
          <w:rFonts w:ascii="Arial" w:cs="Arial" w:eastAsia="Arial" w:hAnsi="Arial"/>
          <w:sz w:val="11"/>
          <w:szCs w:val="11"/>
          <w:b w:val="1"/>
          <w:bCs w:val="1"/>
          <w:color w:val="auto"/>
        </w:rPr>
        <w:t>12. Redeemable Convertible Preferred Stock and Stockholders’ Equity</w:t>
      </w:r>
    </w:p>
    <w:p>
      <w:pPr>
        <w:spacing w:after="0" w:line="72" w:lineRule="exact"/>
        <w:rPr>
          <w:sz w:val="20"/>
          <w:szCs w:val="20"/>
          <w:color w:val="auto"/>
        </w:rPr>
      </w:pPr>
    </w:p>
    <w:p>
      <w:pPr>
        <w:ind w:left="2060"/>
        <w:spacing w:after="0"/>
        <w:rPr>
          <w:sz w:val="20"/>
          <w:szCs w:val="20"/>
          <w:color w:val="auto"/>
        </w:rPr>
      </w:pPr>
      <w:r>
        <w:rPr>
          <w:rFonts w:ascii="Arial" w:cs="Arial" w:eastAsia="Arial" w:hAnsi="Arial"/>
          <w:sz w:val="11"/>
          <w:szCs w:val="11"/>
          <w:b w:val="1"/>
          <w:bCs w:val="1"/>
          <w:i w:val="1"/>
          <w:iCs w:val="1"/>
          <w:color w:val="auto"/>
        </w:rPr>
        <w:t>Stock Split</w:t>
      </w:r>
    </w:p>
    <w:p>
      <w:pPr>
        <w:spacing w:after="0" w:line="84" w:lineRule="exact"/>
        <w:rPr>
          <w:sz w:val="20"/>
          <w:szCs w:val="20"/>
          <w:color w:val="auto"/>
        </w:rPr>
      </w:pPr>
    </w:p>
    <w:p>
      <w:pPr>
        <w:jc w:val="both"/>
        <w:ind w:left="2060" w:right="839"/>
        <w:spacing w:after="0" w:line="242" w:lineRule="auto"/>
        <w:rPr>
          <w:sz w:val="20"/>
          <w:szCs w:val="20"/>
          <w:color w:val="auto"/>
        </w:rPr>
      </w:pPr>
      <w:r>
        <w:rPr>
          <w:rFonts w:ascii="Arial" w:cs="Arial" w:eastAsia="Arial" w:hAnsi="Arial"/>
          <w:sz w:val="11"/>
          <w:szCs w:val="11"/>
          <w:color w:val="auto"/>
        </w:rPr>
        <w:t>In August 2018, the Company effected a 4-for-1 stock split on its shares of common stock. Unless otherwise noted, impacted amounts and share information included in the financial statements and notes thereto have been retroactively adjusted for the stock split as if such stock split occurred on the first day of the first period presented.</w:t>
      </w:r>
    </w:p>
    <w:p>
      <w:pPr>
        <w:spacing w:after="0" w:line="200" w:lineRule="exact"/>
        <w:rPr>
          <w:sz w:val="20"/>
          <w:szCs w:val="20"/>
          <w:color w:val="auto"/>
        </w:rPr>
      </w:pPr>
    </w:p>
    <w:p>
      <w:pPr>
        <w:ind w:left="2060"/>
        <w:spacing w:after="0"/>
        <w:rPr>
          <w:sz w:val="20"/>
          <w:szCs w:val="20"/>
          <w:color w:val="auto"/>
        </w:rPr>
      </w:pPr>
      <w:r>
        <w:rPr>
          <w:rFonts w:ascii="Arial" w:cs="Arial" w:eastAsia="Arial" w:hAnsi="Arial"/>
          <w:sz w:val="11"/>
          <w:szCs w:val="11"/>
          <w:b w:val="1"/>
          <w:bCs w:val="1"/>
          <w:i w:val="1"/>
          <w:iCs w:val="1"/>
          <w:color w:val="auto"/>
        </w:rPr>
        <w:t>Common Stock</w:t>
      </w:r>
    </w:p>
    <w:p>
      <w:pPr>
        <w:spacing w:after="0" w:line="84" w:lineRule="exact"/>
        <w:rPr>
          <w:sz w:val="20"/>
          <w:szCs w:val="20"/>
          <w:color w:val="auto"/>
        </w:rPr>
      </w:pPr>
    </w:p>
    <w:p>
      <w:pPr>
        <w:jc w:val="both"/>
        <w:ind w:left="2060" w:right="839"/>
        <w:spacing w:after="0" w:line="242" w:lineRule="auto"/>
        <w:rPr>
          <w:sz w:val="20"/>
          <w:szCs w:val="20"/>
          <w:color w:val="auto"/>
        </w:rPr>
      </w:pPr>
      <w:r>
        <w:rPr>
          <w:rFonts w:ascii="Arial" w:cs="Arial" w:eastAsia="Arial" w:hAnsi="Arial"/>
          <w:sz w:val="11"/>
          <w:szCs w:val="11"/>
          <w:color w:val="auto"/>
        </w:rPr>
        <w:t>In connection with the conversion to a corporation in April 2015, the Company authorized common stock with a par value of $0.000025 per share. As of June 30, 2018 and 2019, there were 266,946,216 and 400,000,000 shares of common stock authorized, respectively, and 25,936,848 and 25,301,604 shares of common stock outstanding, respectively.</w:t>
      </w:r>
    </w:p>
    <w:p>
      <w:pPr>
        <w:spacing w:after="0" w:line="200" w:lineRule="exact"/>
        <w:rPr>
          <w:sz w:val="20"/>
          <w:szCs w:val="20"/>
          <w:color w:val="auto"/>
        </w:rPr>
      </w:pPr>
    </w:p>
    <w:p>
      <w:pPr>
        <w:ind w:left="2060"/>
        <w:spacing w:after="0"/>
        <w:rPr>
          <w:sz w:val="20"/>
          <w:szCs w:val="20"/>
          <w:color w:val="auto"/>
        </w:rPr>
      </w:pPr>
      <w:r>
        <w:rPr>
          <w:rFonts w:ascii="Arial" w:cs="Arial" w:eastAsia="Arial" w:hAnsi="Arial"/>
          <w:sz w:val="11"/>
          <w:szCs w:val="11"/>
          <w:b w:val="1"/>
          <w:bCs w:val="1"/>
          <w:i w:val="1"/>
          <w:iCs w:val="1"/>
          <w:color w:val="auto"/>
        </w:rPr>
        <w:t>Warrant Transactions</w:t>
      </w:r>
    </w:p>
    <w:p>
      <w:pPr>
        <w:spacing w:after="0" w:line="84" w:lineRule="exact"/>
        <w:rPr>
          <w:sz w:val="20"/>
          <w:szCs w:val="20"/>
          <w:color w:val="auto"/>
        </w:rPr>
      </w:pPr>
    </w:p>
    <w:p>
      <w:pPr>
        <w:jc w:val="both"/>
        <w:ind w:left="2060" w:right="839"/>
        <w:spacing w:after="0" w:line="269" w:lineRule="auto"/>
        <w:rPr>
          <w:sz w:val="20"/>
          <w:szCs w:val="20"/>
          <w:color w:val="auto"/>
        </w:rPr>
      </w:pPr>
      <w:r>
        <w:rPr>
          <w:rFonts w:ascii="Arial" w:cs="Arial" w:eastAsia="Arial" w:hAnsi="Arial"/>
          <w:sz w:val="10"/>
          <w:szCs w:val="10"/>
          <w:color w:val="auto"/>
        </w:rPr>
        <w:t>In June 2015, the Company issued 240,000 common stock warrants in connection with the Term Loan Agreement with SVB (see Note 10). The warrants were initially recorded at their fair value calculated using the Black-Scholes model, with the following weighted-average assumptions: exercise price of $0.19 per share, price of $0.19 per share, expected term of 10 years, risk-free rate of 2.35%, and volatility of 90%. The fair value of the warrants of $38,000 was recorded as deferred financing costs and such costs were amortized to interest expense using the effective interest method over the term of the loan. In connection with the termination of the SVB Debt Facility in November 2017, the Company recognized the remaining balance of unamortized deferred financing costs, including the amount related to the warrants, during the fiscal year ended June 30, 2018 (see Note 10).</w:t>
      </w:r>
    </w:p>
    <w:p>
      <w:pPr>
        <w:spacing w:after="0" w:line="187" w:lineRule="exact"/>
        <w:rPr>
          <w:sz w:val="20"/>
          <w:szCs w:val="20"/>
          <w:color w:val="auto"/>
        </w:rPr>
      </w:pPr>
    </w:p>
    <w:p>
      <w:pPr>
        <w:ind w:left="2060"/>
        <w:spacing w:after="0"/>
        <w:rPr>
          <w:sz w:val="20"/>
          <w:szCs w:val="20"/>
          <w:color w:val="auto"/>
        </w:rPr>
      </w:pPr>
      <w:r>
        <w:rPr>
          <w:rFonts w:ascii="Arial" w:cs="Arial" w:eastAsia="Arial" w:hAnsi="Arial"/>
          <w:sz w:val="11"/>
          <w:szCs w:val="11"/>
          <w:b w:val="1"/>
          <w:bCs w:val="1"/>
          <w:i w:val="1"/>
          <w:iCs w:val="1"/>
          <w:color w:val="auto"/>
        </w:rPr>
        <w:t>Preferred Stock</w:t>
      </w:r>
    </w:p>
    <w:p>
      <w:pPr>
        <w:spacing w:after="0" w:line="84" w:lineRule="exact"/>
        <w:rPr>
          <w:sz w:val="20"/>
          <w:szCs w:val="20"/>
          <w:color w:val="auto"/>
        </w:rPr>
      </w:pPr>
    </w:p>
    <w:p>
      <w:pPr>
        <w:jc w:val="both"/>
        <w:ind w:left="2060" w:right="839"/>
        <w:spacing w:after="0" w:line="242" w:lineRule="auto"/>
        <w:rPr>
          <w:sz w:val="20"/>
          <w:szCs w:val="20"/>
          <w:color w:val="auto"/>
        </w:rPr>
      </w:pPr>
      <w:r>
        <w:rPr>
          <w:rFonts w:ascii="Arial" w:cs="Arial" w:eastAsia="Arial" w:hAnsi="Arial"/>
          <w:sz w:val="11"/>
          <w:szCs w:val="11"/>
          <w:color w:val="auto"/>
        </w:rPr>
        <w:t>As of June 30, 2019, the Company’s fifth amended and restated certificate of incorporation authorized the issuance of up to 215,443,468 shares of Preferred Stock, designated as follows: 10,617,908 shares as Series A Preferred Stock, 25,799,744 as Series B Preferred Stock, 48,246,732 as Series C Preferred Stock, 31,635,604 as Series D Preferred Stock, and 60,013,480 as Series E Preferred Stock, and 39,130,000 as Series F Preferred Stock.</w:t>
      </w:r>
    </w:p>
    <w:p>
      <w:pPr>
        <w:spacing w:after="0" w:line="200" w:lineRule="exact"/>
        <w:rPr>
          <w:sz w:val="20"/>
          <w:szCs w:val="20"/>
          <w:color w:val="auto"/>
        </w:rPr>
      </w:pPr>
    </w:p>
    <w:p>
      <w:pPr>
        <w:ind w:left="2060"/>
        <w:spacing w:after="0"/>
        <w:rPr>
          <w:sz w:val="20"/>
          <w:szCs w:val="20"/>
          <w:color w:val="auto"/>
        </w:rPr>
      </w:pPr>
      <w:r>
        <w:rPr>
          <w:rFonts w:ascii="Arial" w:cs="Arial" w:eastAsia="Arial" w:hAnsi="Arial"/>
          <w:sz w:val="11"/>
          <w:szCs w:val="11"/>
          <w:b w:val="1"/>
          <w:bCs w:val="1"/>
          <w:i w:val="1"/>
          <w:iCs w:val="1"/>
          <w:color w:val="auto"/>
        </w:rPr>
        <w:t>Series E Financing &amp; Tender Offer</w:t>
      </w:r>
    </w:p>
    <w:p>
      <w:pPr>
        <w:spacing w:after="0" w:line="84" w:lineRule="exact"/>
        <w:rPr>
          <w:sz w:val="20"/>
          <w:szCs w:val="20"/>
          <w:color w:val="auto"/>
        </w:rPr>
      </w:pPr>
    </w:p>
    <w:p>
      <w:pPr>
        <w:jc w:val="both"/>
        <w:ind w:left="2060" w:right="839"/>
        <w:spacing w:after="0"/>
        <w:rPr>
          <w:sz w:val="20"/>
          <w:szCs w:val="20"/>
          <w:color w:val="auto"/>
        </w:rPr>
      </w:pPr>
      <w:r>
        <w:rPr>
          <w:rFonts w:ascii="Arial" w:cs="Arial" w:eastAsia="Arial" w:hAnsi="Arial"/>
          <w:sz w:val="11"/>
          <w:szCs w:val="11"/>
          <w:color w:val="auto"/>
        </w:rPr>
        <w:t>In March 2017, the Company filed its third amended and restated certificate of incorporation, which authorized the issuance of 60,013,480 shares Series E Preferred Stock with rights and preferences, including voting rights, as determined from time to time by the Board of Directors. In May 2017, the Company filed an amendment to the certificate of incorporation which decreased the authorized number of shares of common stock, Series B Preferred Stock, Series C Preferred Stock, and Series D Preferred Stock, to a total of 266,946,216 shares, 27,169,432 shares, 49,375,076 shares, and 31,635,604 shares, respectively.</w:t>
      </w:r>
    </w:p>
    <w:p>
      <w:pPr>
        <w:spacing w:after="0" w:line="142" w:lineRule="exact"/>
        <w:rPr>
          <w:sz w:val="20"/>
          <w:szCs w:val="20"/>
          <w:color w:val="auto"/>
        </w:rPr>
      </w:pPr>
    </w:p>
    <w:p>
      <w:pPr>
        <w:jc w:val="both"/>
        <w:ind w:left="2060" w:right="839"/>
        <w:spacing w:after="0" w:line="242" w:lineRule="auto"/>
        <w:rPr>
          <w:sz w:val="20"/>
          <w:szCs w:val="20"/>
          <w:color w:val="auto"/>
        </w:rPr>
      </w:pPr>
      <w:r>
        <w:rPr>
          <w:rFonts w:ascii="Arial" w:cs="Arial" w:eastAsia="Arial" w:hAnsi="Arial"/>
          <w:sz w:val="11"/>
          <w:szCs w:val="11"/>
          <w:color w:val="auto"/>
        </w:rPr>
        <w:t>In March 2017, the Company entered into a securities purchase agreement with certain accredited investors, pursuant to which it sold and issued 40,624,492 shares of its newly created Series E Preferred Stock at a purchase price of approximately $5.42 per share (the “Series E Share Price”) in an initial closing. Between April 1, 2017 and May 31, 2017, the</w:t>
      </w:r>
    </w:p>
    <w:p>
      <w:pPr>
        <w:spacing w:after="0" w:line="95" w:lineRule="exact"/>
        <w:rPr>
          <w:sz w:val="20"/>
          <w:szCs w:val="20"/>
          <w:color w:val="auto"/>
        </w:rPr>
      </w:pPr>
    </w:p>
    <w:p>
      <w:pPr>
        <w:ind w:left="5620"/>
        <w:spacing w:after="0"/>
        <w:rPr>
          <w:sz w:val="20"/>
          <w:szCs w:val="20"/>
          <w:color w:val="auto"/>
        </w:rPr>
      </w:pPr>
      <w:r>
        <w:rPr>
          <w:rFonts w:ascii="Arial" w:cs="Arial" w:eastAsia="Arial" w:hAnsi="Arial"/>
          <w:sz w:val="11"/>
          <w:szCs w:val="11"/>
          <w:color w:val="auto"/>
        </w:rPr>
        <w:t>F-25</w:t>
      </w:r>
    </w:p>
    <w:p>
      <w:pPr>
        <w:sectPr>
          <w:pgSz w:w="11900" w:h="16838" w:orient="portrait"/>
          <w:cols w:equalWidth="0" w:num="1">
            <w:col w:w="10239"/>
          </w:cols>
          <w:pgMar w:left="220" w:top="354" w:right="1440" w:bottom="1440" w:gutter="0" w:footer="0" w:header="0"/>
        </w:sectPr>
      </w:pPr>
    </w:p>
    <w:bookmarkStart w:id="189" w:name="page190"/>
    <w:bookmarkEnd w:id="189"/>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hyperlink w:anchor="page5">
        <w:r>
          <w:rPr>
            <w:rFonts w:ascii="Arial" w:cs="Arial" w:eastAsia="Arial" w:hAnsi="Arial"/>
            <w:sz w:val="12"/>
            <w:szCs w:val="12"/>
            <w:b w:val="1"/>
            <w:bCs w:val="1"/>
            <w:u w:val="single" w:color="auto"/>
            <w:color w:val="0000EE"/>
          </w:rPr>
          <w:t>Table of Contents</w:t>
        </w:r>
      </w:hyperlink>
    </w:p>
    <w:p>
      <w:pPr>
        <w:spacing w:after="0" w:line="200" w:lineRule="exact"/>
        <w:rPr>
          <w:sz w:val="20"/>
          <w:szCs w:val="20"/>
          <w:color w:val="auto"/>
        </w:rPr>
      </w:pPr>
    </w:p>
    <w:p>
      <w:pPr>
        <w:jc w:val="center"/>
        <w:ind w:right="-1220"/>
        <w:spacing w:after="0"/>
        <w:rPr>
          <w:sz w:val="20"/>
          <w:szCs w:val="20"/>
          <w:color w:val="auto"/>
        </w:rPr>
      </w:pPr>
      <w:r>
        <w:rPr>
          <w:rFonts w:ascii="Arial" w:cs="Arial" w:eastAsia="Arial" w:hAnsi="Arial"/>
          <w:sz w:val="12"/>
          <w:szCs w:val="12"/>
          <w:b w:val="1"/>
          <w:bCs w:val="1"/>
          <w:color w:val="auto"/>
        </w:rPr>
        <w:t>PELOTON INTERACTIVE, INC.</w:t>
      </w:r>
    </w:p>
    <w:p>
      <w:pPr>
        <w:spacing w:after="0" w:line="11" w:lineRule="exact"/>
        <w:rPr>
          <w:sz w:val="20"/>
          <w:szCs w:val="20"/>
          <w:color w:val="auto"/>
        </w:rPr>
      </w:pPr>
    </w:p>
    <w:p>
      <w:pPr>
        <w:jc w:val="center"/>
        <w:ind w:right="-1220"/>
        <w:spacing w:after="0"/>
        <w:rPr>
          <w:sz w:val="20"/>
          <w:szCs w:val="20"/>
          <w:color w:val="auto"/>
        </w:rPr>
      </w:pPr>
      <w:r>
        <w:rPr>
          <w:rFonts w:ascii="Arial" w:cs="Arial" w:eastAsia="Arial" w:hAnsi="Arial"/>
          <w:sz w:val="12"/>
          <w:szCs w:val="12"/>
          <w:b w:val="1"/>
          <w:bCs w:val="1"/>
          <w:color w:val="auto"/>
        </w:rPr>
        <w:t>NOTES TO CONSOLIDATED FINANCIAL STATEMENTS</w:t>
      </w:r>
    </w:p>
    <w:p>
      <w:pPr>
        <w:spacing w:after="0" w:line="80" w:lineRule="exact"/>
        <w:rPr>
          <w:sz w:val="20"/>
          <w:szCs w:val="20"/>
          <w:color w:val="auto"/>
        </w:rPr>
      </w:pPr>
    </w:p>
    <w:p>
      <w:pPr>
        <w:jc w:val="both"/>
        <w:ind w:left="2060" w:right="839"/>
        <w:spacing w:after="0" w:line="241" w:lineRule="auto"/>
        <w:rPr>
          <w:sz w:val="20"/>
          <w:szCs w:val="20"/>
          <w:color w:val="auto"/>
        </w:rPr>
      </w:pPr>
      <w:r>
        <w:rPr>
          <w:rFonts w:ascii="Arial" w:cs="Arial" w:eastAsia="Arial" w:hAnsi="Arial"/>
          <w:sz w:val="11"/>
          <w:szCs w:val="11"/>
          <w:color w:val="auto"/>
        </w:rPr>
        <w:t>Company sold and issued an additional 19,388,988 shares of Series E Preferred Stock in a series of subsequent closings (combined, the “Series E Financing”). The aggregate gross proceeds from the Series E Financing were approximately $325.0 million. The Company incurred issuance costs of $9.4 million during the fiscal year ended June 30, 2017 in connection with the Series E Financing, which are recorded as a reduction of the Series E Preferred Stock share balance.</w:t>
      </w:r>
    </w:p>
    <w:p>
      <w:pPr>
        <w:spacing w:after="0" w:line="140" w:lineRule="exact"/>
        <w:rPr>
          <w:sz w:val="20"/>
          <w:szCs w:val="20"/>
          <w:color w:val="auto"/>
        </w:rPr>
      </w:pPr>
    </w:p>
    <w:p>
      <w:pPr>
        <w:jc w:val="both"/>
        <w:ind w:left="2060" w:right="839"/>
        <w:spacing w:after="0" w:line="239" w:lineRule="auto"/>
        <w:rPr>
          <w:sz w:val="20"/>
          <w:szCs w:val="20"/>
          <w:color w:val="auto"/>
        </w:rPr>
      </w:pPr>
      <w:r>
        <w:rPr>
          <w:rFonts w:ascii="Arial" w:cs="Arial" w:eastAsia="Arial" w:hAnsi="Arial"/>
          <w:sz w:val="11"/>
          <w:szCs w:val="11"/>
          <w:color w:val="auto"/>
        </w:rPr>
        <w:t>In connection with closing of the Series E Financing, the Company used approximately $175.0 million of the proceeds from the Series E Financing to repurchase outstanding shares of its common stock and Series A, Series B, Series C, and Series D Preferred Stock from certain existing stockholders at the Series E Share Price. The repurchase occurred through a series of share repurchase transactions in conjunction with the initial and subsequent closings of the Series E Financing, in addition to a tender offer made by the Company following the closing of the Series E Financing (the “2017 Tender Offer”). The 2017 Tender Offer was made to certain existing equity holders of the Company to repurchase shares of the Company’s capital stock and options to purchase such shares of capital stock from such equity holders at a gross repurchase price equal to the Series E Share Price. The aggregate gross repurchase amounts under the Series E Financing closings and the 2017 Tender Offer were $122.7 million and $52.3 million, respectively. In connection therewith, the Company repurchased 9,717,464 shares of common stock, 2,381,576 shares of Series A Preferred Stock, 1,504,660 shares of Series B Preferred Stock, 5,290,300 shares of Series C Preferred Stock, and 13,420,940 shares of Series D Preferred Stock each at the Series E Share Price. The repurchased shares were retired and considered authorized, but not issued or outstanding, pursuant to the Company’s third amended and restated certificate of incorporation. The repurchase price of the redeemable convertible preferred stock, including closing costs, of $118.7 million exceeded the carrying value of $26.4 million at the date of repurchase. For the computation of net loss per share attributable to common stockholders for the fiscal year ended June 30, 2017, the repurchase price in excess of the then carrying value of the Preferred Stock of $92.3 million was recorded as a reduction to net loss in computing net loss attributable to common stockholders.</w:t>
      </w:r>
    </w:p>
    <w:p>
      <w:pPr>
        <w:spacing w:after="0" w:line="136" w:lineRule="exact"/>
        <w:rPr>
          <w:sz w:val="20"/>
          <w:szCs w:val="20"/>
          <w:color w:val="auto"/>
        </w:rPr>
      </w:pPr>
    </w:p>
    <w:p>
      <w:pPr>
        <w:jc w:val="both"/>
        <w:ind w:left="2060" w:right="839"/>
        <w:spacing w:after="0" w:line="244" w:lineRule="auto"/>
        <w:rPr>
          <w:sz w:val="20"/>
          <w:szCs w:val="20"/>
          <w:color w:val="auto"/>
        </w:rPr>
      </w:pPr>
      <w:r>
        <w:rPr>
          <w:rFonts w:ascii="Arial" w:cs="Arial" w:eastAsia="Arial" w:hAnsi="Arial"/>
          <w:sz w:val="11"/>
          <w:szCs w:val="11"/>
          <w:color w:val="auto"/>
        </w:rPr>
        <w:t xml:space="preserve">In accordance with ASC 718, </w:t>
      </w:r>
      <w:r>
        <w:rPr>
          <w:rFonts w:ascii="Arial" w:cs="Arial" w:eastAsia="Arial" w:hAnsi="Arial"/>
          <w:sz w:val="11"/>
          <w:szCs w:val="11"/>
          <w:i w:val="1"/>
          <w:iCs w:val="1"/>
          <w:color w:val="auto"/>
        </w:rPr>
        <w:t>Stock Compensation,</w:t>
      </w:r>
      <w:r>
        <w:rPr>
          <w:rFonts w:ascii="Arial" w:cs="Arial" w:eastAsia="Arial" w:hAnsi="Arial"/>
          <w:sz w:val="11"/>
          <w:szCs w:val="11"/>
          <w:color w:val="auto"/>
        </w:rPr>
        <w:t xml:space="preserve"> the Company recorded stock-based compensation expense of $8.3 million in the fiscal year ended June 30, 2017, which represents the excess of the tender offer repurchase price over the fair value of the shares repurchased which were held by employees and is included within general and administrative operating expenses in the consolidated statements of operations. For shares sold by stockholders who were not employees, the Company recorded the excess of the tender offer repurchase price over the fair value of the shares repurchased as a reduction to retained earnings. The Company recorded a reduction in redeemable convertible preferred stock and stockholders’ equity, net of closing costs, of $161.6 million during the fiscal year ended June 30, 2017 for the share repurchase transaction.</w:t>
      </w:r>
    </w:p>
    <w:p>
      <w:pPr>
        <w:spacing w:after="0" w:line="139" w:lineRule="exact"/>
        <w:rPr>
          <w:sz w:val="20"/>
          <w:szCs w:val="20"/>
          <w:color w:val="auto"/>
        </w:rPr>
      </w:pPr>
    </w:p>
    <w:p>
      <w:pPr>
        <w:jc w:val="both"/>
        <w:ind w:left="2060" w:right="839"/>
        <w:spacing w:after="0" w:line="245" w:lineRule="auto"/>
        <w:rPr>
          <w:sz w:val="20"/>
          <w:szCs w:val="20"/>
          <w:color w:val="auto"/>
        </w:rPr>
      </w:pPr>
      <w:r>
        <w:rPr>
          <w:rFonts w:ascii="Arial" w:cs="Arial" w:eastAsia="Arial" w:hAnsi="Arial"/>
          <w:sz w:val="11"/>
          <w:szCs w:val="11"/>
          <w:color w:val="auto"/>
        </w:rPr>
        <w:t>In connection with the share repurchase transactions, the Company incurred transaction costs of $4.4 million directly related to the share repurchase, which are recorded as a reduction in stockholders’ equity as of June 30, 2017.</w:t>
      </w:r>
    </w:p>
    <w:p>
      <w:pPr>
        <w:spacing w:after="0" w:line="198" w:lineRule="exact"/>
        <w:rPr>
          <w:sz w:val="20"/>
          <w:szCs w:val="20"/>
          <w:color w:val="auto"/>
        </w:rPr>
      </w:pPr>
    </w:p>
    <w:p>
      <w:pPr>
        <w:ind w:left="2060"/>
        <w:spacing w:after="0"/>
        <w:rPr>
          <w:sz w:val="20"/>
          <w:szCs w:val="20"/>
          <w:color w:val="auto"/>
        </w:rPr>
      </w:pPr>
      <w:r>
        <w:rPr>
          <w:rFonts w:ascii="Arial" w:cs="Arial" w:eastAsia="Arial" w:hAnsi="Arial"/>
          <w:sz w:val="11"/>
          <w:szCs w:val="11"/>
          <w:b w:val="1"/>
          <w:bCs w:val="1"/>
          <w:i w:val="1"/>
          <w:iCs w:val="1"/>
          <w:color w:val="auto"/>
        </w:rPr>
        <w:t>Series F Financing and Tender Offer</w:t>
      </w:r>
    </w:p>
    <w:p>
      <w:pPr>
        <w:spacing w:after="0" w:line="84" w:lineRule="exact"/>
        <w:rPr>
          <w:sz w:val="20"/>
          <w:szCs w:val="20"/>
          <w:color w:val="auto"/>
        </w:rPr>
      </w:pPr>
    </w:p>
    <w:p>
      <w:pPr>
        <w:jc w:val="both"/>
        <w:ind w:left="2060" w:right="839"/>
        <w:spacing w:after="0" w:line="245" w:lineRule="auto"/>
        <w:rPr>
          <w:sz w:val="20"/>
          <w:szCs w:val="20"/>
          <w:color w:val="auto"/>
        </w:rPr>
      </w:pPr>
      <w:r>
        <w:rPr>
          <w:rFonts w:ascii="Arial" w:cs="Arial" w:eastAsia="Arial" w:hAnsi="Arial"/>
          <w:sz w:val="11"/>
          <w:szCs w:val="11"/>
          <w:color w:val="auto"/>
        </w:rPr>
        <w:t>On August 29, 2018, the Company filed its fourth amended and restated certificate of incorporation, which authorized the issuance of 39,130,000 shares Series F Preferred Stock with rights and preferences, including voting rights, as determined from time to time by the Board of Directors.</w:t>
      </w:r>
    </w:p>
    <w:p>
      <w:pPr>
        <w:spacing w:after="0" w:line="138" w:lineRule="exact"/>
        <w:rPr>
          <w:sz w:val="20"/>
          <w:szCs w:val="20"/>
          <w:color w:val="auto"/>
        </w:rPr>
      </w:pPr>
    </w:p>
    <w:p>
      <w:pPr>
        <w:jc w:val="both"/>
        <w:ind w:left="2060" w:right="839"/>
        <w:spacing w:after="0"/>
        <w:rPr>
          <w:sz w:val="20"/>
          <w:szCs w:val="20"/>
          <w:color w:val="auto"/>
        </w:rPr>
      </w:pPr>
      <w:r>
        <w:rPr>
          <w:rFonts w:ascii="Arial" w:cs="Arial" w:eastAsia="Arial" w:hAnsi="Arial"/>
          <w:sz w:val="11"/>
          <w:szCs w:val="11"/>
          <w:color w:val="auto"/>
        </w:rPr>
        <w:t>In August 2018, the Company entered into a securities purchase agreement with certain accredited investors, pursuant to which it sold and issued 38,088,200 shares of its newly created Series F Preferred Stock (“the Series F Financing”) at a purchase price of $14.44018 per share (“the Series F Share Price”). The aggregate gross proceeds from the Series F Financing were approximately $550.0 million. The Company incurred issuance costs of $10.9 million during the fiscal year ended June 30, 2019 in connection with the Series F Financing, which were recorded as a reduction of the Series F Preferred Stock share balance.</w:t>
      </w:r>
    </w:p>
    <w:p>
      <w:pPr>
        <w:spacing w:after="0" w:line="142" w:lineRule="exact"/>
        <w:rPr>
          <w:sz w:val="20"/>
          <w:szCs w:val="20"/>
          <w:color w:val="auto"/>
        </w:rPr>
      </w:pPr>
    </w:p>
    <w:p>
      <w:pPr>
        <w:jc w:val="both"/>
        <w:ind w:left="2060" w:right="839"/>
        <w:spacing w:after="0" w:line="241" w:lineRule="auto"/>
        <w:rPr>
          <w:sz w:val="20"/>
          <w:szCs w:val="20"/>
          <w:color w:val="auto"/>
        </w:rPr>
      </w:pPr>
      <w:r>
        <w:rPr>
          <w:rFonts w:ascii="Arial" w:cs="Arial" w:eastAsia="Arial" w:hAnsi="Arial"/>
          <w:sz w:val="11"/>
          <w:szCs w:val="11"/>
          <w:color w:val="auto"/>
        </w:rPr>
        <w:t>In connection with the closing of the Series F Financing, the Company used approximately $130.0 million of the proceeds from the Series F Financing to repurchase outstanding shares of its common stock and Series A, Series B, Series C, and Series E Preferred Stock from certain existing stockholders at the Series F Share Price. The repurchase occurred through a tender offer made by the Company following the closing of the Series F Financing (the “2018 Tender Offer”). The 2018</w:t>
      </w:r>
    </w:p>
    <w:p>
      <w:pPr>
        <w:spacing w:after="0" w:line="95" w:lineRule="exact"/>
        <w:rPr>
          <w:sz w:val="20"/>
          <w:szCs w:val="20"/>
          <w:color w:val="auto"/>
        </w:rPr>
      </w:pPr>
    </w:p>
    <w:p>
      <w:pPr>
        <w:ind w:left="5620"/>
        <w:spacing w:after="0"/>
        <w:rPr>
          <w:sz w:val="20"/>
          <w:szCs w:val="20"/>
          <w:color w:val="auto"/>
        </w:rPr>
      </w:pPr>
      <w:r>
        <w:rPr>
          <w:rFonts w:ascii="Arial" w:cs="Arial" w:eastAsia="Arial" w:hAnsi="Arial"/>
          <w:sz w:val="11"/>
          <w:szCs w:val="11"/>
          <w:color w:val="auto"/>
        </w:rPr>
        <w:t>F-26</w:t>
      </w:r>
    </w:p>
    <w:p>
      <w:pPr>
        <w:sectPr>
          <w:pgSz w:w="11900" w:h="16838" w:orient="portrait"/>
          <w:cols w:equalWidth="0" w:num="1">
            <w:col w:w="10239"/>
          </w:cols>
          <w:pgMar w:left="220" w:top="354" w:right="1440" w:bottom="1440" w:gutter="0" w:footer="0" w:header="0"/>
        </w:sectPr>
      </w:pPr>
    </w:p>
    <w:bookmarkStart w:id="190" w:name="page191"/>
    <w:bookmarkEnd w:id="190"/>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hyperlink w:anchor="page5">
        <w:r>
          <w:rPr>
            <w:rFonts w:ascii="Arial" w:cs="Arial" w:eastAsia="Arial" w:hAnsi="Arial"/>
            <w:sz w:val="12"/>
            <w:szCs w:val="12"/>
            <w:b w:val="1"/>
            <w:bCs w:val="1"/>
            <w:u w:val="single" w:color="auto"/>
            <w:color w:val="0000EE"/>
          </w:rPr>
          <w:t>Table of Contents</w:t>
        </w:r>
      </w:hyperlink>
    </w:p>
    <w:p>
      <w:pPr>
        <w:spacing w:after="0" w:line="200" w:lineRule="exact"/>
        <w:rPr>
          <w:sz w:val="20"/>
          <w:szCs w:val="20"/>
          <w:color w:val="auto"/>
        </w:rPr>
      </w:pPr>
    </w:p>
    <w:p>
      <w:pPr>
        <w:jc w:val="center"/>
        <w:ind w:right="-1220"/>
        <w:spacing w:after="0"/>
        <w:rPr>
          <w:sz w:val="20"/>
          <w:szCs w:val="20"/>
          <w:color w:val="auto"/>
        </w:rPr>
      </w:pPr>
      <w:r>
        <w:rPr>
          <w:rFonts w:ascii="Arial" w:cs="Arial" w:eastAsia="Arial" w:hAnsi="Arial"/>
          <w:sz w:val="12"/>
          <w:szCs w:val="12"/>
          <w:b w:val="1"/>
          <w:bCs w:val="1"/>
          <w:color w:val="auto"/>
        </w:rPr>
        <w:t>PELOTON INTERACTIVE, INC.</w:t>
      </w:r>
    </w:p>
    <w:p>
      <w:pPr>
        <w:spacing w:after="0" w:line="11" w:lineRule="exact"/>
        <w:rPr>
          <w:sz w:val="20"/>
          <w:szCs w:val="20"/>
          <w:color w:val="auto"/>
        </w:rPr>
      </w:pPr>
    </w:p>
    <w:p>
      <w:pPr>
        <w:jc w:val="center"/>
        <w:ind w:right="-1220"/>
        <w:spacing w:after="0"/>
        <w:rPr>
          <w:sz w:val="20"/>
          <w:szCs w:val="20"/>
          <w:color w:val="auto"/>
        </w:rPr>
      </w:pPr>
      <w:r>
        <w:rPr>
          <w:rFonts w:ascii="Arial" w:cs="Arial" w:eastAsia="Arial" w:hAnsi="Arial"/>
          <w:sz w:val="12"/>
          <w:szCs w:val="12"/>
          <w:b w:val="1"/>
          <w:bCs w:val="1"/>
          <w:color w:val="auto"/>
        </w:rPr>
        <w:t>NOTES TO CONSOLIDATED FINANCIAL STATEMENTS</w:t>
      </w:r>
    </w:p>
    <w:p>
      <w:pPr>
        <w:spacing w:after="0" w:line="80" w:lineRule="exact"/>
        <w:rPr>
          <w:sz w:val="20"/>
          <w:szCs w:val="20"/>
          <w:color w:val="auto"/>
        </w:rPr>
      </w:pPr>
    </w:p>
    <w:p>
      <w:pPr>
        <w:jc w:val="both"/>
        <w:ind w:left="2060" w:right="839"/>
        <w:spacing w:after="0"/>
        <w:rPr>
          <w:sz w:val="20"/>
          <w:szCs w:val="20"/>
          <w:color w:val="auto"/>
        </w:rPr>
      </w:pPr>
      <w:r>
        <w:rPr>
          <w:rFonts w:ascii="Arial" w:cs="Arial" w:eastAsia="Arial" w:hAnsi="Arial"/>
          <w:sz w:val="11"/>
          <w:szCs w:val="11"/>
          <w:color w:val="auto"/>
        </w:rPr>
        <w:t>Tender Offer was made to certain existing equity holders of the Company to repurchase shares of the Company’s capital stock and options to purchase such shares of capital stock from such equity holders at a gross repurchase price equal to the Series F Share Price. In connection therewith, the Company repurchased 5,503,479 shares of common stock, 1,091,444 shares of Series A Preferred Stock, 1,100,257 shares of Series B Preferred Stock, 998,368 shares of Series C Preferred Stock, and 570,970 shares of Series E Preferred Stock each at the Series F Share Price. The repurchased shares were retired and considered authorized, but not issued or outstanding, pursuant to the Company’s fourth amended and restated certificate of incorporation. The repurchase price of the redeemable convertible preferred stock, including closing costs, of $54.4 million exceeded the carrying value of $4.3 million at the date of repurchase. For the computation of net loss per share attributable to common stockholders for the fiscal year ended June 30, 2019, the repurchase price in excess of the then carrying value of the Preferred Stock of $50.1 million was recorded as a reduction to net loss in computing net loss attributable to common stockholders.</w:t>
      </w:r>
    </w:p>
    <w:p>
      <w:pPr>
        <w:spacing w:after="0" w:line="131" w:lineRule="exact"/>
        <w:rPr>
          <w:sz w:val="20"/>
          <w:szCs w:val="20"/>
          <w:color w:val="auto"/>
        </w:rPr>
      </w:pPr>
    </w:p>
    <w:p>
      <w:pPr>
        <w:jc w:val="both"/>
        <w:ind w:left="2060" w:right="839"/>
        <w:spacing w:after="0" w:line="244" w:lineRule="auto"/>
        <w:rPr>
          <w:sz w:val="20"/>
          <w:szCs w:val="20"/>
          <w:color w:val="auto"/>
        </w:rPr>
      </w:pPr>
      <w:r>
        <w:rPr>
          <w:rFonts w:ascii="Arial" w:cs="Arial" w:eastAsia="Arial" w:hAnsi="Arial"/>
          <w:sz w:val="11"/>
          <w:szCs w:val="11"/>
          <w:color w:val="auto"/>
        </w:rPr>
        <w:t xml:space="preserve">In accordance with ASC 718, </w:t>
      </w:r>
      <w:r>
        <w:rPr>
          <w:rFonts w:ascii="Arial" w:cs="Arial" w:eastAsia="Arial" w:hAnsi="Arial"/>
          <w:sz w:val="11"/>
          <w:szCs w:val="11"/>
          <w:i w:val="1"/>
          <w:iCs w:val="1"/>
          <w:color w:val="auto"/>
        </w:rPr>
        <w:t>Stock Compensation,</w:t>
      </w:r>
      <w:r>
        <w:rPr>
          <w:rFonts w:ascii="Arial" w:cs="Arial" w:eastAsia="Arial" w:hAnsi="Arial"/>
          <w:sz w:val="11"/>
          <w:szCs w:val="11"/>
          <w:color w:val="auto"/>
        </w:rPr>
        <w:t xml:space="preserve"> the Company recorded stock-based compensation expense of $28.2 million in the fiscal year ended June 30, 2019, which represents the excess of the tender offer repurchase price over the fair value of the shares repurchased which were held by employees and is included within operating expenses in the statements of operations. For shares sold by stockholders who were not employees, the Company recorded the excess of the tender offer repurchase price over the fair value of the shares repurchased as a reduction to retained earnings. The Company recorded a reduction in redeemable convertible preferred stock and stockholders’ equity, on a gross basis, of $104.8 million during the fiscal year ended June 30, 2019 for the share repurchase transaction.</w:t>
      </w:r>
    </w:p>
    <w:p>
      <w:pPr>
        <w:spacing w:after="0" w:line="139" w:lineRule="exact"/>
        <w:rPr>
          <w:sz w:val="20"/>
          <w:szCs w:val="20"/>
          <w:color w:val="auto"/>
        </w:rPr>
      </w:pPr>
    </w:p>
    <w:p>
      <w:pPr>
        <w:jc w:val="both"/>
        <w:ind w:left="2060" w:right="839"/>
        <w:spacing w:after="0" w:line="245" w:lineRule="auto"/>
        <w:rPr>
          <w:sz w:val="20"/>
          <w:szCs w:val="20"/>
          <w:color w:val="auto"/>
        </w:rPr>
      </w:pPr>
      <w:r>
        <w:rPr>
          <w:rFonts w:ascii="Arial" w:cs="Arial" w:eastAsia="Arial" w:hAnsi="Arial"/>
          <w:sz w:val="11"/>
          <w:szCs w:val="11"/>
          <w:color w:val="auto"/>
        </w:rPr>
        <w:t>In connection with the share repurchase transactions, the Company incurred transaction costs of $2.7 million directly related to the share repurchase, which are recorded as a reduction in stockholders’ deficit as of June 30, 2019.</w:t>
      </w:r>
    </w:p>
    <w:p>
      <w:pPr>
        <w:spacing w:after="0" w:line="138" w:lineRule="exact"/>
        <w:rPr>
          <w:sz w:val="20"/>
          <w:szCs w:val="20"/>
          <w:color w:val="auto"/>
        </w:rPr>
      </w:pPr>
    </w:p>
    <w:p>
      <w:pPr>
        <w:jc w:val="both"/>
        <w:ind w:left="2060" w:right="839"/>
        <w:spacing w:after="0"/>
        <w:rPr>
          <w:sz w:val="20"/>
          <w:szCs w:val="20"/>
          <w:color w:val="auto"/>
        </w:rPr>
      </w:pPr>
      <w:r>
        <w:rPr>
          <w:rFonts w:ascii="Arial" w:cs="Arial" w:eastAsia="Arial" w:hAnsi="Arial"/>
          <w:sz w:val="11"/>
          <w:szCs w:val="11"/>
          <w:color w:val="auto"/>
        </w:rPr>
        <w:t>Pursuant to ASC 718-10-25-15, the Company reflects the substantive terms of its employee share-based payments in accounting for the arrangements. With the 2018 Tender Offer, the Company believes that it has established a pattern of cash settlement of immature shares and stock options only during a very discrete set of circumstances in which the Company opens a tender offer in conjunction with preferred stock financing. As such, during the 2018 Tender Offer period, the Company recorded a liability equal to the fair value of the maximum number of options representing immature shares that could have been redeemed in the tender offer. To the extent that this liability exceeded amounts previously recognized in equity, the excess was recognized as additional stock-based compensation expense. Following the closing of the 2018 Tender Offer, the remaining liability after the repurchase of tendered shares was reclassified to stockholders’ equity. The Company recorded stock-based compensation expense of $33.5 million associated with this tender offer.</w:t>
      </w:r>
    </w:p>
    <w:p>
      <w:pPr>
        <w:spacing w:after="0" w:line="201" w:lineRule="exact"/>
        <w:rPr>
          <w:sz w:val="20"/>
          <w:szCs w:val="20"/>
          <w:color w:val="auto"/>
        </w:rPr>
      </w:pPr>
    </w:p>
    <w:p>
      <w:pPr>
        <w:ind w:left="2060"/>
        <w:spacing w:after="0"/>
        <w:rPr>
          <w:sz w:val="20"/>
          <w:szCs w:val="20"/>
          <w:color w:val="auto"/>
        </w:rPr>
      </w:pPr>
      <w:r>
        <w:rPr>
          <w:rFonts w:ascii="Arial" w:cs="Arial" w:eastAsia="Arial" w:hAnsi="Arial"/>
          <w:sz w:val="11"/>
          <w:szCs w:val="11"/>
          <w:b w:val="1"/>
          <w:bCs w:val="1"/>
          <w:i w:val="1"/>
          <w:iCs w:val="1"/>
          <w:color w:val="auto"/>
        </w:rPr>
        <w:t>Dividends</w:t>
      </w:r>
    </w:p>
    <w:p>
      <w:pPr>
        <w:spacing w:after="0" w:line="84" w:lineRule="exact"/>
        <w:rPr>
          <w:sz w:val="20"/>
          <w:szCs w:val="20"/>
          <w:color w:val="auto"/>
        </w:rPr>
      </w:pPr>
    </w:p>
    <w:p>
      <w:pPr>
        <w:jc w:val="both"/>
        <w:ind w:left="2060" w:right="839"/>
        <w:spacing w:after="0" w:line="242" w:lineRule="auto"/>
        <w:rPr>
          <w:sz w:val="20"/>
          <w:szCs w:val="20"/>
          <w:color w:val="auto"/>
        </w:rPr>
      </w:pPr>
      <w:r>
        <w:rPr>
          <w:rFonts w:ascii="Arial" w:cs="Arial" w:eastAsia="Arial" w:hAnsi="Arial"/>
          <w:sz w:val="11"/>
          <w:szCs w:val="11"/>
          <w:color w:val="auto"/>
        </w:rPr>
        <w:t>The holders of shares of preferred stock, in preference to the holders of common stock, are entitled to receive dividends upon declaration by the Board of Directors. Such dividends are non-cumulative and are payable at a per annum rate of eight percent of the original share issue price. As of June 30, 2018 and 2019, no dividends have been declared or distributed to any stockholders.</w:t>
      </w:r>
    </w:p>
    <w:p>
      <w:pPr>
        <w:spacing w:after="0" w:line="200" w:lineRule="exact"/>
        <w:rPr>
          <w:sz w:val="20"/>
          <w:szCs w:val="20"/>
          <w:color w:val="auto"/>
        </w:rPr>
      </w:pPr>
    </w:p>
    <w:p>
      <w:pPr>
        <w:ind w:left="2060"/>
        <w:spacing w:after="0"/>
        <w:rPr>
          <w:sz w:val="20"/>
          <w:szCs w:val="20"/>
          <w:color w:val="auto"/>
        </w:rPr>
      </w:pPr>
      <w:r>
        <w:rPr>
          <w:rFonts w:ascii="Arial" w:cs="Arial" w:eastAsia="Arial" w:hAnsi="Arial"/>
          <w:sz w:val="11"/>
          <w:szCs w:val="11"/>
          <w:b w:val="1"/>
          <w:bCs w:val="1"/>
          <w:i w:val="1"/>
          <w:iCs w:val="1"/>
          <w:color w:val="auto"/>
        </w:rPr>
        <w:t>Conversion</w:t>
      </w:r>
    </w:p>
    <w:p>
      <w:pPr>
        <w:spacing w:after="0" w:line="84" w:lineRule="exact"/>
        <w:rPr>
          <w:sz w:val="20"/>
          <w:szCs w:val="20"/>
          <w:color w:val="auto"/>
        </w:rPr>
      </w:pPr>
    </w:p>
    <w:p>
      <w:pPr>
        <w:jc w:val="both"/>
        <w:ind w:left="2060" w:right="839"/>
        <w:spacing w:after="0" w:line="242" w:lineRule="auto"/>
        <w:rPr>
          <w:sz w:val="20"/>
          <w:szCs w:val="20"/>
          <w:color w:val="auto"/>
        </w:rPr>
      </w:pPr>
      <w:r>
        <w:rPr>
          <w:rFonts w:ascii="Arial" w:cs="Arial" w:eastAsia="Arial" w:hAnsi="Arial"/>
          <w:sz w:val="11"/>
          <w:szCs w:val="11"/>
          <w:color w:val="auto"/>
        </w:rPr>
        <w:t>Each share of preferred stock is convertible, at any time, at its holder’s discretion, into one fully paid and non-assessable share of common stock. The conversion rate shall be adjusted whenever the Company shall issue or sell, or is deemed to have issued or sold, any shares of common stock for a consideration per share less than the conversion price in effect immediately prior to the time of such issue or sale.</w:t>
      </w:r>
    </w:p>
    <w:p>
      <w:pPr>
        <w:spacing w:after="0" w:line="140" w:lineRule="exact"/>
        <w:rPr>
          <w:sz w:val="20"/>
          <w:szCs w:val="20"/>
          <w:color w:val="auto"/>
        </w:rPr>
      </w:pPr>
    </w:p>
    <w:p>
      <w:pPr>
        <w:jc w:val="both"/>
        <w:ind w:left="2060" w:right="839"/>
        <w:spacing w:after="0" w:line="273" w:lineRule="auto"/>
        <w:rPr>
          <w:sz w:val="20"/>
          <w:szCs w:val="20"/>
          <w:color w:val="auto"/>
        </w:rPr>
      </w:pPr>
      <w:r>
        <w:rPr>
          <w:rFonts w:ascii="Arial" w:cs="Arial" w:eastAsia="Arial" w:hAnsi="Arial"/>
          <w:sz w:val="10"/>
          <w:szCs w:val="10"/>
          <w:color w:val="auto"/>
        </w:rPr>
        <w:t>The Series A Preferred Stock, Series B Preferred Stock, Series C Preferred Stock, and Series D Preferred Stock shall be automatically converted into common stock upon the consummation of a qualified initial public offering at a public offering price of not less than $30.0 million in the aggregate. The Series E Preferred Stock and Series F Preferred Stock shall be automatically converted into common stock upon the consummation of an initial public offering at a public offering price of not less than $75.0 million in the aggregate. In addition, at any time prior to consummation of an initial public offering,</w:t>
      </w:r>
    </w:p>
    <w:p>
      <w:pPr>
        <w:spacing w:after="0" w:line="80" w:lineRule="exact"/>
        <w:rPr>
          <w:sz w:val="20"/>
          <w:szCs w:val="20"/>
          <w:color w:val="auto"/>
        </w:rPr>
      </w:pPr>
    </w:p>
    <w:p>
      <w:pPr>
        <w:ind w:left="5620"/>
        <w:spacing w:after="0"/>
        <w:rPr>
          <w:sz w:val="20"/>
          <w:szCs w:val="20"/>
          <w:color w:val="auto"/>
        </w:rPr>
      </w:pPr>
      <w:r>
        <w:rPr>
          <w:rFonts w:ascii="Arial" w:cs="Arial" w:eastAsia="Arial" w:hAnsi="Arial"/>
          <w:sz w:val="11"/>
          <w:szCs w:val="11"/>
          <w:color w:val="auto"/>
        </w:rPr>
        <w:t>F-27</w:t>
      </w:r>
    </w:p>
    <w:p>
      <w:pPr>
        <w:sectPr>
          <w:pgSz w:w="11900" w:h="16838" w:orient="portrait"/>
          <w:cols w:equalWidth="0" w:num="1">
            <w:col w:w="10239"/>
          </w:cols>
          <w:pgMar w:left="220" w:top="354" w:right="1440" w:bottom="1440" w:gutter="0" w:footer="0" w:header="0"/>
        </w:sectPr>
      </w:pPr>
    </w:p>
    <w:bookmarkStart w:id="191" w:name="page192"/>
    <w:bookmarkEnd w:id="191"/>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hyperlink w:anchor="page5">
        <w:r>
          <w:rPr>
            <w:rFonts w:ascii="Arial" w:cs="Arial" w:eastAsia="Arial" w:hAnsi="Arial"/>
            <w:sz w:val="12"/>
            <w:szCs w:val="12"/>
            <w:b w:val="1"/>
            <w:bCs w:val="1"/>
            <w:u w:val="single" w:color="auto"/>
            <w:color w:val="0000EE"/>
          </w:rPr>
          <w:t>Table of Contents</w:t>
        </w:r>
      </w:hyperlink>
    </w:p>
    <w:p>
      <w:pPr>
        <w:spacing w:after="0" w:line="200" w:lineRule="exact"/>
        <w:rPr>
          <w:sz w:val="20"/>
          <w:szCs w:val="20"/>
          <w:color w:val="auto"/>
        </w:rPr>
      </w:pPr>
    </w:p>
    <w:p>
      <w:pPr>
        <w:jc w:val="center"/>
        <w:ind w:right="-1220"/>
        <w:spacing w:after="0"/>
        <w:rPr>
          <w:sz w:val="20"/>
          <w:szCs w:val="20"/>
          <w:color w:val="auto"/>
        </w:rPr>
      </w:pPr>
      <w:r>
        <w:rPr>
          <w:rFonts w:ascii="Arial" w:cs="Arial" w:eastAsia="Arial" w:hAnsi="Arial"/>
          <w:sz w:val="12"/>
          <w:szCs w:val="12"/>
          <w:b w:val="1"/>
          <w:bCs w:val="1"/>
          <w:color w:val="auto"/>
        </w:rPr>
        <w:t>PELOTON INTERACTIVE, INC.</w:t>
      </w:r>
    </w:p>
    <w:p>
      <w:pPr>
        <w:spacing w:after="0" w:line="11" w:lineRule="exact"/>
        <w:rPr>
          <w:sz w:val="20"/>
          <w:szCs w:val="20"/>
          <w:color w:val="auto"/>
        </w:rPr>
      </w:pPr>
    </w:p>
    <w:p>
      <w:pPr>
        <w:jc w:val="center"/>
        <w:ind w:right="-1220"/>
        <w:spacing w:after="0"/>
        <w:rPr>
          <w:sz w:val="20"/>
          <w:szCs w:val="20"/>
          <w:color w:val="auto"/>
        </w:rPr>
      </w:pPr>
      <w:r>
        <w:rPr>
          <w:rFonts w:ascii="Arial" w:cs="Arial" w:eastAsia="Arial" w:hAnsi="Arial"/>
          <w:sz w:val="12"/>
          <w:szCs w:val="12"/>
          <w:b w:val="1"/>
          <w:bCs w:val="1"/>
          <w:color w:val="auto"/>
        </w:rPr>
        <w:t>NOTES TO CONSOLIDATED FINANCIAL STATEMENTS</w:t>
      </w:r>
    </w:p>
    <w:p>
      <w:pPr>
        <w:spacing w:after="0" w:line="80" w:lineRule="exact"/>
        <w:rPr>
          <w:sz w:val="20"/>
          <w:szCs w:val="20"/>
          <w:color w:val="auto"/>
        </w:rPr>
      </w:pPr>
    </w:p>
    <w:p>
      <w:pPr>
        <w:jc w:val="both"/>
        <w:ind w:left="2060" w:right="839" w:hanging="1"/>
        <w:spacing w:after="0"/>
        <w:tabs>
          <w:tab w:leader="none" w:pos="2222" w:val="left"/>
        </w:tabs>
        <w:numPr>
          <w:ilvl w:val="0"/>
          <w:numId w:val="115"/>
        </w:numPr>
        <w:rPr>
          <w:rFonts w:ascii="Arial" w:cs="Arial" w:eastAsia="Arial" w:hAnsi="Arial"/>
          <w:sz w:val="11"/>
          <w:szCs w:val="11"/>
          <w:color w:val="auto"/>
        </w:rPr>
      </w:pPr>
      <w:r>
        <w:rPr>
          <w:rFonts w:ascii="Arial" w:cs="Arial" w:eastAsia="Arial" w:hAnsi="Arial"/>
          <w:sz w:val="11"/>
          <w:szCs w:val="11"/>
          <w:color w:val="auto"/>
        </w:rPr>
        <w:t>all of the outstanding shares of Series A Preferred Stock, Series B Preferred Stock, and Series C Preferred Stock shall be automatically converted into common stock upon the affirmative election of holders of a majority of the outstanding shares of the Series A Preferred Stock, Series B Preferred Stock, and Series C Preferred Stock, voting together as a single class on an as-converted to common stock basis; (2) all of the outstanding shares of Series D Preferred Stock shall be automatically converted into common stock upon the affirmative election of holders of a majority of the outstanding shares of Series D Preferred Stock; (3) all of the outstanding shares of Series E Preferred Stock shall be automatically converted into common stock upon the affirmative election of holders of a majority of the outstanding shares of Series E Preferred Stock; and (4) all of the outstanding shares of Series F Preferred Stock shall be automatically converted into common stock upon the affirmative election of holders of at least 55% of the outstanding shares of Series F Preferred Stock. Upon any such automatic conversion, any declared and unpaid dividends shall be paid.</w:t>
      </w:r>
    </w:p>
    <w:p>
      <w:pPr>
        <w:spacing w:after="0" w:line="201" w:lineRule="exact"/>
        <w:rPr>
          <w:sz w:val="20"/>
          <w:szCs w:val="20"/>
          <w:color w:val="auto"/>
        </w:rPr>
      </w:pPr>
    </w:p>
    <w:p>
      <w:pPr>
        <w:ind w:left="2060"/>
        <w:spacing w:after="0"/>
        <w:rPr>
          <w:sz w:val="20"/>
          <w:szCs w:val="20"/>
          <w:color w:val="auto"/>
        </w:rPr>
      </w:pPr>
      <w:r>
        <w:rPr>
          <w:rFonts w:ascii="Arial" w:cs="Arial" w:eastAsia="Arial" w:hAnsi="Arial"/>
          <w:sz w:val="11"/>
          <w:szCs w:val="11"/>
          <w:b w:val="1"/>
          <w:bCs w:val="1"/>
          <w:i w:val="1"/>
          <w:iCs w:val="1"/>
          <w:color w:val="auto"/>
        </w:rPr>
        <w:t>Liquidation Preferences</w:t>
      </w:r>
    </w:p>
    <w:p>
      <w:pPr>
        <w:spacing w:after="0" w:line="84" w:lineRule="exact"/>
        <w:rPr>
          <w:sz w:val="20"/>
          <w:szCs w:val="20"/>
          <w:color w:val="auto"/>
        </w:rPr>
      </w:pPr>
    </w:p>
    <w:p>
      <w:pPr>
        <w:jc w:val="both"/>
        <w:ind w:left="2060" w:right="839"/>
        <w:spacing w:after="0"/>
        <w:rPr>
          <w:sz w:val="20"/>
          <w:szCs w:val="20"/>
          <w:color w:val="auto"/>
        </w:rPr>
      </w:pPr>
      <w:r>
        <w:rPr>
          <w:rFonts w:ascii="Arial" w:cs="Arial" w:eastAsia="Arial" w:hAnsi="Arial"/>
          <w:sz w:val="11"/>
          <w:szCs w:val="11"/>
          <w:color w:val="auto"/>
        </w:rPr>
        <w:t>In the event of any liquidation, dissolution or winding up of the Company, whether voluntary or involuntary, holders of Series B Preferred Stock, Series C Preferred Stock, Series D Preferred Stock, Series E Preferred Stock, and Series F Preferred Stock, in preference to the holders of Series A Preferred Stock and common stock, shall be entitled to be paid out of the assets of the Company that are legally available for distribution, an amount equal to the applicable original issue price per share, for each share of Preferred Stock held by them, plus all declared but unpaid dividends on such shares. In the event that the assets available for distribution are not sufficient to pay the full preferential amounts, the assets will be distributed pro rata among the holders of Series B Preferred Stock, Series C Preferred Stock, Series D Preferred Stock, Series E Preferred Stock, and Series F Preferred Stock, in proportion to the full preferential amount that each such holder would otherwise be entitled to receive. The aggregate preferential amount for Series B Preferred Stock, Series C Preferred Stock, Series D Preferred Stock, and Series E Preferred Stock, and Series F Preferred Stock was $413.6 million and $959.5 million as of June 30, 2018 and 2019, respectively.</w:t>
      </w:r>
    </w:p>
    <w:p>
      <w:pPr>
        <w:spacing w:after="0" w:line="141" w:lineRule="exact"/>
        <w:rPr>
          <w:sz w:val="20"/>
          <w:szCs w:val="20"/>
          <w:color w:val="auto"/>
        </w:rPr>
      </w:pPr>
    </w:p>
    <w:p>
      <w:pPr>
        <w:jc w:val="both"/>
        <w:ind w:left="2060" w:right="839"/>
        <w:spacing w:after="0" w:line="268" w:lineRule="auto"/>
        <w:rPr>
          <w:sz w:val="20"/>
          <w:szCs w:val="20"/>
          <w:color w:val="auto"/>
        </w:rPr>
      </w:pPr>
      <w:r>
        <w:rPr>
          <w:rFonts w:ascii="Arial" w:cs="Arial" w:eastAsia="Arial" w:hAnsi="Arial"/>
          <w:sz w:val="10"/>
          <w:szCs w:val="10"/>
          <w:color w:val="auto"/>
        </w:rPr>
        <w:t>After payment of the full liquidation preference of the Series B Preferred Stock, Series C Preferred Stock, Series D Preferred Stock, Series E Preferred Stock, and Series F Preferred Stock, before any distribution or payment shall be made to the holders of common stock, the holders of Series A Preferred Stock shall be entitled to be paid out of the remaining assets of the Company legally available for distribution, if any, in an amount equal to the applicable original issue price per share, for each share of Preferred Stock held by them, plus all declared and unpaid dividends on the Series A Preferred Stock. In the event that the assets available for distribution are not sufficient to pay the full such preferential amount, the available assets shall be distributed pro rata among the holders of Series A Preferred Stock in proportion to the full preferential amount that each such holder would otherwise be entitled to receive. The aggregate preferential amount for the Series A Preferred Stock was $2.7 million and $2.4 million as of June 30, 2018 and 2019.</w:t>
      </w:r>
    </w:p>
    <w:p>
      <w:pPr>
        <w:spacing w:after="0" w:line="128" w:lineRule="exact"/>
        <w:rPr>
          <w:sz w:val="20"/>
          <w:szCs w:val="20"/>
          <w:color w:val="auto"/>
        </w:rPr>
      </w:pPr>
    </w:p>
    <w:p>
      <w:pPr>
        <w:jc w:val="both"/>
        <w:ind w:left="2060" w:right="839"/>
        <w:spacing w:after="0" w:line="242" w:lineRule="auto"/>
        <w:rPr>
          <w:sz w:val="20"/>
          <w:szCs w:val="20"/>
          <w:color w:val="auto"/>
        </w:rPr>
      </w:pPr>
      <w:r>
        <w:rPr>
          <w:rFonts w:ascii="Arial" w:cs="Arial" w:eastAsia="Arial" w:hAnsi="Arial"/>
          <w:sz w:val="11"/>
          <w:szCs w:val="11"/>
          <w:color w:val="auto"/>
        </w:rPr>
        <w:t>After payment of the liquidation preferences to the holders of the Series A Preferred Stock, Series B Preferred Stock, Series C Preferred Stock, Series D Preferred Stock, and Series E Preferred Stock, and Series F Preferred Stock, the entire remaining assets and funds of the Company legally available for distribution, if any, shall be distributed ratably to the holders of common stock.</w:t>
      </w:r>
    </w:p>
    <w:p>
      <w:pPr>
        <w:spacing w:after="0" w:line="200" w:lineRule="exact"/>
        <w:rPr>
          <w:sz w:val="20"/>
          <w:szCs w:val="20"/>
          <w:color w:val="auto"/>
        </w:rPr>
      </w:pPr>
    </w:p>
    <w:p>
      <w:pPr>
        <w:ind w:left="2060"/>
        <w:spacing w:after="0"/>
        <w:rPr>
          <w:sz w:val="20"/>
          <w:szCs w:val="20"/>
          <w:color w:val="auto"/>
        </w:rPr>
      </w:pPr>
      <w:r>
        <w:rPr>
          <w:rFonts w:ascii="Arial" w:cs="Arial" w:eastAsia="Arial" w:hAnsi="Arial"/>
          <w:sz w:val="11"/>
          <w:szCs w:val="11"/>
          <w:b w:val="1"/>
          <w:bCs w:val="1"/>
          <w:i w:val="1"/>
          <w:iCs w:val="1"/>
          <w:color w:val="auto"/>
        </w:rPr>
        <w:t>Voting</w:t>
      </w:r>
    </w:p>
    <w:p>
      <w:pPr>
        <w:spacing w:after="0" w:line="84" w:lineRule="exact"/>
        <w:rPr>
          <w:sz w:val="20"/>
          <w:szCs w:val="20"/>
          <w:color w:val="auto"/>
        </w:rPr>
      </w:pPr>
    </w:p>
    <w:p>
      <w:pPr>
        <w:jc w:val="both"/>
        <w:ind w:left="2060" w:right="839"/>
        <w:spacing w:after="0" w:line="245" w:lineRule="auto"/>
        <w:rPr>
          <w:sz w:val="20"/>
          <w:szCs w:val="20"/>
          <w:color w:val="auto"/>
        </w:rPr>
      </w:pPr>
      <w:r>
        <w:rPr>
          <w:rFonts w:ascii="Arial" w:cs="Arial" w:eastAsia="Arial" w:hAnsi="Arial"/>
          <w:sz w:val="11"/>
          <w:szCs w:val="11"/>
          <w:color w:val="auto"/>
        </w:rPr>
        <w:t>The holder of each share of preferred stock is entitled to one vote for each share of common stock into which such preferred stock is convertible at the time of the vote. With respect to such vote, such holder has full voting rights and powers equal to the voting rights of the holders of common stock.</w:t>
      </w:r>
    </w:p>
    <w:p>
      <w:pPr>
        <w:spacing w:after="0" w:line="138" w:lineRule="exact"/>
        <w:rPr>
          <w:sz w:val="20"/>
          <w:szCs w:val="20"/>
          <w:color w:val="auto"/>
        </w:rPr>
      </w:pPr>
    </w:p>
    <w:p>
      <w:pPr>
        <w:jc w:val="both"/>
        <w:ind w:left="2060" w:right="839"/>
        <w:spacing w:after="0"/>
        <w:rPr>
          <w:sz w:val="20"/>
          <w:szCs w:val="20"/>
          <w:color w:val="auto"/>
        </w:rPr>
      </w:pPr>
      <w:r>
        <w:rPr>
          <w:rFonts w:ascii="Arial" w:cs="Arial" w:eastAsia="Arial" w:hAnsi="Arial"/>
          <w:sz w:val="11"/>
          <w:szCs w:val="11"/>
          <w:color w:val="auto"/>
        </w:rPr>
        <w:t>For so long as any shares of preferred stock remain outstanding, the vote or written consent of the holders of a majority of the outstanding preferred stock shall be required for effecting or validating certain actions, including: (1) consummation of a liquidation event or any other merger or consolidation; (2) any amendment, alteration, or repeal of the certificate of incorporation or the bylaws of the Company; (3) any increase or decrease in the authorized number of shares of common stock or preferred stock or any series thereof; (4) any authorization or designation, whether by reclassification or otherwise, of a new class or series of stock that is not junior to the existing series of preferred stock with respect to dividends,</w:t>
      </w:r>
    </w:p>
    <w:p>
      <w:pPr>
        <w:spacing w:after="0" w:line="97" w:lineRule="exact"/>
        <w:rPr>
          <w:sz w:val="20"/>
          <w:szCs w:val="20"/>
          <w:color w:val="auto"/>
        </w:rPr>
      </w:pPr>
    </w:p>
    <w:p>
      <w:pPr>
        <w:ind w:left="5620"/>
        <w:spacing w:after="0"/>
        <w:rPr>
          <w:sz w:val="20"/>
          <w:szCs w:val="20"/>
          <w:color w:val="auto"/>
        </w:rPr>
      </w:pPr>
      <w:r>
        <w:rPr>
          <w:rFonts w:ascii="Arial" w:cs="Arial" w:eastAsia="Arial" w:hAnsi="Arial"/>
          <w:sz w:val="11"/>
          <w:szCs w:val="11"/>
          <w:color w:val="auto"/>
        </w:rPr>
        <w:t>F-28</w:t>
      </w:r>
    </w:p>
    <w:p>
      <w:pPr>
        <w:sectPr>
          <w:pgSz w:w="11900" w:h="16838" w:orient="portrait"/>
          <w:cols w:equalWidth="0" w:num="1">
            <w:col w:w="10239"/>
          </w:cols>
          <w:pgMar w:left="220" w:top="354" w:right="1440" w:bottom="1440" w:gutter="0" w:footer="0" w:header="0"/>
        </w:sectPr>
      </w:pPr>
    </w:p>
    <w:bookmarkStart w:id="192" w:name="page193"/>
    <w:bookmarkEnd w:id="192"/>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hyperlink w:anchor="page5">
        <w:r>
          <w:rPr>
            <w:rFonts w:ascii="Arial" w:cs="Arial" w:eastAsia="Arial" w:hAnsi="Arial"/>
            <w:sz w:val="12"/>
            <w:szCs w:val="12"/>
            <w:b w:val="1"/>
            <w:bCs w:val="1"/>
            <w:u w:val="single" w:color="auto"/>
            <w:color w:val="0000EE"/>
          </w:rPr>
          <w:t>Table of Contents</w:t>
        </w:r>
      </w:hyperlink>
    </w:p>
    <w:p>
      <w:pPr>
        <w:spacing w:after="0" w:line="200" w:lineRule="exact"/>
        <w:rPr>
          <w:sz w:val="20"/>
          <w:szCs w:val="20"/>
          <w:color w:val="auto"/>
        </w:rPr>
      </w:pPr>
    </w:p>
    <w:p>
      <w:pPr>
        <w:jc w:val="center"/>
        <w:ind w:right="-1220"/>
        <w:spacing w:after="0"/>
        <w:rPr>
          <w:sz w:val="20"/>
          <w:szCs w:val="20"/>
          <w:color w:val="auto"/>
        </w:rPr>
      </w:pPr>
      <w:r>
        <w:rPr>
          <w:rFonts w:ascii="Arial" w:cs="Arial" w:eastAsia="Arial" w:hAnsi="Arial"/>
          <w:sz w:val="12"/>
          <w:szCs w:val="12"/>
          <w:b w:val="1"/>
          <w:bCs w:val="1"/>
          <w:color w:val="auto"/>
        </w:rPr>
        <w:t>PELOTON INTERACTIVE, INC.</w:t>
      </w:r>
    </w:p>
    <w:p>
      <w:pPr>
        <w:spacing w:after="0" w:line="11" w:lineRule="exact"/>
        <w:rPr>
          <w:sz w:val="20"/>
          <w:szCs w:val="20"/>
          <w:color w:val="auto"/>
        </w:rPr>
      </w:pPr>
    </w:p>
    <w:p>
      <w:pPr>
        <w:jc w:val="center"/>
        <w:ind w:right="-1220"/>
        <w:spacing w:after="0"/>
        <w:rPr>
          <w:sz w:val="20"/>
          <w:szCs w:val="20"/>
          <w:color w:val="auto"/>
        </w:rPr>
      </w:pPr>
      <w:r>
        <w:rPr>
          <w:rFonts w:ascii="Arial" w:cs="Arial" w:eastAsia="Arial" w:hAnsi="Arial"/>
          <w:sz w:val="12"/>
          <w:szCs w:val="12"/>
          <w:b w:val="1"/>
          <w:bCs w:val="1"/>
          <w:color w:val="auto"/>
        </w:rPr>
        <w:t>NOTES TO CONSOLIDATED FINANCIAL STATEMENTS</w:t>
      </w:r>
    </w:p>
    <w:p>
      <w:pPr>
        <w:spacing w:after="0" w:line="80" w:lineRule="exact"/>
        <w:rPr>
          <w:sz w:val="20"/>
          <w:szCs w:val="20"/>
          <w:color w:val="auto"/>
        </w:rPr>
      </w:pPr>
    </w:p>
    <w:p>
      <w:pPr>
        <w:jc w:val="both"/>
        <w:ind w:left="2060" w:right="839"/>
        <w:spacing w:after="0" w:line="239" w:lineRule="auto"/>
        <w:rPr>
          <w:sz w:val="20"/>
          <w:szCs w:val="20"/>
          <w:color w:val="auto"/>
        </w:rPr>
      </w:pPr>
      <w:r>
        <w:rPr>
          <w:rFonts w:ascii="Arial" w:cs="Arial" w:eastAsia="Arial" w:hAnsi="Arial"/>
          <w:sz w:val="11"/>
          <w:szCs w:val="11"/>
          <w:color w:val="auto"/>
        </w:rPr>
        <w:t>liquidation or redemption; (5) any redemption, repurchase, payment or declaration of dividends or other distributions with respect to common stock and preferred stock, other than certain permitted transactions; (6) any change in the authorized number of members of the Company’s Board of Directors;</w:t>
      </w:r>
    </w:p>
    <w:p>
      <w:pPr>
        <w:jc w:val="both"/>
        <w:ind w:left="2060" w:right="839" w:hanging="1"/>
        <w:spacing w:after="0" w:line="242" w:lineRule="auto"/>
        <w:tabs>
          <w:tab w:leader="none" w:pos="2225" w:val="left"/>
        </w:tabs>
        <w:numPr>
          <w:ilvl w:val="0"/>
          <w:numId w:val="116"/>
        </w:numPr>
        <w:rPr>
          <w:rFonts w:ascii="Arial" w:cs="Arial" w:eastAsia="Arial" w:hAnsi="Arial"/>
          <w:sz w:val="11"/>
          <w:szCs w:val="11"/>
          <w:color w:val="auto"/>
        </w:rPr>
      </w:pPr>
      <w:r>
        <w:rPr>
          <w:rFonts w:ascii="Arial" w:cs="Arial" w:eastAsia="Arial" w:hAnsi="Arial"/>
          <w:sz w:val="11"/>
          <w:szCs w:val="11"/>
          <w:color w:val="auto"/>
        </w:rPr>
        <w:t>payment or declaration of any dividend on any shares of capital stock of the Company; and (8) any transactions resulting in a creation or reduction of the Company’s ownership interest in any subsidiary, other than an asset transfer or acquisition that has been approved in accordance with the Company’s certificate of incorporation.</w:t>
      </w:r>
    </w:p>
    <w:p>
      <w:pPr>
        <w:spacing w:after="0" w:line="130" w:lineRule="exact"/>
        <w:rPr>
          <w:sz w:val="20"/>
          <w:szCs w:val="20"/>
          <w:color w:val="auto"/>
        </w:rPr>
      </w:pPr>
    </w:p>
    <w:p>
      <w:pPr>
        <w:jc w:val="both"/>
        <w:ind w:left="2060" w:right="839"/>
        <w:spacing w:after="0" w:line="264" w:lineRule="auto"/>
        <w:rPr>
          <w:sz w:val="20"/>
          <w:szCs w:val="20"/>
          <w:color w:val="auto"/>
        </w:rPr>
      </w:pPr>
      <w:r>
        <w:rPr>
          <w:rFonts w:ascii="Arial" w:cs="Arial" w:eastAsia="Arial" w:hAnsi="Arial"/>
          <w:sz w:val="11"/>
          <w:szCs w:val="11"/>
          <w:color w:val="auto"/>
        </w:rPr>
        <w:t xml:space="preserve">The Company classifies preferred stock in accordance with ASC 480, </w:t>
      </w:r>
      <w:r>
        <w:rPr>
          <w:rFonts w:ascii="Arial" w:cs="Arial" w:eastAsia="Arial" w:hAnsi="Arial"/>
          <w:sz w:val="11"/>
          <w:szCs w:val="11"/>
          <w:i w:val="1"/>
          <w:iCs w:val="1"/>
          <w:color w:val="auto"/>
        </w:rPr>
        <w:t>Distinguishing Liabilities from Equity</w:t>
      </w:r>
      <w:r>
        <w:rPr>
          <w:rFonts w:ascii="Arial" w:cs="Arial" w:eastAsia="Arial" w:hAnsi="Arial"/>
          <w:sz w:val="11"/>
          <w:szCs w:val="11"/>
          <w:color w:val="auto"/>
        </w:rPr>
        <w:t>, which requires that contingently redeemable securities be classified outside of permanent stockholders’ equity.</w:t>
      </w:r>
    </w:p>
    <w:p>
      <w:pPr>
        <w:spacing w:after="0" w:line="128" w:lineRule="exact"/>
        <w:rPr>
          <w:sz w:val="20"/>
          <w:szCs w:val="20"/>
          <w:color w:val="auto"/>
        </w:rPr>
      </w:pPr>
    </w:p>
    <w:p>
      <w:pPr>
        <w:jc w:val="both"/>
        <w:ind w:left="2060" w:right="839"/>
        <w:spacing w:after="0" w:line="245" w:lineRule="auto"/>
        <w:rPr>
          <w:sz w:val="20"/>
          <w:szCs w:val="20"/>
          <w:color w:val="auto"/>
        </w:rPr>
      </w:pPr>
      <w:r>
        <w:rPr>
          <w:rFonts w:ascii="Arial" w:cs="Arial" w:eastAsia="Arial" w:hAnsi="Arial"/>
          <w:sz w:val="11"/>
          <w:szCs w:val="11"/>
          <w:color w:val="auto"/>
        </w:rPr>
        <w:t>Accordingly, the Company has classified all shares and classes of preferred stock as mezzanine equity in the accompanying financial statements as of June 30, 2018 and 2019.</w:t>
      </w:r>
    </w:p>
    <w:p>
      <w:pPr>
        <w:spacing w:after="0" w:line="138" w:lineRule="exact"/>
        <w:rPr>
          <w:sz w:val="20"/>
          <w:szCs w:val="20"/>
          <w:color w:val="auto"/>
        </w:rPr>
      </w:pPr>
    </w:p>
    <w:p>
      <w:pPr>
        <w:ind w:left="2060"/>
        <w:spacing w:after="0"/>
        <w:rPr>
          <w:sz w:val="20"/>
          <w:szCs w:val="20"/>
          <w:color w:val="auto"/>
        </w:rPr>
      </w:pPr>
      <w:r>
        <w:rPr>
          <w:rFonts w:ascii="Arial" w:cs="Arial" w:eastAsia="Arial" w:hAnsi="Arial"/>
          <w:sz w:val="11"/>
          <w:szCs w:val="11"/>
          <w:color w:val="auto"/>
        </w:rPr>
        <w:t>Convertible redeemable preferred stock consisted of the following as of June 30, 2018:</w:t>
      </w:r>
    </w:p>
    <w:p>
      <w:pPr>
        <w:spacing w:after="0" w:line="149" w:lineRule="exact"/>
        <w:rPr>
          <w:sz w:val="20"/>
          <w:szCs w:val="20"/>
          <w:color w:val="auto"/>
        </w:rPr>
      </w:pPr>
    </w:p>
    <w:tbl>
      <w:tblPr>
        <w:tblLayout w:type="fixed"/>
        <w:tblInd w:w="2060" w:type="dxa"/>
        <w:tblCellMar>
          <w:top w:w="0" w:type="dxa"/>
          <w:left w:w="0" w:type="dxa"/>
          <w:bottom w:w="0" w:type="dxa"/>
          <w:right w:w="0" w:type="dxa"/>
        </w:tblCellMar>
      </w:tblPr>
      <w:tr>
        <w:trPr>
          <w:trHeight w:val="126"/>
        </w:trPr>
        <w:tc>
          <w:tcPr>
            <w:tcW w:w="40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00" w:type="dxa"/>
            <w:vAlign w:val="bottom"/>
          </w:tcPr>
          <w:p>
            <w:pPr>
              <w:jc w:val="right"/>
              <w:ind w:right="86"/>
              <w:spacing w:after="0"/>
              <w:rPr>
                <w:sz w:val="20"/>
                <w:szCs w:val="20"/>
                <w:color w:val="auto"/>
              </w:rPr>
            </w:pPr>
            <w:r>
              <w:rPr>
                <w:rFonts w:ascii="Arial" w:cs="Arial" w:eastAsia="Arial" w:hAnsi="Arial"/>
                <w:sz w:val="11"/>
                <w:szCs w:val="11"/>
                <w:b w:val="1"/>
                <w:bCs w:val="1"/>
                <w:color w:val="auto"/>
              </w:rPr>
              <w:t>Net</w:t>
            </w:r>
          </w:p>
        </w:tc>
        <w:tc>
          <w:tcPr>
            <w:tcW w:w="1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0" w:type="dxa"/>
            <w:vAlign w:val="bottom"/>
          </w:tcPr>
          <w:p>
            <w:pPr>
              <w:spacing w:after="0"/>
              <w:rPr>
                <w:sz w:val="10"/>
                <w:szCs w:val="10"/>
                <w:color w:val="auto"/>
              </w:rPr>
            </w:pPr>
          </w:p>
        </w:tc>
      </w:tr>
      <w:tr>
        <w:trPr>
          <w:trHeight w:val="126"/>
        </w:trPr>
        <w:tc>
          <w:tcPr>
            <w:tcW w:w="4040" w:type="dxa"/>
            <w:vAlign w:val="bottom"/>
          </w:tcPr>
          <w:p>
            <w:pPr>
              <w:spacing w:after="0"/>
              <w:rPr>
                <w:sz w:val="10"/>
                <w:szCs w:val="10"/>
                <w:color w:val="auto"/>
              </w:rPr>
            </w:pPr>
          </w:p>
        </w:tc>
        <w:tc>
          <w:tcPr>
            <w:tcW w:w="640" w:type="dxa"/>
            <w:vAlign w:val="bottom"/>
          </w:tcPr>
          <w:p>
            <w:pPr>
              <w:jc w:val="right"/>
              <w:ind w:right="86"/>
              <w:spacing w:after="0"/>
              <w:rPr>
                <w:sz w:val="20"/>
                <w:szCs w:val="20"/>
                <w:color w:val="auto"/>
              </w:rPr>
            </w:pPr>
            <w:r>
              <w:rPr>
                <w:rFonts w:ascii="Arial" w:cs="Arial" w:eastAsia="Arial" w:hAnsi="Arial"/>
                <w:sz w:val="11"/>
                <w:szCs w:val="11"/>
                <w:b w:val="1"/>
                <w:bCs w:val="1"/>
                <w:color w:val="auto"/>
              </w:rPr>
              <w:t>Shares</w:t>
            </w:r>
          </w:p>
        </w:tc>
        <w:tc>
          <w:tcPr>
            <w:tcW w:w="120" w:type="dxa"/>
            <w:vAlign w:val="bottom"/>
          </w:tcPr>
          <w:p>
            <w:pPr>
              <w:spacing w:after="0"/>
              <w:rPr>
                <w:sz w:val="10"/>
                <w:szCs w:val="10"/>
                <w:color w:val="auto"/>
              </w:rPr>
            </w:pPr>
          </w:p>
        </w:tc>
        <w:tc>
          <w:tcPr>
            <w:tcW w:w="640" w:type="dxa"/>
            <w:vAlign w:val="bottom"/>
          </w:tcPr>
          <w:p>
            <w:pPr>
              <w:jc w:val="right"/>
              <w:ind w:right="86"/>
              <w:spacing w:after="0"/>
              <w:rPr>
                <w:sz w:val="20"/>
                <w:szCs w:val="20"/>
                <w:color w:val="auto"/>
              </w:rPr>
            </w:pPr>
            <w:r>
              <w:rPr>
                <w:rFonts w:ascii="Arial" w:cs="Arial" w:eastAsia="Arial" w:hAnsi="Arial"/>
                <w:sz w:val="11"/>
                <w:szCs w:val="11"/>
                <w:b w:val="1"/>
                <w:bCs w:val="1"/>
                <w:color w:val="auto"/>
              </w:rPr>
              <w:t>Shares</w:t>
            </w:r>
          </w:p>
        </w:tc>
        <w:tc>
          <w:tcPr>
            <w:tcW w:w="120" w:type="dxa"/>
            <w:vAlign w:val="bottom"/>
          </w:tcPr>
          <w:p>
            <w:pPr>
              <w:spacing w:after="0"/>
              <w:rPr>
                <w:sz w:val="10"/>
                <w:szCs w:val="10"/>
                <w:color w:val="auto"/>
              </w:rPr>
            </w:pPr>
          </w:p>
        </w:tc>
        <w:tc>
          <w:tcPr>
            <w:tcW w:w="460" w:type="dxa"/>
            <w:vAlign w:val="bottom"/>
          </w:tcPr>
          <w:p>
            <w:pPr>
              <w:jc w:val="right"/>
              <w:spacing w:after="0"/>
              <w:rPr>
                <w:sz w:val="20"/>
                <w:szCs w:val="20"/>
                <w:color w:val="auto"/>
              </w:rPr>
            </w:pPr>
            <w:r>
              <w:rPr>
                <w:rFonts w:ascii="Arial" w:cs="Arial" w:eastAsia="Arial" w:hAnsi="Arial"/>
                <w:sz w:val="11"/>
                <w:szCs w:val="11"/>
                <w:b w:val="1"/>
                <w:bCs w:val="1"/>
                <w:color w:val="auto"/>
                <w:w w:val="93"/>
              </w:rPr>
              <w:t>Price per</w:t>
            </w:r>
          </w:p>
        </w:tc>
        <w:tc>
          <w:tcPr>
            <w:tcW w:w="180" w:type="dxa"/>
            <w:vAlign w:val="bottom"/>
          </w:tcPr>
          <w:p>
            <w:pPr>
              <w:spacing w:after="0"/>
              <w:rPr>
                <w:sz w:val="10"/>
                <w:szCs w:val="10"/>
                <w:color w:val="auto"/>
              </w:rPr>
            </w:pPr>
          </w:p>
        </w:tc>
        <w:tc>
          <w:tcPr>
            <w:tcW w:w="400" w:type="dxa"/>
            <w:vAlign w:val="bottom"/>
          </w:tcPr>
          <w:p>
            <w:pPr>
              <w:spacing w:after="0"/>
              <w:rPr>
                <w:sz w:val="20"/>
                <w:szCs w:val="20"/>
                <w:color w:val="auto"/>
              </w:rPr>
            </w:pPr>
            <w:r>
              <w:rPr>
                <w:rFonts w:ascii="Arial" w:cs="Arial" w:eastAsia="Arial" w:hAnsi="Arial"/>
                <w:sz w:val="11"/>
                <w:szCs w:val="11"/>
                <w:b w:val="1"/>
                <w:bCs w:val="1"/>
                <w:color w:val="auto"/>
                <w:w w:val="83"/>
              </w:rPr>
              <w:t>Carrying</w:t>
            </w:r>
          </w:p>
        </w:tc>
        <w:tc>
          <w:tcPr>
            <w:tcW w:w="120" w:type="dxa"/>
            <w:vAlign w:val="bottom"/>
          </w:tcPr>
          <w:p>
            <w:pPr>
              <w:spacing w:after="0"/>
              <w:rPr>
                <w:sz w:val="10"/>
                <w:szCs w:val="10"/>
                <w:color w:val="auto"/>
              </w:rPr>
            </w:pPr>
          </w:p>
        </w:tc>
        <w:tc>
          <w:tcPr>
            <w:tcW w:w="640" w:type="dxa"/>
            <w:vAlign w:val="bottom"/>
            <w:gridSpan w:val="3"/>
          </w:tcPr>
          <w:p>
            <w:pPr>
              <w:spacing w:after="0"/>
              <w:rPr>
                <w:sz w:val="20"/>
                <w:szCs w:val="20"/>
                <w:color w:val="auto"/>
              </w:rPr>
            </w:pPr>
            <w:r>
              <w:rPr>
                <w:rFonts w:ascii="Arial" w:cs="Arial" w:eastAsia="Arial" w:hAnsi="Arial"/>
                <w:sz w:val="11"/>
                <w:szCs w:val="11"/>
                <w:b w:val="1"/>
                <w:bCs w:val="1"/>
                <w:color w:val="auto"/>
              </w:rPr>
              <w:t>Liquidation</w:t>
            </w:r>
          </w:p>
        </w:tc>
      </w:tr>
      <w:tr>
        <w:trPr>
          <w:trHeight w:val="137"/>
        </w:trPr>
        <w:tc>
          <w:tcPr>
            <w:tcW w:w="4040" w:type="dxa"/>
            <w:vAlign w:val="bottom"/>
          </w:tcPr>
          <w:p>
            <w:pPr>
              <w:spacing w:after="0"/>
              <w:rPr>
                <w:sz w:val="20"/>
                <w:szCs w:val="20"/>
                <w:color w:val="auto"/>
              </w:rPr>
            </w:pPr>
            <w:r>
              <w:rPr>
                <w:rFonts w:ascii="Arial" w:cs="Arial" w:eastAsia="Arial" w:hAnsi="Arial"/>
                <w:sz w:val="11"/>
                <w:szCs w:val="11"/>
                <w:b w:val="1"/>
                <w:bCs w:val="1"/>
                <w:color w:val="auto"/>
              </w:rPr>
              <w:t>Redeemable Convertible Preferred Stock:</w:t>
            </w:r>
          </w:p>
        </w:tc>
        <w:tc>
          <w:tcPr>
            <w:tcW w:w="640" w:type="dxa"/>
            <w:vAlign w:val="bottom"/>
          </w:tcPr>
          <w:p>
            <w:pPr>
              <w:jc w:val="right"/>
              <w:spacing w:after="0"/>
              <w:rPr>
                <w:sz w:val="20"/>
                <w:szCs w:val="20"/>
                <w:color w:val="auto"/>
              </w:rPr>
            </w:pPr>
            <w:r>
              <w:rPr>
                <w:rFonts w:ascii="Arial" w:cs="Arial" w:eastAsia="Arial" w:hAnsi="Arial"/>
                <w:sz w:val="11"/>
                <w:szCs w:val="11"/>
                <w:b w:val="1"/>
                <w:bCs w:val="1"/>
                <w:color w:val="auto"/>
              </w:rPr>
              <w:t>Authorized</w:t>
            </w:r>
          </w:p>
        </w:tc>
        <w:tc>
          <w:tcPr>
            <w:tcW w:w="12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1"/>
                <w:szCs w:val="11"/>
                <w:b w:val="1"/>
                <w:bCs w:val="1"/>
                <w:color w:val="auto"/>
                <w:w w:val="95"/>
              </w:rPr>
              <w:t>Outstanding</w:t>
            </w:r>
          </w:p>
        </w:tc>
        <w:tc>
          <w:tcPr>
            <w:tcW w:w="120" w:type="dxa"/>
            <w:vAlign w:val="bottom"/>
          </w:tcPr>
          <w:p>
            <w:pPr>
              <w:spacing w:after="0"/>
              <w:rPr>
                <w:sz w:val="11"/>
                <w:szCs w:val="11"/>
                <w:color w:val="auto"/>
              </w:rPr>
            </w:pPr>
          </w:p>
        </w:tc>
        <w:tc>
          <w:tcPr>
            <w:tcW w:w="460" w:type="dxa"/>
            <w:vAlign w:val="bottom"/>
          </w:tcPr>
          <w:p>
            <w:pPr>
              <w:jc w:val="right"/>
              <w:ind w:right="26"/>
              <w:spacing w:after="0"/>
              <w:rPr>
                <w:sz w:val="20"/>
                <w:szCs w:val="20"/>
                <w:color w:val="auto"/>
              </w:rPr>
            </w:pPr>
            <w:r>
              <w:rPr>
                <w:rFonts w:ascii="Arial" w:cs="Arial" w:eastAsia="Arial" w:hAnsi="Arial"/>
                <w:sz w:val="11"/>
                <w:szCs w:val="11"/>
                <w:b w:val="1"/>
                <w:bCs w:val="1"/>
                <w:color w:val="auto"/>
              </w:rPr>
              <w:t>Share</w:t>
            </w:r>
          </w:p>
        </w:tc>
        <w:tc>
          <w:tcPr>
            <w:tcW w:w="180" w:type="dxa"/>
            <w:vAlign w:val="bottom"/>
          </w:tcPr>
          <w:p>
            <w:pPr>
              <w:spacing w:after="0"/>
              <w:rPr>
                <w:sz w:val="11"/>
                <w:szCs w:val="11"/>
                <w:color w:val="auto"/>
              </w:rPr>
            </w:pPr>
          </w:p>
        </w:tc>
        <w:tc>
          <w:tcPr>
            <w:tcW w:w="400" w:type="dxa"/>
            <w:vAlign w:val="bottom"/>
          </w:tcPr>
          <w:p>
            <w:pPr>
              <w:jc w:val="right"/>
              <w:ind w:right="46"/>
              <w:spacing w:after="0"/>
              <w:rPr>
                <w:sz w:val="20"/>
                <w:szCs w:val="20"/>
                <w:color w:val="auto"/>
              </w:rPr>
            </w:pPr>
            <w:r>
              <w:rPr>
                <w:rFonts w:ascii="Arial" w:cs="Arial" w:eastAsia="Arial" w:hAnsi="Arial"/>
                <w:sz w:val="11"/>
                <w:szCs w:val="11"/>
                <w:b w:val="1"/>
                <w:bCs w:val="1"/>
                <w:color w:val="auto"/>
                <w:w w:val="95"/>
              </w:rPr>
              <w:t>Value</w:t>
            </w:r>
          </w:p>
        </w:tc>
        <w:tc>
          <w:tcPr>
            <w:tcW w:w="120" w:type="dxa"/>
            <w:vAlign w:val="bottom"/>
          </w:tcPr>
          <w:p>
            <w:pPr>
              <w:spacing w:after="0"/>
              <w:rPr>
                <w:sz w:val="11"/>
                <w:szCs w:val="11"/>
                <w:color w:val="auto"/>
              </w:rPr>
            </w:pPr>
          </w:p>
        </w:tc>
        <w:tc>
          <w:tcPr>
            <w:tcW w:w="640" w:type="dxa"/>
            <w:vAlign w:val="bottom"/>
            <w:gridSpan w:val="3"/>
          </w:tcPr>
          <w:p>
            <w:pPr>
              <w:spacing w:after="0"/>
              <w:rPr>
                <w:sz w:val="20"/>
                <w:szCs w:val="20"/>
                <w:color w:val="auto"/>
              </w:rPr>
            </w:pPr>
            <w:r>
              <w:rPr>
                <w:rFonts w:ascii="Arial" w:cs="Arial" w:eastAsia="Arial" w:hAnsi="Arial"/>
                <w:sz w:val="11"/>
                <w:szCs w:val="11"/>
                <w:b w:val="1"/>
                <w:bCs w:val="1"/>
                <w:color w:val="auto"/>
              </w:rPr>
              <w:t>Preference</w:t>
            </w:r>
          </w:p>
        </w:tc>
      </w:tr>
      <w:tr>
        <w:trPr>
          <w:trHeight w:val="115"/>
        </w:trPr>
        <w:tc>
          <w:tcPr>
            <w:tcW w:w="4040" w:type="dxa"/>
            <w:vAlign w:val="bottom"/>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Borders>
              <w:top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820" w:type="dxa"/>
            <w:vAlign w:val="bottom"/>
            <w:tcBorders>
              <w:top w:val="single" w:sz="8" w:color="auto"/>
            </w:tcBorders>
            <w:gridSpan w:val="3"/>
          </w:tcPr>
          <w:p>
            <w:pPr>
              <w:ind w:left="220"/>
              <w:spacing w:after="0" w:line="115" w:lineRule="exact"/>
              <w:rPr>
                <w:sz w:val="20"/>
                <w:szCs w:val="20"/>
                <w:color w:val="auto"/>
              </w:rPr>
            </w:pPr>
            <w:r>
              <w:rPr>
                <w:rFonts w:ascii="Arial" w:cs="Arial" w:eastAsia="Arial" w:hAnsi="Arial"/>
                <w:sz w:val="11"/>
                <w:szCs w:val="11"/>
                <w:b w:val="1"/>
                <w:bCs w:val="1"/>
                <w:color w:val="auto"/>
                <w:w w:val="93"/>
              </w:rPr>
              <w:t>(in millions)</w:t>
            </w:r>
          </w:p>
        </w:tc>
        <w:tc>
          <w:tcPr>
            <w:tcW w:w="28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r>
      <w:tr>
        <w:trPr>
          <w:trHeight w:val="126"/>
        </w:trPr>
        <w:tc>
          <w:tcPr>
            <w:tcW w:w="4040" w:type="dxa"/>
            <w:vAlign w:val="bottom"/>
            <w:shd w:val="clear" w:color="auto" w:fill="CCEEFF"/>
          </w:tcPr>
          <w:p>
            <w:pPr>
              <w:spacing w:after="0"/>
              <w:rPr>
                <w:sz w:val="20"/>
                <w:szCs w:val="20"/>
                <w:color w:val="auto"/>
              </w:rPr>
            </w:pPr>
            <w:r>
              <w:rPr>
                <w:rFonts w:ascii="Arial" w:cs="Arial" w:eastAsia="Arial" w:hAnsi="Arial"/>
                <w:sz w:val="11"/>
                <w:szCs w:val="11"/>
                <w:color w:val="auto"/>
              </w:rPr>
              <w:t>Series A</w:t>
            </w:r>
          </w:p>
        </w:tc>
        <w:tc>
          <w:tcPr>
            <w:tcW w:w="6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14,000,000</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10,617,908</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$ 0.25000</w:t>
            </w:r>
          </w:p>
        </w:tc>
        <w:tc>
          <w:tcPr>
            <w:tcW w:w="180" w:type="dxa"/>
            <w:vAlign w:val="bottom"/>
            <w:tcBorders>
              <w:right w:val="single" w:sz="8" w:color="CCEEFF"/>
            </w:tcBorders>
            <w:shd w:val="clear" w:color="auto" w:fill="CCEEFF"/>
          </w:tcPr>
          <w:p>
            <w:pPr>
              <w:ind w:left="120"/>
              <w:spacing w:after="0"/>
              <w:rPr>
                <w:sz w:val="20"/>
                <w:szCs w:val="20"/>
                <w:color w:val="auto"/>
              </w:rPr>
            </w:pPr>
            <w:r>
              <w:rPr>
                <w:rFonts w:ascii="Arial" w:cs="Arial" w:eastAsia="Arial" w:hAnsi="Arial"/>
                <w:sz w:val="5"/>
                <w:szCs w:val="5"/>
                <w:color w:val="auto"/>
                <w:w w:val="70"/>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2.7</w:t>
            </w:r>
          </w:p>
        </w:tc>
        <w:tc>
          <w:tcPr>
            <w:tcW w:w="420" w:type="dxa"/>
            <w:vAlign w:val="bottom"/>
            <w:gridSpan w:val="2"/>
            <w:shd w:val="clear" w:color="auto" w:fill="CCEEFF"/>
          </w:tcPr>
          <w:p>
            <w:pPr>
              <w:ind w:left="100"/>
              <w:spacing w:after="0"/>
              <w:rPr>
                <w:sz w:val="20"/>
                <w:szCs w:val="20"/>
                <w:color w:val="auto"/>
              </w:rPr>
            </w:pPr>
            <w:r>
              <w:rPr>
                <w:rFonts w:ascii="Arial" w:cs="Arial" w:eastAsia="Arial" w:hAnsi="Arial"/>
                <w:sz w:val="11"/>
                <w:szCs w:val="11"/>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2.7</w:t>
            </w:r>
          </w:p>
        </w:tc>
        <w:tc>
          <w:tcPr>
            <w:tcW w:w="60" w:type="dxa"/>
            <w:vAlign w:val="bottom"/>
            <w:shd w:val="clear" w:color="auto" w:fill="CCEEFF"/>
          </w:tcPr>
          <w:p>
            <w:pPr>
              <w:spacing w:after="0"/>
              <w:rPr>
                <w:sz w:val="10"/>
                <w:szCs w:val="10"/>
                <w:color w:val="auto"/>
              </w:rPr>
            </w:pPr>
          </w:p>
        </w:tc>
      </w:tr>
      <w:tr>
        <w:trPr>
          <w:trHeight w:val="126"/>
        </w:trPr>
        <w:tc>
          <w:tcPr>
            <w:tcW w:w="4040" w:type="dxa"/>
            <w:vAlign w:val="bottom"/>
          </w:tcPr>
          <w:p>
            <w:pPr>
              <w:spacing w:after="0"/>
              <w:rPr>
                <w:sz w:val="20"/>
                <w:szCs w:val="20"/>
                <w:color w:val="auto"/>
              </w:rPr>
            </w:pPr>
            <w:r>
              <w:rPr>
                <w:rFonts w:ascii="Arial" w:cs="Arial" w:eastAsia="Arial" w:hAnsi="Arial"/>
                <w:sz w:val="11"/>
                <w:szCs w:val="11"/>
                <w:color w:val="auto"/>
              </w:rPr>
              <w:t>Series B</w:t>
            </w:r>
          </w:p>
        </w:tc>
        <w:tc>
          <w:tcPr>
            <w:tcW w:w="640" w:type="dxa"/>
            <w:vAlign w:val="bottom"/>
          </w:tcPr>
          <w:p>
            <w:pPr>
              <w:jc w:val="right"/>
              <w:spacing w:after="0"/>
              <w:rPr>
                <w:sz w:val="20"/>
                <w:szCs w:val="20"/>
                <w:color w:val="auto"/>
              </w:rPr>
            </w:pPr>
            <w:r>
              <w:rPr>
                <w:rFonts w:ascii="Arial" w:cs="Arial" w:eastAsia="Arial" w:hAnsi="Arial"/>
                <w:sz w:val="11"/>
                <w:szCs w:val="11"/>
                <w:color w:val="auto"/>
              </w:rPr>
              <w:t>27,169,432</w:t>
            </w:r>
          </w:p>
        </w:tc>
        <w:tc>
          <w:tcPr>
            <w:tcW w:w="760" w:type="dxa"/>
            <w:vAlign w:val="bottom"/>
            <w:gridSpan w:val="2"/>
          </w:tcPr>
          <w:p>
            <w:pPr>
              <w:jc w:val="right"/>
              <w:spacing w:after="0"/>
              <w:rPr>
                <w:sz w:val="20"/>
                <w:szCs w:val="20"/>
                <w:color w:val="auto"/>
              </w:rPr>
            </w:pPr>
            <w:r>
              <w:rPr>
                <w:rFonts w:ascii="Arial" w:cs="Arial" w:eastAsia="Arial" w:hAnsi="Arial"/>
                <w:sz w:val="11"/>
                <w:szCs w:val="11"/>
                <w:color w:val="auto"/>
              </w:rPr>
              <w:t>25,799,744</w:t>
            </w:r>
          </w:p>
        </w:tc>
        <w:tc>
          <w:tcPr>
            <w:tcW w:w="580" w:type="dxa"/>
            <w:vAlign w:val="bottom"/>
            <w:gridSpan w:val="2"/>
          </w:tcPr>
          <w:p>
            <w:pPr>
              <w:jc w:val="right"/>
              <w:spacing w:after="0"/>
              <w:rPr>
                <w:sz w:val="20"/>
                <w:szCs w:val="20"/>
                <w:color w:val="auto"/>
              </w:rPr>
            </w:pPr>
            <w:r>
              <w:rPr>
                <w:rFonts w:ascii="Arial" w:cs="Arial" w:eastAsia="Arial" w:hAnsi="Arial"/>
                <w:sz w:val="11"/>
                <w:szCs w:val="11"/>
                <w:color w:val="auto"/>
              </w:rPr>
              <w:t>0.35528</w:t>
            </w:r>
          </w:p>
        </w:tc>
        <w:tc>
          <w:tcPr>
            <w:tcW w:w="180" w:type="dxa"/>
            <w:vAlign w:val="bottom"/>
          </w:tcPr>
          <w:p>
            <w:pPr>
              <w:spacing w:after="0"/>
              <w:rPr>
                <w:sz w:val="10"/>
                <w:szCs w:val="10"/>
                <w:color w:val="auto"/>
              </w:rPr>
            </w:pPr>
          </w:p>
        </w:tc>
        <w:tc>
          <w:tcPr>
            <w:tcW w:w="400" w:type="dxa"/>
            <w:vAlign w:val="bottom"/>
          </w:tcPr>
          <w:p>
            <w:pPr>
              <w:jc w:val="right"/>
              <w:spacing w:after="0"/>
              <w:rPr>
                <w:sz w:val="20"/>
                <w:szCs w:val="20"/>
                <w:color w:val="auto"/>
              </w:rPr>
            </w:pPr>
            <w:r>
              <w:rPr>
                <w:rFonts w:ascii="Arial" w:cs="Arial" w:eastAsia="Arial" w:hAnsi="Arial"/>
                <w:sz w:val="11"/>
                <w:szCs w:val="11"/>
                <w:color w:val="auto"/>
              </w:rPr>
              <w:t>9.2</w:t>
            </w:r>
          </w:p>
        </w:tc>
        <w:tc>
          <w:tcPr>
            <w:tcW w:w="1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80" w:type="dxa"/>
            <w:vAlign w:val="bottom"/>
          </w:tcPr>
          <w:p>
            <w:pPr>
              <w:jc w:val="right"/>
              <w:spacing w:after="0"/>
              <w:rPr>
                <w:sz w:val="20"/>
                <w:szCs w:val="20"/>
                <w:color w:val="auto"/>
              </w:rPr>
            </w:pPr>
            <w:r>
              <w:rPr>
                <w:rFonts w:ascii="Arial" w:cs="Arial" w:eastAsia="Arial" w:hAnsi="Arial"/>
                <w:sz w:val="11"/>
                <w:szCs w:val="11"/>
                <w:color w:val="auto"/>
              </w:rPr>
              <w:t>9.2</w:t>
            </w:r>
          </w:p>
        </w:tc>
        <w:tc>
          <w:tcPr>
            <w:tcW w:w="60" w:type="dxa"/>
            <w:vAlign w:val="bottom"/>
          </w:tcPr>
          <w:p>
            <w:pPr>
              <w:spacing w:after="0"/>
              <w:rPr>
                <w:sz w:val="10"/>
                <w:szCs w:val="10"/>
                <w:color w:val="auto"/>
              </w:rPr>
            </w:pPr>
          </w:p>
        </w:tc>
      </w:tr>
      <w:tr>
        <w:trPr>
          <w:trHeight w:val="126"/>
        </w:trPr>
        <w:tc>
          <w:tcPr>
            <w:tcW w:w="4040" w:type="dxa"/>
            <w:vAlign w:val="bottom"/>
            <w:shd w:val="clear" w:color="auto" w:fill="CCEEFF"/>
          </w:tcPr>
          <w:p>
            <w:pPr>
              <w:spacing w:after="0"/>
              <w:rPr>
                <w:sz w:val="20"/>
                <w:szCs w:val="20"/>
                <w:color w:val="auto"/>
              </w:rPr>
            </w:pPr>
            <w:r>
              <w:rPr>
                <w:rFonts w:ascii="Arial" w:cs="Arial" w:eastAsia="Arial" w:hAnsi="Arial"/>
                <w:sz w:val="11"/>
                <w:szCs w:val="11"/>
                <w:color w:val="auto"/>
              </w:rPr>
              <w:t>Series C</w:t>
            </w:r>
          </w:p>
        </w:tc>
        <w:tc>
          <w:tcPr>
            <w:tcW w:w="6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49,375,076</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48,246,732</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0.55428</w:t>
            </w:r>
          </w:p>
        </w:tc>
        <w:tc>
          <w:tcPr>
            <w:tcW w:w="180" w:type="dxa"/>
            <w:vAlign w:val="bottom"/>
            <w:tcBorders>
              <w:right w:val="single" w:sz="8" w:color="CCEEFF"/>
            </w:tcBorders>
            <w:shd w:val="clear" w:color="auto" w:fill="CCEEFF"/>
          </w:tcPr>
          <w:p>
            <w:pPr>
              <w:spacing w:after="0"/>
              <w:rPr>
                <w:sz w:val="10"/>
                <w:szCs w:val="10"/>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26.5</w:t>
            </w:r>
          </w:p>
        </w:tc>
        <w:tc>
          <w:tcPr>
            <w:tcW w:w="12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26.7</w:t>
            </w:r>
          </w:p>
        </w:tc>
        <w:tc>
          <w:tcPr>
            <w:tcW w:w="60" w:type="dxa"/>
            <w:vAlign w:val="bottom"/>
            <w:shd w:val="clear" w:color="auto" w:fill="CCEEFF"/>
          </w:tcPr>
          <w:p>
            <w:pPr>
              <w:spacing w:after="0"/>
              <w:rPr>
                <w:sz w:val="10"/>
                <w:szCs w:val="10"/>
                <w:color w:val="auto"/>
              </w:rPr>
            </w:pPr>
          </w:p>
        </w:tc>
      </w:tr>
      <w:tr>
        <w:trPr>
          <w:trHeight w:val="126"/>
        </w:trPr>
        <w:tc>
          <w:tcPr>
            <w:tcW w:w="4040" w:type="dxa"/>
            <w:vAlign w:val="bottom"/>
          </w:tcPr>
          <w:p>
            <w:pPr>
              <w:spacing w:after="0"/>
              <w:rPr>
                <w:sz w:val="20"/>
                <w:szCs w:val="20"/>
                <w:color w:val="auto"/>
              </w:rPr>
            </w:pPr>
            <w:r>
              <w:rPr>
                <w:rFonts w:ascii="Arial" w:cs="Arial" w:eastAsia="Arial" w:hAnsi="Arial"/>
                <w:sz w:val="11"/>
                <w:szCs w:val="11"/>
                <w:color w:val="auto"/>
              </w:rPr>
              <w:t>Series D</w:t>
            </w:r>
          </w:p>
        </w:tc>
        <w:tc>
          <w:tcPr>
            <w:tcW w:w="640" w:type="dxa"/>
            <w:vAlign w:val="bottom"/>
          </w:tcPr>
          <w:p>
            <w:pPr>
              <w:jc w:val="right"/>
              <w:spacing w:after="0"/>
              <w:rPr>
                <w:sz w:val="20"/>
                <w:szCs w:val="20"/>
                <w:color w:val="auto"/>
              </w:rPr>
            </w:pPr>
            <w:r>
              <w:rPr>
                <w:rFonts w:ascii="Arial" w:cs="Arial" w:eastAsia="Arial" w:hAnsi="Arial"/>
                <w:sz w:val="11"/>
                <w:szCs w:val="11"/>
                <w:color w:val="auto"/>
              </w:rPr>
              <w:t>31,635,604</w:t>
            </w:r>
          </w:p>
        </w:tc>
        <w:tc>
          <w:tcPr>
            <w:tcW w:w="760" w:type="dxa"/>
            <w:vAlign w:val="bottom"/>
            <w:gridSpan w:val="2"/>
          </w:tcPr>
          <w:p>
            <w:pPr>
              <w:jc w:val="right"/>
              <w:spacing w:after="0"/>
              <w:rPr>
                <w:sz w:val="20"/>
                <w:szCs w:val="20"/>
                <w:color w:val="auto"/>
              </w:rPr>
            </w:pPr>
            <w:r>
              <w:rPr>
                <w:rFonts w:ascii="Arial" w:cs="Arial" w:eastAsia="Arial" w:hAnsi="Arial"/>
                <w:sz w:val="11"/>
                <w:szCs w:val="11"/>
                <w:color w:val="auto"/>
              </w:rPr>
              <w:t>31,635,604</w:t>
            </w:r>
          </w:p>
        </w:tc>
        <w:tc>
          <w:tcPr>
            <w:tcW w:w="580" w:type="dxa"/>
            <w:vAlign w:val="bottom"/>
            <w:gridSpan w:val="2"/>
          </w:tcPr>
          <w:p>
            <w:pPr>
              <w:jc w:val="right"/>
              <w:spacing w:after="0"/>
              <w:rPr>
                <w:sz w:val="20"/>
                <w:szCs w:val="20"/>
                <w:color w:val="auto"/>
              </w:rPr>
            </w:pPr>
            <w:r>
              <w:rPr>
                <w:rFonts w:ascii="Arial" w:cs="Arial" w:eastAsia="Arial" w:hAnsi="Arial"/>
                <w:sz w:val="11"/>
                <w:szCs w:val="11"/>
                <w:color w:val="auto"/>
              </w:rPr>
              <w:t>1.66458</w:t>
            </w:r>
          </w:p>
        </w:tc>
        <w:tc>
          <w:tcPr>
            <w:tcW w:w="180" w:type="dxa"/>
            <w:vAlign w:val="bottom"/>
          </w:tcPr>
          <w:p>
            <w:pPr>
              <w:spacing w:after="0"/>
              <w:rPr>
                <w:sz w:val="10"/>
                <w:szCs w:val="10"/>
                <w:color w:val="auto"/>
              </w:rPr>
            </w:pPr>
          </w:p>
        </w:tc>
        <w:tc>
          <w:tcPr>
            <w:tcW w:w="400" w:type="dxa"/>
            <w:vAlign w:val="bottom"/>
          </w:tcPr>
          <w:p>
            <w:pPr>
              <w:jc w:val="right"/>
              <w:spacing w:after="0"/>
              <w:rPr>
                <w:sz w:val="20"/>
                <w:szCs w:val="20"/>
                <w:color w:val="auto"/>
              </w:rPr>
            </w:pPr>
            <w:r>
              <w:rPr>
                <w:rFonts w:ascii="Arial" w:cs="Arial" w:eastAsia="Arial" w:hAnsi="Arial"/>
                <w:sz w:val="11"/>
                <w:szCs w:val="11"/>
                <w:color w:val="auto"/>
              </w:rPr>
              <w:t>52.3</w:t>
            </w:r>
          </w:p>
        </w:tc>
        <w:tc>
          <w:tcPr>
            <w:tcW w:w="1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80" w:type="dxa"/>
            <w:vAlign w:val="bottom"/>
          </w:tcPr>
          <w:p>
            <w:pPr>
              <w:jc w:val="right"/>
              <w:spacing w:after="0"/>
              <w:rPr>
                <w:sz w:val="20"/>
                <w:szCs w:val="20"/>
                <w:color w:val="auto"/>
              </w:rPr>
            </w:pPr>
            <w:r>
              <w:rPr>
                <w:rFonts w:ascii="Arial" w:cs="Arial" w:eastAsia="Arial" w:hAnsi="Arial"/>
                <w:sz w:val="11"/>
                <w:szCs w:val="11"/>
                <w:color w:val="auto"/>
              </w:rPr>
              <w:t>52.7</w:t>
            </w:r>
          </w:p>
        </w:tc>
        <w:tc>
          <w:tcPr>
            <w:tcW w:w="60" w:type="dxa"/>
            <w:vAlign w:val="bottom"/>
          </w:tcPr>
          <w:p>
            <w:pPr>
              <w:spacing w:after="0"/>
              <w:rPr>
                <w:sz w:val="10"/>
                <w:szCs w:val="10"/>
                <w:color w:val="auto"/>
              </w:rPr>
            </w:pPr>
          </w:p>
        </w:tc>
      </w:tr>
      <w:tr>
        <w:trPr>
          <w:trHeight w:val="126"/>
        </w:trPr>
        <w:tc>
          <w:tcPr>
            <w:tcW w:w="4040" w:type="dxa"/>
            <w:vAlign w:val="bottom"/>
            <w:shd w:val="clear" w:color="auto" w:fill="CCEEFF"/>
          </w:tcPr>
          <w:p>
            <w:pPr>
              <w:spacing w:after="0"/>
              <w:rPr>
                <w:sz w:val="20"/>
                <w:szCs w:val="20"/>
                <w:color w:val="auto"/>
              </w:rPr>
            </w:pPr>
            <w:r>
              <w:rPr>
                <w:rFonts w:ascii="Arial" w:cs="Arial" w:eastAsia="Arial" w:hAnsi="Arial"/>
                <w:sz w:val="11"/>
                <w:szCs w:val="11"/>
                <w:color w:val="auto"/>
              </w:rPr>
              <w:t>Series E</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60,013,480</w:t>
            </w:r>
          </w:p>
        </w:tc>
        <w:tc>
          <w:tcPr>
            <w:tcW w:w="120" w:type="dxa"/>
            <w:vAlign w:val="bottom"/>
            <w:shd w:val="clear" w:color="auto" w:fill="CCEEFF"/>
          </w:tcPr>
          <w:p>
            <w:pPr>
              <w:spacing w:after="0"/>
              <w:rPr>
                <w:sz w:val="10"/>
                <w:szCs w:val="10"/>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60,013,480</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5.41545</w:t>
            </w:r>
          </w:p>
        </w:tc>
        <w:tc>
          <w:tcPr>
            <w:tcW w:w="180" w:type="dxa"/>
            <w:vAlign w:val="bottom"/>
            <w:tcBorders>
              <w:right w:val="single" w:sz="8" w:color="CCEEFF"/>
            </w:tcBorders>
            <w:shd w:val="clear" w:color="auto" w:fill="CCEEFF"/>
          </w:tcPr>
          <w:p>
            <w:pPr>
              <w:spacing w:after="0"/>
              <w:rPr>
                <w:sz w:val="10"/>
                <w:szCs w:val="10"/>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315.6</w:t>
            </w:r>
          </w:p>
        </w:tc>
        <w:tc>
          <w:tcPr>
            <w:tcW w:w="120" w:type="dxa"/>
            <w:vAlign w:val="bottom"/>
            <w:shd w:val="clear" w:color="auto" w:fill="CCEEFF"/>
          </w:tcPr>
          <w:p>
            <w:pPr>
              <w:spacing w:after="0"/>
              <w:rPr>
                <w:sz w:val="10"/>
                <w:szCs w:val="10"/>
                <w:color w:val="auto"/>
              </w:rPr>
            </w:pPr>
          </w:p>
        </w:tc>
        <w:tc>
          <w:tcPr>
            <w:tcW w:w="300" w:type="dxa"/>
            <w:vAlign w:val="bottom"/>
            <w:tcBorders>
              <w:bottom w:val="single" w:sz="8" w:color="auto"/>
            </w:tcBorders>
            <w:shd w:val="clear" w:color="auto" w:fill="CCEEFF"/>
          </w:tcPr>
          <w:p>
            <w:pPr>
              <w:spacing w:after="0"/>
              <w:rPr>
                <w:sz w:val="10"/>
                <w:szCs w:val="10"/>
                <w:color w:val="auto"/>
              </w:rPr>
            </w:pP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4"/>
              </w:rPr>
              <w:t>325.0</w:t>
            </w:r>
          </w:p>
        </w:tc>
        <w:tc>
          <w:tcPr>
            <w:tcW w:w="60" w:type="dxa"/>
            <w:vAlign w:val="bottom"/>
            <w:shd w:val="clear" w:color="auto" w:fill="CCEEFF"/>
          </w:tcPr>
          <w:p>
            <w:pPr>
              <w:spacing w:after="0"/>
              <w:rPr>
                <w:sz w:val="10"/>
                <w:szCs w:val="10"/>
                <w:color w:val="auto"/>
              </w:rPr>
            </w:pPr>
          </w:p>
        </w:tc>
      </w:tr>
      <w:tr>
        <w:trPr>
          <w:trHeight w:val="124"/>
        </w:trPr>
        <w:tc>
          <w:tcPr>
            <w:tcW w:w="4040" w:type="dxa"/>
            <w:vAlign w:val="bottom"/>
          </w:tcPr>
          <w:p>
            <w:pPr>
              <w:ind w:left="220"/>
              <w:spacing w:after="0" w:line="124" w:lineRule="exact"/>
              <w:rPr>
                <w:sz w:val="20"/>
                <w:szCs w:val="20"/>
                <w:color w:val="auto"/>
              </w:rPr>
            </w:pPr>
            <w:r>
              <w:rPr>
                <w:rFonts w:ascii="Arial" w:cs="Arial" w:eastAsia="Arial" w:hAnsi="Arial"/>
                <w:sz w:val="11"/>
                <w:szCs w:val="11"/>
                <w:color w:val="auto"/>
              </w:rPr>
              <w:t>Total redeemable convertible preferred stock</w:t>
            </w:r>
          </w:p>
        </w:tc>
        <w:tc>
          <w:tcPr>
            <w:tcW w:w="640" w:type="dxa"/>
            <w:vAlign w:val="bottom"/>
          </w:tcPr>
          <w:p>
            <w:pPr>
              <w:jc w:val="right"/>
              <w:spacing w:after="0" w:line="124" w:lineRule="exact"/>
              <w:rPr>
                <w:sz w:val="20"/>
                <w:szCs w:val="20"/>
                <w:color w:val="auto"/>
              </w:rPr>
            </w:pPr>
            <w:r>
              <w:rPr>
                <w:rFonts w:ascii="Arial" w:cs="Arial" w:eastAsia="Arial" w:hAnsi="Arial"/>
                <w:sz w:val="11"/>
                <w:szCs w:val="11"/>
                <w:color w:val="auto"/>
              </w:rPr>
              <w:t>182,193,592</w:t>
            </w:r>
          </w:p>
        </w:tc>
        <w:tc>
          <w:tcPr>
            <w:tcW w:w="120" w:type="dxa"/>
            <w:vAlign w:val="bottom"/>
          </w:tcPr>
          <w:p>
            <w:pPr>
              <w:spacing w:after="0"/>
              <w:rPr>
                <w:sz w:val="10"/>
                <w:szCs w:val="10"/>
                <w:color w:val="auto"/>
              </w:rPr>
            </w:pPr>
          </w:p>
        </w:tc>
        <w:tc>
          <w:tcPr>
            <w:tcW w:w="640" w:type="dxa"/>
            <w:vAlign w:val="bottom"/>
          </w:tcPr>
          <w:p>
            <w:pPr>
              <w:jc w:val="right"/>
              <w:spacing w:after="0" w:line="124" w:lineRule="exact"/>
              <w:rPr>
                <w:sz w:val="20"/>
                <w:szCs w:val="20"/>
                <w:color w:val="auto"/>
              </w:rPr>
            </w:pPr>
            <w:r>
              <w:rPr>
                <w:rFonts w:ascii="Arial" w:cs="Arial" w:eastAsia="Arial" w:hAnsi="Arial"/>
                <w:sz w:val="11"/>
                <w:szCs w:val="11"/>
                <w:color w:val="auto"/>
              </w:rPr>
              <w:t>176,313,468</w:t>
            </w: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80" w:type="dxa"/>
            <w:vAlign w:val="bottom"/>
          </w:tcPr>
          <w:p>
            <w:pPr>
              <w:ind w:left="120"/>
              <w:spacing w:after="0"/>
              <w:rPr>
                <w:sz w:val="20"/>
                <w:szCs w:val="20"/>
                <w:color w:val="auto"/>
              </w:rPr>
            </w:pPr>
            <w:r>
              <w:rPr>
                <w:rFonts w:ascii="Arial" w:cs="Arial" w:eastAsia="Arial" w:hAnsi="Arial"/>
                <w:sz w:val="5"/>
                <w:szCs w:val="5"/>
                <w:color w:val="auto"/>
                <w:w w:val="70"/>
              </w:rPr>
              <w:t>$</w:t>
            </w:r>
          </w:p>
        </w:tc>
        <w:tc>
          <w:tcPr>
            <w:tcW w:w="400" w:type="dxa"/>
            <w:vAlign w:val="bottom"/>
          </w:tcPr>
          <w:p>
            <w:pPr>
              <w:jc w:val="right"/>
              <w:spacing w:after="0" w:line="124" w:lineRule="exact"/>
              <w:rPr>
                <w:sz w:val="20"/>
                <w:szCs w:val="20"/>
                <w:color w:val="auto"/>
              </w:rPr>
            </w:pPr>
            <w:r>
              <w:rPr>
                <w:rFonts w:ascii="Arial" w:cs="Arial" w:eastAsia="Arial" w:hAnsi="Arial"/>
                <w:sz w:val="11"/>
                <w:szCs w:val="11"/>
                <w:color w:val="auto"/>
              </w:rPr>
              <w:t>406.3</w:t>
            </w:r>
          </w:p>
        </w:tc>
        <w:tc>
          <w:tcPr>
            <w:tcW w:w="420" w:type="dxa"/>
            <w:vAlign w:val="bottom"/>
            <w:gridSpan w:val="2"/>
          </w:tcPr>
          <w:p>
            <w:pPr>
              <w:ind w:left="100"/>
              <w:spacing w:after="0" w:line="124" w:lineRule="exact"/>
              <w:rPr>
                <w:sz w:val="20"/>
                <w:szCs w:val="20"/>
                <w:color w:val="auto"/>
              </w:rPr>
            </w:pPr>
            <w:r>
              <w:rPr>
                <w:rFonts w:ascii="Arial" w:cs="Arial" w:eastAsia="Arial" w:hAnsi="Arial"/>
                <w:sz w:val="11"/>
                <w:szCs w:val="11"/>
                <w:color w:val="auto"/>
              </w:rPr>
              <w:t>$</w:t>
            </w:r>
          </w:p>
        </w:tc>
        <w:tc>
          <w:tcPr>
            <w:tcW w:w="280" w:type="dxa"/>
            <w:vAlign w:val="bottom"/>
          </w:tcPr>
          <w:p>
            <w:pPr>
              <w:jc w:val="right"/>
              <w:spacing w:after="0" w:line="124" w:lineRule="exact"/>
              <w:rPr>
                <w:sz w:val="20"/>
                <w:szCs w:val="20"/>
                <w:color w:val="auto"/>
              </w:rPr>
            </w:pPr>
            <w:r>
              <w:rPr>
                <w:rFonts w:ascii="Arial" w:cs="Arial" w:eastAsia="Arial" w:hAnsi="Arial"/>
                <w:sz w:val="11"/>
                <w:szCs w:val="11"/>
                <w:color w:val="auto"/>
                <w:w w:val="94"/>
              </w:rPr>
              <w:t>416.3</w:t>
            </w:r>
          </w:p>
        </w:tc>
        <w:tc>
          <w:tcPr>
            <w:tcW w:w="60" w:type="dxa"/>
            <w:vAlign w:val="bottom"/>
          </w:tcPr>
          <w:p>
            <w:pPr>
              <w:spacing w:after="0"/>
              <w:rPr>
                <w:sz w:val="10"/>
                <w:szCs w:val="10"/>
                <w:color w:val="auto"/>
              </w:rPr>
            </w:pPr>
          </w:p>
        </w:tc>
      </w:tr>
      <w:tr>
        <w:trPr>
          <w:trHeight w:val="27"/>
        </w:trPr>
        <w:tc>
          <w:tcPr>
            <w:tcW w:w="404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bl>
    <w:p>
      <w:pPr>
        <w:spacing w:after="0" w:line="154" w:lineRule="exact"/>
        <w:rPr>
          <w:sz w:val="20"/>
          <w:szCs w:val="20"/>
          <w:color w:val="auto"/>
        </w:rPr>
      </w:pPr>
    </w:p>
    <w:p>
      <w:pPr>
        <w:ind w:left="2060"/>
        <w:spacing w:after="0"/>
        <w:rPr>
          <w:sz w:val="20"/>
          <w:szCs w:val="20"/>
          <w:color w:val="auto"/>
        </w:rPr>
      </w:pPr>
      <w:r>
        <w:rPr>
          <w:rFonts w:ascii="Arial" w:cs="Arial" w:eastAsia="Arial" w:hAnsi="Arial"/>
          <w:sz w:val="11"/>
          <w:szCs w:val="11"/>
          <w:color w:val="auto"/>
        </w:rPr>
        <w:t>Convertible redeemable preferred stock consisted of the following as of June 30, 2019:</w:t>
      </w:r>
    </w:p>
    <w:p>
      <w:pPr>
        <w:spacing w:after="0" w:line="149" w:lineRule="exact"/>
        <w:rPr>
          <w:sz w:val="20"/>
          <w:szCs w:val="20"/>
          <w:color w:val="auto"/>
        </w:rPr>
      </w:pPr>
    </w:p>
    <w:tbl>
      <w:tblPr>
        <w:tblLayout w:type="fixed"/>
        <w:tblInd w:w="2060" w:type="dxa"/>
        <w:tblCellMar>
          <w:top w:w="0" w:type="dxa"/>
          <w:left w:w="0" w:type="dxa"/>
          <w:bottom w:w="0" w:type="dxa"/>
          <w:right w:w="0" w:type="dxa"/>
        </w:tblCellMar>
      </w:tblPr>
      <w:tr>
        <w:trPr>
          <w:trHeight w:val="126"/>
        </w:trPr>
        <w:tc>
          <w:tcPr>
            <w:tcW w:w="37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jc w:val="right"/>
              <w:ind w:right="86"/>
              <w:spacing w:after="0"/>
              <w:rPr>
                <w:sz w:val="20"/>
                <w:szCs w:val="20"/>
                <w:color w:val="auto"/>
              </w:rPr>
            </w:pPr>
            <w:r>
              <w:rPr>
                <w:rFonts w:ascii="Arial" w:cs="Arial" w:eastAsia="Arial" w:hAnsi="Arial"/>
                <w:sz w:val="11"/>
                <w:szCs w:val="11"/>
                <w:b w:val="1"/>
                <w:bCs w:val="1"/>
                <w:color w:val="auto"/>
              </w:rPr>
              <w:t>Net</w:t>
            </w:r>
          </w:p>
        </w:tc>
        <w:tc>
          <w:tcPr>
            <w:tcW w:w="1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0" w:type="dxa"/>
            <w:vAlign w:val="bottom"/>
          </w:tcPr>
          <w:p>
            <w:pPr>
              <w:spacing w:after="0"/>
              <w:rPr>
                <w:sz w:val="10"/>
                <w:szCs w:val="10"/>
                <w:color w:val="auto"/>
              </w:rPr>
            </w:pPr>
          </w:p>
        </w:tc>
      </w:tr>
      <w:tr>
        <w:trPr>
          <w:trHeight w:val="126"/>
        </w:trPr>
        <w:tc>
          <w:tcPr>
            <w:tcW w:w="3740" w:type="dxa"/>
            <w:vAlign w:val="bottom"/>
          </w:tcPr>
          <w:p>
            <w:pPr>
              <w:spacing w:after="0"/>
              <w:rPr>
                <w:sz w:val="10"/>
                <w:szCs w:val="10"/>
                <w:color w:val="auto"/>
              </w:rPr>
            </w:pPr>
          </w:p>
        </w:tc>
        <w:tc>
          <w:tcPr>
            <w:tcW w:w="640" w:type="dxa"/>
            <w:vAlign w:val="bottom"/>
          </w:tcPr>
          <w:p>
            <w:pPr>
              <w:jc w:val="right"/>
              <w:ind w:right="86"/>
              <w:spacing w:after="0"/>
              <w:rPr>
                <w:sz w:val="20"/>
                <w:szCs w:val="20"/>
                <w:color w:val="auto"/>
              </w:rPr>
            </w:pPr>
            <w:r>
              <w:rPr>
                <w:rFonts w:ascii="Arial" w:cs="Arial" w:eastAsia="Arial" w:hAnsi="Arial"/>
                <w:sz w:val="11"/>
                <w:szCs w:val="11"/>
                <w:b w:val="1"/>
                <w:bCs w:val="1"/>
                <w:color w:val="auto"/>
              </w:rPr>
              <w:t>Shares</w:t>
            </w:r>
          </w:p>
        </w:tc>
        <w:tc>
          <w:tcPr>
            <w:tcW w:w="180" w:type="dxa"/>
            <w:vAlign w:val="bottom"/>
          </w:tcPr>
          <w:p>
            <w:pPr>
              <w:spacing w:after="0"/>
              <w:rPr>
                <w:sz w:val="10"/>
                <w:szCs w:val="10"/>
                <w:color w:val="auto"/>
              </w:rPr>
            </w:pPr>
          </w:p>
        </w:tc>
        <w:tc>
          <w:tcPr>
            <w:tcW w:w="640" w:type="dxa"/>
            <w:vAlign w:val="bottom"/>
          </w:tcPr>
          <w:p>
            <w:pPr>
              <w:jc w:val="right"/>
              <w:ind w:right="86"/>
              <w:spacing w:after="0"/>
              <w:rPr>
                <w:sz w:val="20"/>
                <w:szCs w:val="20"/>
                <w:color w:val="auto"/>
              </w:rPr>
            </w:pPr>
            <w:r>
              <w:rPr>
                <w:rFonts w:ascii="Arial" w:cs="Arial" w:eastAsia="Arial" w:hAnsi="Arial"/>
                <w:sz w:val="11"/>
                <w:szCs w:val="11"/>
                <w:b w:val="1"/>
                <w:bCs w:val="1"/>
                <w:color w:val="auto"/>
              </w:rPr>
              <w:t>Shares</w:t>
            </w:r>
          </w:p>
        </w:tc>
        <w:tc>
          <w:tcPr>
            <w:tcW w:w="180" w:type="dxa"/>
            <w:vAlign w:val="bottom"/>
          </w:tcPr>
          <w:p>
            <w:pPr>
              <w:spacing w:after="0"/>
              <w:rPr>
                <w:sz w:val="10"/>
                <w:szCs w:val="10"/>
                <w:color w:val="auto"/>
              </w:rPr>
            </w:pPr>
          </w:p>
        </w:tc>
        <w:tc>
          <w:tcPr>
            <w:tcW w:w="520" w:type="dxa"/>
            <w:vAlign w:val="bottom"/>
            <w:gridSpan w:val="2"/>
          </w:tcPr>
          <w:p>
            <w:pPr>
              <w:jc w:val="right"/>
              <w:spacing w:after="0"/>
              <w:rPr>
                <w:sz w:val="20"/>
                <w:szCs w:val="20"/>
                <w:color w:val="auto"/>
              </w:rPr>
            </w:pPr>
            <w:r>
              <w:rPr>
                <w:rFonts w:ascii="Arial" w:cs="Arial" w:eastAsia="Arial" w:hAnsi="Arial"/>
                <w:sz w:val="11"/>
                <w:szCs w:val="11"/>
                <w:b w:val="1"/>
                <w:bCs w:val="1"/>
                <w:color w:val="auto"/>
                <w:w w:val="97"/>
              </w:rPr>
              <w:t>Price per</w:t>
            </w:r>
          </w:p>
        </w:tc>
        <w:tc>
          <w:tcPr>
            <w:tcW w:w="180" w:type="dxa"/>
            <w:vAlign w:val="bottom"/>
          </w:tcPr>
          <w:p>
            <w:pPr>
              <w:spacing w:after="0"/>
              <w:rPr>
                <w:sz w:val="10"/>
                <w:szCs w:val="10"/>
                <w:color w:val="auto"/>
              </w:rPr>
            </w:pPr>
          </w:p>
        </w:tc>
        <w:tc>
          <w:tcPr>
            <w:tcW w:w="460" w:type="dxa"/>
            <w:vAlign w:val="bottom"/>
            <w:gridSpan w:val="2"/>
          </w:tcPr>
          <w:p>
            <w:pPr>
              <w:spacing w:after="0"/>
              <w:rPr>
                <w:sz w:val="20"/>
                <w:szCs w:val="20"/>
                <w:color w:val="auto"/>
              </w:rPr>
            </w:pPr>
            <w:r>
              <w:rPr>
                <w:rFonts w:ascii="Arial" w:cs="Arial" w:eastAsia="Arial" w:hAnsi="Arial"/>
                <w:sz w:val="11"/>
                <w:szCs w:val="11"/>
                <w:b w:val="1"/>
                <w:bCs w:val="1"/>
                <w:color w:val="auto"/>
                <w:w w:val="97"/>
              </w:rPr>
              <w:t>Carrying</w:t>
            </w:r>
          </w:p>
        </w:tc>
        <w:tc>
          <w:tcPr>
            <w:tcW w:w="820" w:type="dxa"/>
            <w:vAlign w:val="bottom"/>
            <w:gridSpan w:val="4"/>
          </w:tcPr>
          <w:p>
            <w:pPr>
              <w:ind w:left="180"/>
              <w:spacing w:after="0"/>
              <w:rPr>
                <w:sz w:val="20"/>
                <w:szCs w:val="20"/>
                <w:color w:val="auto"/>
              </w:rPr>
            </w:pPr>
            <w:r>
              <w:rPr>
                <w:rFonts w:ascii="Arial" w:cs="Arial" w:eastAsia="Arial" w:hAnsi="Arial"/>
                <w:sz w:val="11"/>
                <w:szCs w:val="11"/>
                <w:b w:val="1"/>
                <w:bCs w:val="1"/>
                <w:color w:val="auto"/>
              </w:rPr>
              <w:t>Liquidation</w:t>
            </w:r>
          </w:p>
        </w:tc>
      </w:tr>
      <w:tr>
        <w:trPr>
          <w:trHeight w:val="137"/>
        </w:trPr>
        <w:tc>
          <w:tcPr>
            <w:tcW w:w="3740" w:type="dxa"/>
            <w:vAlign w:val="bottom"/>
          </w:tcPr>
          <w:p>
            <w:pPr>
              <w:spacing w:after="0"/>
              <w:rPr>
                <w:sz w:val="20"/>
                <w:szCs w:val="20"/>
                <w:color w:val="auto"/>
              </w:rPr>
            </w:pPr>
            <w:r>
              <w:rPr>
                <w:rFonts w:ascii="Arial" w:cs="Arial" w:eastAsia="Arial" w:hAnsi="Arial"/>
                <w:sz w:val="11"/>
                <w:szCs w:val="11"/>
                <w:b w:val="1"/>
                <w:bCs w:val="1"/>
                <w:color w:val="auto"/>
              </w:rPr>
              <w:t>Redeemable Convertible Preferred Stock:</w:t>
            </w:r>
          </w:p>
        </w:tc>
        <w:tc>
          <w:tcPr>
            <w:tcW w:w="640" w:type="dxa"/>
            <w:vAlign w:val="bottom"/>
          </w:tcPr>
          <w:p>
            <w:pPr>
              <w:jc w:val="right"/>
              <w:spacing w:after="0"/>
              <w:rPr>
                <w:sz w:val="20"/>
                <w:szCs w:val="20"/>
                <w:color w:val="auto"/>
              </w:rPr>
            </w:pPr>
            <w:r>
              <w:rPr>
                <w:rFonts w:ascii="Arial" w:cs="Arial" w:eastAsia="Arial" w:hAnsi="Arial"/>
                <w:sz w:val="11"/>
                <w:szCs w:val="11"/>
                <w:b w:val="1"/>
                <w:bCs w:val="1"/>
                <w:color w:val="auto"/>
              </w:rPr>
              <w:t>Authorized</w:t>
            </w:r>
          </w:p>
        </w:tc>
        <w:tc>
          <w:tcPr>
            <w:tcW w:w="820" w:type="dxa"/>
            <w:vAlign w:val="bottom"/>
            <w:gridSpan w:val="2"/>
          </w:tcPr>
          <w:p>
            <w:pPr>
              <w:jc w:val="right"/>
              <w:spacing w:after="0"/>
              <w:rPr>
                <w:sz w:val="20"/>
                <w:szCs w:val="20"/>
                <w:color w:val="auto"/>
              </w:rPr>
            </w:pPr>
            <w:r>
              <w:rPr>
                <w:rFonts w:ascii="Arial" w:cs="Arial" w:eastAsia="Arial" w:hAnsi="Arial"/>
                <w:sz w:val="11"/>
                <w:szCs w:val="11"/>
                <w:b w:val="1"/>
                <w:bCs w:val="1"/>
                <w:color w:val="auto"/>
              </w:rPr>
              <w:t>Outstanding</w:t>
            </w: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jc w:val="right"/>
              <w:ind w:right="66"/>
              <w:spacing w:after="0"/>
              <w:rPr>
                <w:sz w:val="20"/>
                <w:szCs w:val="20"/>
                <w:color w:val="auto"/>
              </w:rPr>
            </w:pPr>
            <w:r>
              <w:rPr>
                <w:rFonts w:ascii="Arial" w:cs="Arial" w:eastAsia="Arial" w:hAnsi="Arial"/>
                <w:sz w:val="11"/>
                <w:szCs w:val="11"/>
                <w:b w:val="1"/>
                <w:bCs w:val="1"/>
                <w:color w:val="auto"/>
              </w:rPr>
              <w:t>Share</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jc w:val="right"/>
              <w:ind w:right="46"/>
              <w:spacing w:after="0"/>
              <w:rPr>
                <w:sz w:val="20"/>
                <w:szCs w:val="20"/>
                <w:color w:val="auto"/>
              </w:rPr>
            </w:pPr>
            <w:r>
              <w:rPr>
                <w:rFonts w:ascii="Arial" w:cs="Arial" w:eastAsia="Arial" w:hAnsi="Arial"/>
                <w:sz w:val="11"/>
                <w:szCs w:val="11"/>
                <w:b w:val="1"/>
                <w:bCs w:val="1"/>
                <w:color w:val="auto"/>
                <w:w w:val="88"/>
              </w:rPr>
              <w:t>Value</w:t>
            </w:r>
          </w:p>
        </w:tc>
        <w:tc>
          <w:tcPr>
            <w:tcW w:w="180" w:type="dxa"/>
            <w:vAlign w:val="bottom"/>
          </w:tcPr>
          <w:p>
            <w:pPr>
              <w:spacing w:after="0"/>
              <w:rPr>
                <w:sz w:val="11"/>
                <w:szCs w:val="11"/>
                <w:color w:val="auto"/>
              </w:rPr>
            </w:pPr>
          </w:p>
        </w:tc>
        <w:tc>
          <w:tcPr>
            <w:tcW w:w="640" w:type="dxa"/>
            <w:vAlign w:val="bottom"/>
            <w:gridSpan w:val="3"/>
          </w:tcPr>
          <w:p>
            <w:pPr>
              <w:ind w:left="20"/>
              <w:spacing w:after="0"/>
              <w:rPr>
                <w:sz w:val="20"/>
                <w:szCs w:val="20"/>
                <w:color w:val="auto"/>
              </w:rPr>
            </w:pPr>
            <w:r>
              <w:rPr>
                <w:rFonts w:ascii="Arial" w:cs="Arial" w:eastAsia="Arial" w:hAnsi="Arial"/>
                <w:sz w:val="11"/>
                <w:szCs w:val="11"/>
                <w:b w:val="1"/>
                <w:bCs w:val="1"/>
                <w:color w:val="auto"/>
              </w:rPr>
              <w:t>Preference</w:t>
            </w:r>
          </w:p>
        </w:tc>
      </w:tr>
      <w:tr>
        <w:trPr>
          <w:trHeight w:val="115"/>
        </w:trPr>
        <w:tc>
          <w:tcPr>
            <w:tcW w:w="3740" w:type="dxa"/>
            <w:vAlign w:val="bottom"/>
            <w:tcBorders>
              <w:top w:val="single" w:sz="8" w:color="CCEEFF"/>
            </w:tcBorders>
            <w:shd w:val="clear" w:color="auto" w:fill="CCEEFF"/>
          </w:tcPr>
          <w:p>
            <w:pPr>
              <w:spacing w:after="0"/>
              <w:rPr>
                <w:sz w:val="10"/>
                <w:szCs w:val="10"/>
                <w:color w:val="auto"/>
              </w:rPr>
            </w:pPr>
          </w:p>
        </w:tc>
        <w:tc>
          <w:tcPr>
            <w:tcW w:w="640" w:type="dxa"/>
            <w:vAlign w:val="bottom"/>
            <w:tcBorders>
              <w:top w:val="single" w:sz="8" w:color="auto"/>
            </w:tcBorders>
            <w:shd w:val="clear" w:color="auto" w:fill="CCEEFF"/>
          </w:tcPr>
          <w:p>
            <w:pPr>
              <w:spacing w:after="0"/>
              <w:rPr>
                <w:sz w:val="10"/>
                <w:szCs w:val="10"/>
                <w:color w:val="auto"/>
              </w:rPr>
            </w:pPr>
          </w:p>
        </w:tc>
        <w:tc>
          <w:tcPr>
            <w:tcW w:w="180" w:type="dxa"/>
            <w:vAlign w:val="bottom"/>
            <w:tcBorders>
              <w:top w:val="single" w:sz="8" w:color="CCEEFF"/>
            </w:tcBorders>
            <w:shd w:val="clear" w:color="auto" w:fill="CCEEFF"/>
          </w:tcPr>
          <w:p>
            <w:pPr>
              <w:spacing w:after="0"/>
              <w:rPr>
                <w:sz w:val="10"/>
                <w:szCs w:val="10"/>
                <w:color w:val="auto"/>
              </w:rPr>
            </w:pPr>
          </w:p>
        </w:tc>
        <w:tc>
          <w:tcPr>
            <w:tcW w:w="640" w:type="dxa"/>
            <w:vAlign w:val="bottom"/>
            <w:tcBorders>
              <w:top w:val="single" w:sz="8" w:color="auto"/>
            </w:tcBorders>
            <w:shd w:val="clear" w:color="auto" w:fill="CCEEFF"/>
          </w:tcPr>
          <w:p>
            <w:pPr>
              <w:spacing w:after="0"/>
              <w:rPr>
                <w:sz w:val="10"/>
                <w:szCs w:val="10"/>
                <w:color w:val="auto"/>
              </w:rPr>
            </w:pPr>
          </w:p>
        </w:tc>
        <w:tc>
          <w:tcPr>
            <w:tcW w:w="18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460" w:type="dxa"/>
            <w:vAlign w:val="bottom"/>
            <w:tcBorders>
              <w:top w:val="single" w:sz="8" w:color="auto"/>
            </w:tcBorders>
            <w:shd w:val="clear" w:color="auto" w:fill="CCEEFF"/>
          </w:tcPr>
          <w:p>
            <w:pPr>
              <w:spacing w:after="0"/>
              <w:rPr>
                <w:sz w:val="10"/>
                <w:szCs w:val="10"/>
                <w:color w:val="auto"/>
              </w:rPr>
            </w:pPr>
          </w:p>
        </w:tc>
        <w:tc>
          <w:tcPr>
            <w:tcW w:w="18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860" w:type="dxa"/>
            <w:vAlign w:val="bottom"/>
            <w:tcBorders>
              <w:top w:val="single" w:sz="8" w:color="auto"/>
            </w:tcBorders>
            <w:gridSpan w:val="3"/>
            <w:shd w:val="clear" w:color="auto" w:fill="CCEEFF"/>
          </w:tcPr>
          <w:p>
            <w:pPr>
              <w:ind w:left="260"/>
              <w:spacing w:after="0" w:line="115" w:lineRule="exact"/>
              <w:rPr>
                <w:sz w:val="20"/>
                <w:szCs w:val="20"/>
                <w:color w:val="auto"/>
              </w:rPr>
            </w:pPr>
            <w:r>
              <w:rPr>
                <w:rFonts w:ascii="Arial" w:cs="Arial" w:eastAsia="Arial" w:hAnsi="Arial"/>
                <w:sz w:val="11"/>
                <w:szCs w:val="11"/>
                <w:b w:val="1"/>
                <w:bCs w:val="1"/>
                <w:color w:val="auto"/>
                <w:w w:val="93"/>
              </w:rPr>
              <w:t>(in millions)</w:t>
            </w:r>
          </w:p>
        </w:tc>
        <w:tc>
          <w:tcPr>
            <w:tcW w:w="280" w:type="dxa"/>
            <w:vAlign w:val="bottom"/>
            <w:tcBorders>
              <w:top w:val="single" w:sz="8" w:color="auto"/>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r>
      <w:tr>
        <w:trPr>
          <w:trHeight w:val="126"/>
        </w:trPr>
        <w:tc>
          <w:tcPr>
            <w:tcW w:w="3740" w:type="dxa"/>
            <w:vAlign w:val="bottom"/>
          </w:tcPr>
          <w:p>
            <w:pPr>
              <w:spacing w:after="0"/>
              <w:rPr>
                <w:sz w:val="20"/>
                <w:szCs w:val="20"/>
                <w:color w:val="auto"/>
              </w:rPr>
            </w:pPr>
            <w:r>
              <w:rPr>
                <w:rFonts w:ascii="Arial" w:cs="Arial" w:eastAsia="Arial" w:hAnsi="Arial"/>
                <w:sz w:val="11"/>
                <w:szCs w:val="11"/>
                <w:color w:val="auto"/>
              </w:rPr>
              <w:t>Series A</w:t>
            </w:r>
          </w:p>
        </w:tc>
        <w:tc>
          <w:tcPr>
            <w:tcW w:w="640" w:type="dxa"/>
            <w:vAlign w:val="bottom"/>
          </w:tcPr>
          <w:p>
            <w:pPr>
              <w:jc w:val="right"/>
              <w:spacing w:after="0"/>
              <w:rPr>
                <w:sz w:val="20"/>
                <w:szCs w:val="20"/>
                <w:color w:val="auto"/>
              </w:rPr>
            </w:pPr>
            <w:r>
              <w:rPr>
                <w:rFonts w:ascii="Arial" w:cs="Arial" w:eastAsia="Arial" w:hAnsi="Arial"/>
                <w:sz w:val="11"/>
                <w:szCs w:val="11"/>
                <w:color w:val="auto"/>
              </w:rPr>
              <w:t>10,617,908</w:t>
            </w:r>
          </w:p>
        </w:tc>
        <w:tc>
          <w:tcPr>
            <w:tcW w:w="820" w:type="dxa"/>
            <w:vAlign w:val="bottom"/>
            <w:gridSpan w:val="2"/>
          </w:tcPr>
          <w:p>
            <w:pPr>
              <w:jc w:val="right"/>
              <w:spacing w:after="0"/>
              <w:rPr>
                <w:sz w:val="20"/>
                <w:szCs w:val="20"/>
                <w:color w:val="auto"/>
              </w:rPr>
            </w:pPr>
            <w:r>
              <w:rPr>
                <w:rFonts w:ascii="Arial" w:cs="Arial" w:eastAsia="Arial" w:hAnsi="Arial"/>
                <w:sz w:val="11"/>
                <w:szCs w:val="11"/>
                <w:color w:val="auto"/>
              </w:rPr>
              <w:t>9,526,464</w:t>
            </w:r>
          </w:p>
        </w:tc>
        <w:tc>
          <w:tcPr>
            <w:tcW w:w="24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460" w:type="dxa"/>
            <w:vAlign w:val="bottom"/>
          </w:tcPr>
          <w:p>
            <w:pPr>
              <w:jc w:val="right"/>
              <w:spacing w:after="0"/>
              <w:rPr>
                <w:sz w:val="20"/>
                <w:szCs w:val="20"/>
                <w:color w:val="auto"/>
              </w:rPr>
            </w:pPr>
            <w:r>
              <w:rPr>
                <w:rFonts w:ascii="Arial" w:cs="Arial" w:eastAsia="Arial" w:hAnsi="Arial"/>
                <w:sz w:val="11"/>
                <w:szCs w:val="11"/>
                <w:color w:val="auto"/>
              </w:rPr>
              <w:t>0.25000</w:t>
            </w:r>
          </w:p>
        </w:tc>
        <w:tc>
          <w:tcPr>
            <w:tcW w:w="260" w:type="dxa"/>
            <w:vAlign w:val="bottom"/>
            <w:gridSpan w:val="2"/>
          </w:tcPr>
          <w:p>
            <w:pPr>
              <w:ind w:left="180"/>
              <w:spacing w:after="0"/>
              <w:rPr>
                <w:sz w:val="20"/>
                <w:szCs w:val="20"/>
                <w:color w:val="auto"/>
              </w:rPr>
            </w:pPr>
            <w:r>
              <w:rPr>
                <w:rFonts w:ascii="Arial" w:cs="Arial" w:eastAsia="Arial" w:hAnsi="Arial"/>
                <w:sz w:val="11"/>
                <w:szCs w:val="11"/>
                <w:color w:val="auto"/>
                <w:w w:val="97"/>
              </w:rPr>
              <w:t>$</w:t>
            </w:r>
          </w:p>
        </w:tc>
        <w:tc>
          <w:tcPr>
            <w:tcW w:w="380" w:type="dxa"/>
            <w:vAlign w:val="bottom"/>
          </w:tcPr>
          <w:p>
            <w:pPr>
              <w:jc w:val="right"/>
              <w:spacing w:after="0"/>
              <w:rPr>
                <w:sz w:val="20"/>
                <w:szCs w:val="20"/>
                <w:color w:val="auto"/>
              </w:rPr>
            </w:pPr>
            <w:r>
              <w:rPr>
                <w:rFonts w:ascii="Arial" w:cs="Arial" w:eastAsia="Arial" w:hAnsi="Arial"/>
                <w:sz w:val="11"/>
                <w:szCs w:val="11"/>
                <w:color w:val="auto"/>
              </w:rPr>
              <w:t>2.4</w:t>
            </w:r>
          </w:p>
        </w:tc>
        <w:tc>
          <w:tcPr>
            <w:tcW w:w="480" w:type="dxa"/>
            <w:vAlign w:val="bottom"/>
            <w:gridSpan w:val="2"/>
          </w:tcPr>
          <w:p>
            <w:pPr>
              <w:ind w:left="180"/>
              <w:spacing w:after="0"/>
              <w:rPr>
                <w:sz w:val="20"/>
                <w:szCs w:val="20"/>
                <w:color w:val="auto"/>
              </w:rPr>
            </w:pPr>
            <w:r>
              <w:rPr>
                <w:rFonts w:ascii="Arial" w:cs="Arial" w:eastAsia="Arial" w:hAnsi="Arial"/>
                <w:sz w:val="11"/>
                <w:szCs w:val="11"/>
                <w:color w:val="auto"/>
              </w:rPr>
              <w:t>$</w:t>
            </w:r>
          </w:p>
        </w:tc>
        <w:tc>
          <w:tcPr>
            <w:tcW w:w="280" w:type="dxa"/>
            <w:vAlign w:val="bottom"/>
          </w:tcPr>
          <w:p>
            <w:pPr>
              <w:jc w:val="right"/>
              <w:spacing w:after="0"/>
              <w:rPr>
                <w:sz w:val="20"/>
                <w:szCs w:val="20"/>
                <w:color w:val="auto"/>
              </w:rPr>
            </w:pPr>
            <w:r>
              <w:rPr>
                <w:rFonts w:ascii="Arial" w:cs="Arial" w:eastAsia="Arial" w:hAnsi="Arial"/>
                <w:sz w:val="11"/>
                <w:szCs w:val="11"/>
                <w:color w:val="auto"/>
              </w:rPr>
              <w:t>2.4</w:t>
            </w:r>
          </w:p>
        </w:tc>
        <w:tc>
          <w:tcPr>
            <w:tcW w:w="60" w:type="dxa"/>
            <w:vAlign w:val="bottom"/>
          </w:tcPr>
          <w:p>
            <w:pPr>
              <w:spacing w:after="0"/>
              <w:rPr>
                <w:sz w:val="10"/>
                <w:szCs w:val="10"/>
                <w:color w:val="auto"/>
              </w:rPr>
            </w:pPr>
          </w:p>
        </w:tc>
      </w:tr>
      <w:tr>
        <w:trPr>
          <w:trHeight w:val="126"/>
        </w:trPr>
        <w:tc>
          <w:tcPr>
            <w:tcW w:w="3740" w:type="dxa"/>
            <w:vAlign w:val="bottom"/>
            <w:shd w:val="clear" w:color="auto" w:fill="CCEEFF"/>
          </w:tcPr>
          <w:p>
            <w:pPr>
              <w:spacing w:after="0"/>
              <w:rPr>
                <w:sz w:val="20"/>
                <w:szCs w:val="20"/>
                <w:color w:val="auto"/>
              </w:rPr>
            </w:pPr>
            <w:r>
              <w:rPr>
                <w:rFonts w:ascii="Arial" w:cs="Arial" w:eastAsia="Arial" w:hAnsi="Arial"/>
                <w:sz w:val="11"/>
                <w:szCs w:val="11"/>
                <w:color w:val="auto"/>
              </w:rPr>
              <w:t>Series B</w:t>
            </w:r>
          </w:p>
        </w:tc>
        <w:tc>
          <w:tcPr>
            <w:tcW w:w="6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25,799,744</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24,699,487</w:t>
            </w:r>
          </w:p>
        </w:tc>
        <w:tc>
          <w:tcPr>
            <w:tcW w:w="1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0.35528</w:t>
            </w:r>
          </w:p>
        </w:tc>
        <w:tc>
          <w:tcPr>
            <w:tcW w:w="1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8.8</w:t>
            </w:r>
          </w:p>
        </w:tc>
        <w:tc>
          <w:tcPr>
            <w:tcW w:w="18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8.8</w:t>
            </w:r>
          </w:p>
        </w:tc>
        <w:tc>
          <w:tcPr>
            <w:tcW w:w="60" w:type="dxa"/>
            <w:vAlign w:val="bottom"/>
            <w:shd w:val="clear" w:color="auto" w:fill="CCEEFF"/>
          </w:tcPr>
          <w:p>
            <w:pPr>
              <w:spacing w:after="0"/>
              <w:rPr>
                <w:sz w:val="10"/>
                <w:szCs w:val="10"/>
                <w:color w:val="auto"/>
              </w:rPr>
            </w:pPr>
          </w:p>
        </w:tc>
      </w:tr>
      <w:tr>
        <w:trPr>
          <w:trHeight w:val="126"/>
        </w:trPr>
        <w:tc>
          <w:tcPr>
            <w:tcW w:w="3740" w:type="dxa"/>
            <w:vAlign w:val="bottom"/>
          </w:tcPr>
          <w:p>
            <w:pPr>
              <w:spacing w:after="0"/>
              <w:rPr>
                <w:sz w:val="20"/>
                <w:szCs w:val="20"/>
                <w:color w:val="auto"/>
              </w:rPr>
            </w:pPr>
            <w:r>
              <w:rPr>
                <w:rFonts w:ascii="Arial" w:cs="Arial" w:eastAsia="Arial" w:hAnsi="Arial"/>
                <w:sz w:val="11"/>
                <w:szCs w:val="11"/>
                <w:color w:val="auto"/>
              </w:rPr>
              <w:t>Series C</w:t>
            </w:r>
          </w:p>
        </w:tc>
        <w:tc>
          <w:tcPr>
            <w:tcW w:w="640" w:type="dxa"/>
            <w:vAlign w:val="bottom"/>
          </w:tcPr>
          <w:p>
            <w:pPr>
              <w:jc w:val="right"/>
              <w:spacing w:after="0"/>
              <w:rPr>
                <w:sz w:val="20"/>
                <w:szCs w:val="20"/>
                <w:color w:val="auto"/>
              </w:rPr>
            </w:pPr>
            <w:r>
              <w:rPr>
                <w:rFonts w:ascii="Arial" w:cs="Arial" w:eastAsia="Arial" w:hAnsi="Arial"/>
                <w:sz w:val="11"/>
                <w:szCs w:val="11"/>
                <w:color w:val="auto"/>
              </w:rPr>
              <w:t>48,246,732</w:t>
            </w:r>
          </w:p>
        </w:tc>
        <w:tc>
          <w:tcPr>
            <w:tcW w:w="820" w:type="dxa"/>
            <w:vAlign w:val="bottom"/>
            <w:gridSpan w:val="2"/>
          </w:tcPr>
          <w:p>
            <w:pPr>
              <w:jc w:val="right"/>
              <w:spacing w:after="0"/>
              <w:rPr>
                <w:sz w:val="20"/>
                <w:szCs w:val="20"/>
                <w:color w:val="auto"/>
              </w:rPr>
            </w:pPr>
            <w:r>
              <w:rPr>
                <w:rFonts w:ascii="Arial" w:cs="Arial" w:eastAsia="Arial" w:hAnsi="Arial"/>
                <w:sz w:val="11"/>
                <w:szCs w:val="11"/>
                <w:color w:val="auto"/>
              </w:rPr>
              <w:t>47,248,364</w:t>
            </w: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0.55427</w:t>
            </w: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jc w:val="right"/>
              <w:spacing w:after="0"/>
              <w:rPr>
                <w:sz w:val="20"/>
                <w:szCs w:val="20"/>
                <w:color w:val="auto"/>
              </w:rPr>
            </w:pPr>
            <w:r>
              <w:rPr>
                <w:rFonts w:ascii="Arial" w:cs="Arial" w:eastAsia="Arial" w:hAnsi="Arial"/>
                <w:sz w:val="11"/>
                <w:szCs w:val="11"/>
                <w:color w:val="auto"/>
              </w:rPr>
              <w:t>26.0</w:t>
            </w:r>
          </w:p>
        </w:tc>
        <w:tc>
          <w:tcPr>
            <w:tcW w:w="1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80" w:type="dxa"/>
            <w:vAlign w:val="bottom"/>
          </w:tcPr>
          <w:p>
            <w:pPr>
              <w:jc w:val="right"/>
              <w:spacing w:after="0"/>
              <w:rPr>
                <w:sz w:val="20"/>
                <w:szCs w:val="20"/>
                <w:color w:val="auto"/>
              </w:rPr>
            </w:pPr>
            <w:r>
              <w:rPr>
                <w:rFonts w:ascii="Arial" w:cs="Arial" w:eastAsia="Arial" w:hAnsi="Arial"/>
                <w:sz w:val="11"/>
                <w:szCs w:val="11"/>
                <w:color w:val="auto"/>
              </w:rPr>
              <w:t>26.2</w:t>
            </w:r>
          </w:p>
        </w:tc>
        <w:tc>
          <w:tcPr>
            <w:tcW w:w="60" w:type="dxa"/>
            <w:vAlign w:val="bottom"/>
          </w:tcPr>
          <w:p>
            <w:pPr>
              <w:spacing w:after="0"/>
              <w:rPr>
                <w:sz w:val="10"/>
                <w:szCs w:val="10"/>
                <w:color w:val="auto"/>
              </w:rPr>
            </w:pPr>
          </w:p>
        </w:tc>
      </w:tr>
      <w:tr>
        <w:trPr>
          <w:trHeight w:val="126"/>
        </w:trPr>
        <w:tc>
          <w:tcPr>
            <w:tcW w:w="3740" w:type="dxa"/>
            <w:vAlign w:val="bottom"/>
            <w:shd w:val="clear" w:color="auto" w:fill="CCEEFF"/>
          </w:tcPr>
          <w:p>
            <w:pPr>
              <w:spacing w:after="0"/>
              <w:rPr>
                <w:sz w:val="20"/>
                <w:szCs w:val="20"/>
                <w:color w:val="auto"/>
              </w:rPr>
            </w:pPr>
            <w:r>
              <w:rPr>
                <w:rFonts w:ascii="Arial" w:cs="Arial" w:eastAsia="Arial" w:hAnsi="Arial"/>
                <w:sz w:val="11"/>
                <w:szCs w:val="11"/>
                <w:color w:val="auto"/>
              </w:rPr>
              <w:t>Series D</w:t>
            </w:r>
          </w:p>
        </w:tc>
        <w:tc>
          <w:tcPr>
            <w:tcW w:w="6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31,635,604</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31,635,604</w:t>
            </w:r>
          </w:p>
        </w:tc>
        <w:tc>
          <w:tcPr>
            <w:tcW w:w="1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1.66458</w:t>
            </w:r>
          </w:p>
        </w:tc>
        <w:tc>
          <w:tcPr>
            <w:tcW w:w="1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52.3</w:t>
            </w:r>
          </w:p>
        </w:tc>
        <w:tc>
          <w:tcPr>
            <w:tcW w:w="18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52.7</w:t>
            </w:r>
          </w:p>
        </w:tc>
        <w:tc>
          <w:tcPr>
            <w:tcW w:w="60" w:type="dxa"/>
            <w:vAlign w:val="bottom"/>
            <w:shd w:val="clear" w:color="auto" w:fill="CCEEFF"/>
          </w:tcPr>
          <w:p>
            <w:pPr>
              <w:spacing w:after="0"/>
              <w:rPr>
                <w:sz w:val="10"/>
                <w:szCs w:val="10"/>
                <w:color w:val="auto"/>
              </w:rPr>
            </w:pPr>
          </w:p>
        </w:tc>
      </w:tr>
      <w:tr>
        <w:trPr>
          <w:trHeight w:val="126"/>
        </w:trPr>
        <w:tc>
          <w:tcPr>
            <w:tcW w:w="3740" w:type="dxa"/>
            <w:vAlign w:val="bottom"/>
          </w:tcPr>
          <w:p>
            <w:pPr>
              <w:spacing w:after="0"/>
              <w:rPr>
                <w:sz w:val="20"/>
                <w:szCs w:val="20"/>
                <w:color w:val="auto"/>
              </w:rPr>
            </w:pPr>
            <w:r>
              <w:rPr>
                <w:rFonts w:ascii="Arial" w:cs="Arial" w:eastAsia="Arial" w:hAnsi="Arial"/>
                <w:sz w:val="11"/>
                <w:szCs w:val="11"/>
                <w:color w:val="auto"/>
              </w:rPr>
              <w:t>Series E</w:t>
            </w:r>
          </w:p>
        </w:tc>
        <w:tc>
          <w:tcPr>
            <w:tcW w:w="640" w:type="dxa"/>
            <w:vAlign w:val="bottom"/>
          </w:tcPr>
          <w:p>
            <w:pPr>
              <w:jc w:val="right"/>
              <w:spacing w:after="0"/>
              <w:rPr>
                <w:sz w:val="20"/>
                <w:szCs w:val="20"/>
                <w:color w:val="auto"/>
              </w:rPr>
            </w:pPr>
            <w:r>
              <w:rPr>
                <w:rFonts w:ascii="Arial" w:cs="Arial" w:eastAsia="Arial" w:hAnsi="Arial"/>
                <w:sz w:val="11"/>
                <w:szCs w:val="11"/>
                <w:color w:val="auto"/>
              </w:rPr>
              <w:t>60,013,480</w:t>
            </w:r>
          </w:p>
        </w:tc>
        <w:tc>
          <w:tcPr>
            <w:tcW w:w="820" w:type="dxa"/>
            <w:vAlign w:val="bottom"/>
            <w:gridSpan w:val="2"/>
          </w:tcPr>
          <w:p>
            <w:pPr>
              <w:jc w:val="right"/>
              <w:spacing w:after="0"/>
              <w:rPr>
                <w:sz w:val="20"/>
                <w:szCs w:val="20"/>
                <w:color w:val="auto"/>
              </w:rPr>
            </w:pPr>
            <w:r>
              <w:rPr>
                <w:rFonts w:ascii="Arial" w:cs="Arial" w:eastAsia="Arial" w:hAnsi="Arial"/>
                <w:sz w:val="11"/>
                <w:szCs w:val="11"/>
                <w:color w:val="auto"/>
              </w:rPr>
              <w:t>59,442,510</w:t>
            </w: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5.41545</w:t>
            </w: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jc w:val="right"/>
              <w:spacing w:after="0"/>
              <w:rPr>
                <w:sz w:val="20"/>
                <w:szCs w:val="20"/>
                <w:color w:val="auto"/>
              </w:rPr>
            </w:pPr>
            <w:r>
              <w:rPr>
                <w:rFonts w:ascii="Arial" w:cs="Arial" w:eastAsia="Arial" w:hAnsi="Arial"/>
                <w:sz w:val="11"/>
                <w:szCs w:val="11"/>
                <w:color w:val="auto"/>
              </w:rPr>
              <w:t>312.5</w:t>
            </w:r>
          </w:p>
        </w:tc>
        <w:tc>
          <w:tcPr>
            <w:tcW w:w="1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80" w:type="dxa"/>
            <w:vAlign w:val="bottom"/>
          </w:tcPr>
          <w:p>
            <w:pPr>
              <w:jc w:val="right"/>
              <w:spacing w:after="0"/>
              <w:rPr>
                <w:sz w:val="20"/>
                <w:szCs w:val="20"/>
                <w:color w:val="auto"/>
              </w:rPr>
            </w:pPr>
            <w:r>
              <w:rPr>
                <w:rFonts w:ascii="Arial" w:cs="Arial" w:eastAsia="Arial" w:hAnsi="Arial"/>
                <w:sz w:val="11"/>
                <w:szCs w:val="11"/>
                <w:color w:val="auto"/>
                <w:w w:val="94"/>
              </w:rPr>
              <w:t>321.9</w:t>
            </w:r>
          </w:p>
        </w:tc>
        <w:tc>
          <w:tcPr>
            <w:tcW w:w="60" w:type="dxa"/>
            <w:vAlign w:val="bottom"/>
          </w:tcPr>
          <w:p>
            <w:pPr>
              <w:spacing w:after="0"/>
              <w:rPr>
                <w:sz w:val="10"/>
                <w:szCs w:val="10"/>
                <w:color w:val="auto"/>
              </w:rPr>
            </w:pPr>
          </w:p>
        </w:tc>
      </w:tr>
      <w:tr>
        <w:trPr>
          <w:trHeight w:val="126"/>
        </w:trPr>
        <w:tc>
          <w:tcPr>
            <w:tcW w:w="3740" w:type="dxa"/>
            <w:vAlign w:val="bottom"/>
            <w:shd w:val="clear" w:color="auto" w:fill="CCEEFF"/>
          </w:tcPr>
          <w:p>
            <w:pPr>
              <w:spacing w:after="0"/>
              <w:rPr>
                <w:sz w:val="20"/>
                <w:szCs w:val="20"/>
                <w:color w:val="auto"/>
              </w:rPr>
            </w:pPr>
            <w:r>
              <w:rPr>
                <w:rFonts w:ascii="Arial" w:cs="Arial" w:eastAsia="Arial" w:hAnsi="Arial"/>
                <w:sz w:val="11"/>
                <w:szCs w:val="11"/>
                <w:color w:val="auto"/>
              </w:rPr>
              <w:t>Series F</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39,130,000</w:t>
            </w:r>
          </w:p>
        </w:tc>
        <w:tc>
          <w:tcPr>
            <w:tcW w:w="180" w:type="dxa"/>
            <w:vAlign w:val="bottom"/>
            <w:shd w:val="clear" w:color="auto" w:fill="CCEEFF"/>
          </w:tcPr>
          <w:p>
            <w:pPr>
              <w:spacing w:after="0"/>
              <w:rPr>
                <w:sz w:val="10"/>
                <w:szCs w:val="10"/>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38,088,200</w:t>
            </w:r>
          </w:p>
        </w:tc>
        <w:tc>
          <w:tcPr>
            <w:tcW w:w="1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5"/>
              </w:rPr>
              <w:t>14.44018</w:t>
            </w:r>
          </w:p>
        </w:tc>
        <w:tc>
          <w:tcPr>
            <w:tcW w:w="180" w:type="dxa"/>
            <w:vAlign w:val="bottom"/>
            <w:shd w:val="clear" w:color="auto" w:fill="CCEEFF"/>
          </w:tcPr>
          <w:p>
            <w:pPr>
              <w:spacing w:after="0"/>
              <w:rPr>
                <w:sz w:val="10"/>
                <w:szCs w:val="10"/>
                <w:color w:val="auto"/>
              </w:rPr>
            </w:pPr>
          </w:p>
        </w:tc>
        <w:tc>
          <w:tcPr>
            <w:tcW w:w="80" w:type="dxa"/>
            <w:vAlign w:val="bottom"/>
            <w:tcBorders>
              <w:bottom w:val="single" w:sz="8" w:color="auto"/>
            </w:tcBorders>
            <w:shd w:val="clear" w:color="auto" w:fill="CCEEFF"/>
          </w:tcPr>
          <w:p>
            <w:pPr>
              <w:spacing w:after="0"/>
              <w:rPr>
                <w:sz w:val="10"/>
                <w:szCs w:val="10"/>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539.1</w:t>
            </w:r>
          </w:p>
        </w:tc>
        <w:tc>
          <w:tcPr>
            <w:tcW w:w="180" w:type="dxa"/>
            <w:vAlign w:val="bottom"/>
            <w:shd w:val="clear" w:color="auto" w:fill="CCEEFF"/>
          </w:tcPr>
          <w:p>
            <w:pPr>
              <w:spacing w:after="0"/>
              <w:rPr>
                <w:sz w:val="10"/>
                <w:szCs w:val="10"/>
                <w:color w:val="auto"/>
              </w:rPr>
            </w:pPr>
          </w:p>
        </w:tc>
        <w:tc>
          <w:tcPr>
            <w:tcW w:w="300" w:type="dxa"/>
            <w:vAlign w:val="bottom"/>
            <w:tcBorders>
              <w:bottom w:val="single" w:sz="8" w:color="auto"/>
            </w:tcBorders>
            <w:shd w:val="clear" w:color="auto" w:fill="CCEEFF"/>
          </w:tcPr>
          <w:p>
            <w:pPr>
              <w:spacing w:after="0"/>
              <w:rPr>
                <w:sz w:val="10"/>
                <w:szCs w:val="10"/>
                <w:color w:val="auto"/>
              </w:rPr>
            </w:pP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4"/>
              </w:rPr>
              <w:t>550.0</w:t>
            </w:r>
          </w:p>
        </w:tc>
        <w:tc>
          <w:tcPr>
            <w:tcW w:w="60" w:type="dxa"/>
            <w:vAlign w:val="bottom"/>
            <w:shd w:val="clear" w:color="auto" w:fill="CCEEFF"/>
          </w:tcPr>
          <w:p>
            <w:pPr>
              <w:spacing w:after="0"/>
              <w:rPr>
                <w:sz w:val="10"/>
                <w:szCs w:val="10"/>
                <w:color w:val="auto"/>
              </w:rPr>
            </w:pPr>
          </w:p>
        </w:tc>
      </w:tr>
      <w:tr>
        <w:trPr>
          <w:trHeight w:val="124"/>
        </w:trPr>
        <w:tc>
          <w:tcPr>
            <w:tcW w:w="3740" w:type="dxa"/>
            <w:vAlign w:val="bottom"/>
          </w:tcPr>
          <w:p>
            <w:pPr>
              <w:ind w:left="220"/>
              <w:spacing w:after="0" w:line="124" w:lineRule="exact"/>
              <w:rPr>
                <w:sz w:val="20"/>
                <w:szCs w:val="20"/>
                <w:color w:val="auto"/>
              </w:rPr>
            </w:pPr>
            <w:r>
              <w:rPr>
                <w:rFonts w:ascii="Arial" w:cs="Arial" w:eastAsia="Arial" w:hAnsi="Arial"/>
                <w:sz w:val="11"/>
                <w:szCs w:val="11"/>
                <w:color w:val="auto"/>
              </w:rPr>
              <w:t>Total redeemable convertible preferred stock</w:t>
            </w:r>
          </w:p>
        </w:tc>
        <w:tc>
          <w:tcPr>
            <w:tcW w:w="640" w:type="dxa"/>
            <w:vAlign w:val="bottom"/>
          </w:tcPr>
          <w:p>
            <w:pPr>
              <w:jc w:val="right"/>
              <w:spacing w:after="0" w:line="124" w:lineRule="exact"/>
              <w:rPr>
                <w:sz w:val="20"/>
                <w:szCs w:val="20"/>
                <w:color w:val="auto"/>
              </w:rPr>
            </w:pPr>
            <w:r>
              <w:rPr>
                <w:rFonts w:ascii="Arial" w:cs="Arial" w:eastAsia="Arial" w:hAnsi="Arial"/>
                <w:sz w:val="11"/>
                <w:szCs w:val="11"/>
                <w:color w:val="auto"/>
              </w:rPr>
              <w:t>215,443,468</w:t>
            </w:r>
          </w:p>
        </w:tc>
        <w:tc>
          <w:tcPr>
            <w:tcW w:w="180" w:type="dxa"/>
            <w:vAlign w:val="bottom"/>
          </w:tcPr>
          <w:p>
            <w:pPr>
              <w:spacing w:after="0"/>
              <w:rPr>
                <w:sz w:val="10"/>
                <w:szCs w:val="10"/>
                <w:color w:val="auto"/>
              </w:rPr>
            </w:pPr>
          </w:p>
        </w:tc>
        <w:tc>
          <w:tcPr>
            <w:tcW w:w="640" w:type="dxa"/>
            <w:vAlign w:val="bottom"/>
          </w:tcPr>
          <w:p>
            <w:pPr>
              <w:jc w:val="right"/>
              <w:spacing w:after="0" w:line="124" w:lineRule="exact"/>
              <w:rPr>
                <w:sz w:val="20"/>
                <w:szCs w:val="20"/>
                <w:color w:val="auto"/>
              </w:rPr>
            </w:pPr>
            <w:r>
              <w:rPr>
                <w:rFonts w:ascii="Arial" w:cs="Arial" w:eastAsia="Arial" w:hAnsi="Arial"/>
                <w:sz w:val="11"/>
                <w:szCs w:val="11"/>
                <w:color w:val="auto"/>
              </w:rPr>
              <w:t>210,640,629</w:t>
            </w: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60" w:type="dxa"/>
            <w:vAlign w:val="bottom"/>
            <w:gridSpan w:val="2"/>
          </w:tcPr>
          <w:p>
            <w:pPr>
              <w:ind w:left="180"/>
              <w:spacing w:after="0" w:line="124" w:lineRule="exact"/>
              <w:rPr>
                <w:sz w:val="20"/>
                <w:szCs w:val="20"/>
                <w:color w:val="auto"/>
              </w:rPr>
            </w:pPr>
            <w:r>
              <w:rPr>
                <w:rFonts w:ascii="Arial" w:cs="Arial" w:eastAsia="Arial" w:hAnsi="Arial"/>
                <w:sz w:val="11"/>
                <w:szCs w:val="11"/>
                <w:color w:val="auto"/>
                <w:w w:val="97"/>
              </w:rPr>
              <w:t>$</w:t>
            </w:r>
          </w:p>
        </w:tc>
        <w:tc>
          <w:tcPr>
            <w:tcW w:w="380" w:type="dxa"/>
            <w:vAlign w:val="bottom"/>
          </w:tcPr>
          <w:p>
            <w:pPr>
              <w:jc w:val="right"/>
              <w:spacing w:after="0" w:line="124" w:lineRule="exact"/>
              <w:rPr>
                <w:sz w:val="20"/>
                <w:szCs w:val="20"/>
                <w:color w:val="auto"/>
              </w:rPr>
            </w:pPr>
            <w:r>
              <w:rPr>
                <w:rFonts w:ascii="Arial" w:cs="Arial" w:eastAsia="Arial" w:hAnsi="Arial"/>
                <w:sz w:val="11"/>
                <w:szCs w:val="11"/>
                <w:color w:val="auto"/>
              </w:rPr>
              <w:t>941.1</w:t>
            </w:r>
          </w:p>
        </w:tc>
        <w:tc>
          <w:tcPr>
            <w:tcW w:w="480" w:type="dxa"/>
            <w:vAlign w:val="bottom"/>
            <w:gridSpan w:val="2"/>
          </w:tcPr>
          <w:p>
            <w:pPr>
              <w:ind w:left="180"/>
              <w:spacing w:after="0" w:line="124" w:lineRule="exact"/>
              <w:rPr>
                <w:sz w:val="20"/>
                <w:szCs w:val="20"/>
                <w:color w:val="auto"/>
              </w:rPr>
            </w:pPr>
            <w:r>
              <w:rPr>
                <w:rFonts w:ascii="Arial" w:cs="Arial" w:eastAsia="Arial" w:hAnsi="Arial"/>
                <w:sz w:val="11"/>
                <w:szCs w:val="11"/>
                <w:color w:val="auto"/>
              </w:rPr>
              <w:t>$</w:t>
            </w:r>
          </w:p>
        </w:tc>
        <w:tc>
          <w:tcPr>
            <w:tcW w:w="280" w:type="dxa"/>
            <w:vAlign w:val="bottom"/>
          </w:tcPr>
          <w:p>
            <w:pPr>
              <w:jc w:val="right"/>
              <w:spacing w:after="0" w:line="124" w:lineRule="exact"/>
              <w:rPr>
                <w:sz w:val="20"/>
                <w:szCs w:val="20"/>
                <w:color w:val="auto"/>
              </w:rPr>
            </w:pPr>
            <w:r>
              <w:rPr>
                <w:rFonts w:ascii="Arial" w:cs="Arial" w:eastAsia="Arial" w:hAnsi="Arial"/>
                <w:sz w:val="11"/>
                <w:szCs w:val="11"/>
                <w:color w:val="auto"/>
                <w:w w:val="94"/>
              </w:rPr>
              <w:t>961.9</w:t>
            </w:r>
          </w:p>
        </w:tc>
        <w:tc>
          <w:tcPr>
            <w:tcW w:w="60" w:type="dxa"/>
            <w:vAlign w:val="bottom"/>
          </w:tcPr>
          <w:p>
            <w:pPr>
              <w:spacing w:after="0"/>
              <w:rPr>
                <w:sz w:val="10"/>
                <w:szCs w:val="10"/>
                <w:color w:val="auto"/>
              </w:rPr>
            </w:pPr>
          </w:p>
        </w:tc>
      </w:tr>
      <w:tr>
        <w:trPr>
          <w:trHeight w:val="27"/>
        </w:trPr>
        <w:tc>
          <w:tcPr>
            <w:tcW w:w="374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bl>
    <w:p>
      <w:pPr>
        <w:spacing w:after="0" w:line="214" w:lineRule="exact"/>
        <w:rPr>
          <w:sz w:val="20"/>
          <w:szCs w:val="20"/>
          <w:color w:val="auto"/>
        </w:rPr>
      </w:pPr>
    </w:p>
    <w:p>
      <w:pPr>
        <w:ind w:left="2060"/>
        <w:spacing w:after="0"/>
        <w:rPr>
          <w:sz w:val="20"/>
          <w:szCs w:val="20"/>
          <w:color w:val="auto"/>
        </w:rPr>
      </w:pPr>
      <w:r>
        <w:rPr>
          <w:rFonts w:ascii="Arial" w:cs="Arial" w:eastAsia="Arial" w:hAnsi="Arial"/>
          <w:sz w:val="11"/>
          <w:szCs w:val="11"/>
          <w:b w:val="1"/>
          <w:bCs w:val="1"/>
          <w:color w:val="auto"/>
        </w:rPr>
        <w:t>13. Equity-Based Compensation</w:t>
      </w:r>
    </w:p>
    <w:p>
      <w:pPr>
        <w:spacing w:after="0" w:line="72" w:lineRule="exact"/>
        <w:rPr>
          <w:sz w:val="20"/>
          <w:szCs w:val="20"/>
          <w:color w:val="auto"/>
        </w:rPr>
      </w:pPr>
    </w:p>
    <w:p>
      <w:pPr>
        <w:ind w:left="2060"/>
        <w:spacing w:after="0"/>
        <w:rPr>
          <w:sz w:val="20"/>
          <w:szCs w:val="20"/>
          <w:color w:val="auto"/>
        </w:rPr>
      </w:pPr>
      <w:r>
        <w:rPr>
          <w:rFonts w:ascii="Arial" w:cs="Arial" w:eastAsia="Arial" w:hAnsi="Arial"/>
          <w:sz w:val="11"/>
          <w:szCs w:val="11"/>
          <w:b w:val="1"/>
          <w:bCs w:val="1"/>
          <w:i w:val="1"/>
          <w:iCs w:val="1"/>
          <w:color w:val="auto"/>
        </w:rPr>
        <w:t>2015 Stock Plan</w:t>
      </w:r>
    </w:p>
    <w:p>
      <w:pPr>
        <w:spacing w:after="0" w:line="84" w:lineRule="exact"/>
        <w:rPr>
          <w:sz w:val="20"/>
          <w:szCs w:val="20"/>
          <w:color w:val="auto"/>
        </w:rPr>
      </w:pPr>
    </w:p>
    <w:p>
      <w:pPr>
        <w:jc w:val="both"/>
        <w:ind w:left="2060" w:right="839"/>
        <w:spacing w:after="0" w:line="241" w:lineRule="auto"/>
        <w:rPr>
          <w:sz w:val="20"/>
          <w:szCs w:val="20"/>
          <w:color w:val="auto"/>
        </w:rPr>
      </w:pPr>
      <w:r>
        <w:rPr>
          <w:rFonts w:ascii="Arial" w:cs="Arial" w:eastAsia="Arial" w:hAnsi="Arial"/>
          <w:sz w:val="11"/>
          <w:szCs w:val="11"/>
          <w:color w:val="auto"/>
        </w:rPr>
        <w:t>In April 2015, the Board of Directors approved the establishment of the 2015 Stock Plan (“2015 Plan”) to provide stock award grants to employees, directors, and consultants of the Company. The Board of Directors, or at its sole discretion, a committee of the Board of Directors, is responsible for the administration of the 2015 Plan. As of June 30, 2019, the Board of Directors has authorized the issuance of up to 85,725,084 shares of common stock for stock award grants, including incentive and non-statutory stock options.</w:t>
      </w:r>
    </w:p>
    <w:p>
      <w:pPr>
        <w:spacing w:after="0" w:line="140" w:lineRule="exact"/>
        <w:rPr>
          <w:sz w:val="20"/>
          <w:szCs w:val="20"/>
          <w:color w:val="auto"/>
        </w:rPr>
      </w:pPr>
    </w:p>
    <w:p>
      <w:pPr>
        <w:jc w:val="both"/>
        <w:ind w:left="2060" w:right="839"/>
        <w:spacing w:after="0" w:line="242" w:lineRule="auto"/>
        <w:rPr>
          <w:sz w:val="20"/>
          <w:szCs w:val="20"/>
          <w:color w:val="auto"/>
        </w:rPr>
      </w:pPr>
      <w:r>
        <w:rPr>
          <w:rFonts w:ascii="Arial" w:cs="Arial" w:eastAsia="Arial" w:hAnsi="Arial"/>
          <w:sz w:val="11"/>
          <w:szCs w:val="11"/>
          <w:color w:val="auto"/>
        </w:rPr>
        <w:t>The 2015 Plan requires that the per share exercise price of each stock option shall not be less than 100% of the fair market value of the common stock subject to the stock option on the grant date. Stock option grants shall not be exercisable after the expiration of 10 years from the date of its grant or such shorter period as specified in a stock award agreement. For</w:t>
      </w:r>
    </w:p>
    <w:p>
      <w:pPr>
        <w:spacing w:after="0" w:line="95" w:lineRule="exact"/>
        <w:rPr>
          <w:sz w:val="20"/>
          <w:szCs w:val="20"/>
          <w:color w:val="auto"/>
        </w:rPr>
      </w:pPr>
    </w:p>
    <w:p>
      <w:pPr>
        <w:ind w:left="5620"/>
        <w:spacing w:after="0"/>
        <w:rPr>
          <w:sz w:val="20"/>
          <w:szCs w:val="20"/>
          <w:color w:val="auto"/>
        </w:rPr>
      </w:pPr>
      <w:r>
        <w:rPr>
          <w:rFonts w:ascii="Arial" w:cs="Arial" w:eastAsia="Arial" w:hAnsi="Arial"/>
          <w:sz w:val="11"/>
          <w:szCs w:val="11"/>
          <w:color w:val="auto"/>
        </w:rPr>
        <w:t>F-29</w:t>
      </w:r>
    </w:p>
    <w:p>
      <w:pPr>
        <w:sectPr>
          <w:pgSz w:w="11900" w:h="16838" w:orient="portrait"/>
          <w:cols w:equalWidth="0" w:num="1">
            <w:col w:w="10239"/>
          </w:cols>
          <w:pgMar w:left="220" w:top="354" w:right="1440" w:bottom="1440" w:gutter="0" w:footer="0" w:header="0"/>
        </w:sectPr>
      </w:pPr>
    </w:p>
    <w:bookmarkStart w:id="193" w:name="page194"/>
    <w:bookmarkEnd w:id="193"/>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hyperlink w:anchor="page5">
        <w:r>
          <w:rPr>
            <w:rFonts w:ascii="Arial" w:cs="Arial" w:eastAsia="Arial" w:hAnsi="Arial"/>
            <w:sz w:val="12"/>
            <w:szCs w:val="12"/>
            <w:b w:val="1"/>
            <w:bCs w:val="1"/>
            <w:u w:val="single" w:color="auto"/>
            <w:color w:val="0000EE"/>
          </w:rPr>
          <w:t>Table of Contents</w:t>
        </w:r>
      </w:hyperlink>
    </w:p>
    <w:p>
      <w:pPr>
        <w:spacing w:after="0" w:line="200" w:lineRule="exact"/>
        <w:rPr>
          <w:sz w:val="20"/>
          <w:szCs w:val="20"/>
          <w:color w:val="auto"/>
        </w:rPr>
      </w:pPr>
    </w:p>
    <w:p>
      <w:pPr>
        <w:jc w:val="center"/>
        <w:ind w:right="-1220"/>
        <w:spacing w:after="0"/>
        <w:rPr>
          <w:sz w:val="20"/>
          <w:szCs w:val="20"/>
          <w:color w:val="auto"/>
        </w:rPr>
      </w:pPr>
      <w:r>
        <w:rPr>
          <w:rFonts w:ascii="Arial" w:cs="Arial" w:eastAsia="Arial" w:hAnsi="Arial"/>
          <w:sz w:val="12"/>
          <w:szCs w:val="12"/>
          <w:b w:val="1"/>
          <w:bCs w:val="1"/>
          <w:color w:val="auto"/>
        </w:rPr>
        <w:t>PELOTON INTERACTIVE, INC.</w:t>
      </w:r>
    </w:p>
    <w:p>
      <w:pPr>
        <w:spacing w:after="0" w:line="11" w:lineRule="exact"/>
        <w:rPr>
          <w:sz w:val="20"/>
          <w:szCs w:val="20"/>
          <w:color w:val="auto"/>
        </w:rPr>
      </w:pPr>
    </w:p>
    <w:p>
      <w:pPr>
        <w:jc w:val="center"/>
        <w:ind w:right="-1220"/>
        <w:spacing w:after="0"/>
        <w:rPr>
          <w:sz w:val="20"/>
          <w:szCs w:val="20"/>
          <w:color w:val="auto"/>
        </w:rPr>
      </w:pPr>
      <w:r>
        <w:rPr>
          <w:rFonts w:ascii="Arial" w:cs="Arial" w:eastAsia="Arial" w:hAnsi="Arial"/>
          <w:sz w:val="12"/>
          <w:szCs w:val="12"/>
          <w:b w:val="1"/>
          <w:bCs w:val="1"/>
          <w:color w:val="auto"/>
        </w:rPr>
        <w:t>NOTES TO CONSOLIDATED FINANCIAL STATEMENTS</w:t>
      </w:r>
    </w:p>
    <w:p>
      <w:pPr>
        <w:spacing w:after="0" w:line="80" w:lineRule="exact"/>
        <w:rPr>
          <w:sz w:val="20"/>
          <w:szCs w:val="20"/>
          <w:color w:val="auto"/>
        </w:rPr>
      </w:pPr>
    </w:p>
    <w:p>
      <w:pPr>
        <w:jc w:val="both"/>
        <w:ind w:left="2060" w:right="839"/>
        <w:spacing w:after="0"/>
        <w:rPr>
          <w:sz w:val="20"/>
          <w:szCs w:val="20"/>
          <w:color w:val="auto"/>
        </w:rPr>
      </w:pPr>
      <w:r>
        <w:rPr>
          <w:rFonts w:ascii="Arial" w:cs="Arial" w:eastAsia="Arial" w:hAnsi="Arial"/>
          <w:sz w:val="11"/>
          <w:szCs w:val="11"/>
          <w:color w:val="auto"/>
        </w:rPr>
        <w:t>initial grants, vesting generally occurs over four years with the first 25% of the award vesting upon the 12-month anniversary of the vesting commencement date and the remaining 75% vesting monthly over the following 36 months. The 2015 Plan provides that the Board of Directors may, in its sole discretion, impose such limitations on transferability of stock options as the Board of Directors shall determine. In the absence of a determination by the Board of Directors to the contrary, stock options shall not be transferable except by will or by the laws of descent and distribution and domestic relations orders, unless specifically agreed to by the plan administrator.</w:t>
      </w:r>
    </w:p>
    <w:p>
      <w:pPr>
        <w:spacing w:after="0" w:line="142" w:lineRule="exact"/>
        <w:rPr>
          <w:sz w:val="20"/>
          <w:szCs w:val="20"/>
          <w:color w:val="auto"/>
        </w:rPr>
      </w:pPr>
    </w:p>
    <w:p>
      <w:pPr>
        <w:jc w:val="both"/>
        <w:ind w:left="2060" w:right="839"/>
        <w:spacing w:after="0" w:line="242" w:lineRule="auto"/>
        <w:rPr>
          <w:sz w:val="20"/>
          <w:szCs w:val="20"/>
          <w:color w:val="auto"/>
        </w:rPr>
      </w:pPr>
      <w:r>
        <w:rPr>
          <w:rFonts w:ascii="Arial" w:cs="Arial" w:eastAsia="Arial" w:hAnsi="Arial"/>
          <w:sz w:val="11"/>
          <w:szCs w:val="11"/>
          <w:color w:val="auto"/>
        </w:rPr>
        <w:t>The 2015 Plan allows for the early exercise of stock options. Shares purchased pursuant to the early exercise of stock options are subject to repurchase until those shares vest; therefore, cash received in exchange for unvested shares exercised is recorded as a liability on the accompanying consolidated balance sheets, and are reclassified to common stock and additional paid-in capital as the shares vest.</w:t>
      </w:r>
    </w:p>
    <w:p>
      <w:pPr>
        <w:spacing w:after="0" w:line="140" w:lineRule="exact"/>
        <w:rPr>
          <w:sz w:val="20"/>
          <w:szCs w:val="20"/>
          <w:color w:val="auto"/>
        </w:rPr>
      </w:pPr>
    </w:p>
    <w:p>
      <w:pPr>
        <w:jc w:val="both"/>
        <w:ind w:left="2060" w:right="839"/>
        <w:spacing w:after="0"/>
        <w:rPr>
          <w:sz w:val="20"/>
          <w:szCs w:val="20"/>
          <w:color w:val="auto"/>
        </w:rPr>
      </w:pPr>
      <w:r>
        <w:rPr>
          <w:rFonts w:ascii="Arial" w:cs="Arial" w:eastAsia="Arial" w:hAnsi="Arial"/>
          <w:sz w:val="11"/>
          <w:szCs w:val="11"/>
          <w:color w:val="auto"/>
        </w:rPr>
        <w:t>During the fiscal year ended June 30, 2017, the Company granted options to purchase 4,274,000 shares under the 2015 Plan, consisting of 1,805,552 shares subject to incentive stock options and 2,468,448 shares subject to non-statutory stock options. During the fiscal year ended June 30, 2018, the Company granted options to purchase 23,847,756 shares under the 2015 Plan, consisting of 5,268,903 shares subject to incentive stock options and 18,578,853 shares subject to non-statutory stock options. During the fiscal year ended June 30, 2019, the Company granted options to purchase 32,108,062 shares under the 2015 Plan, consisting of 5,594,291 shares subject to incentive stock options and 26,513,771 subject to non-statutory stock options.</w:t>
      </w:r>
    </w:p>
    <w:p>
      <w:pPr>
        <w:spacing w:after="0" w:line="142" w:lineRule="exact"/>
        <w:rPr>
          <w:sz w:val="20"/>
          <w:szCs w:val="20"/>
          <w:color w:val="auto"/>
        </w:rPr>
      </w:pPr>
    </w:p>
    <w:tbl>
      <w:tblPr>
        <w:tblLayout w:type="fixed"/>
        <w:tblInd w:w="2060" w:type="dxa"/>
        <w:tblCellMar>
          <w:top w:w="0" w:type="dxa"/>
          <w:left w:w="0" w:type="dxa"/>
          <w:bottom w:w="0" w:type="dxa"/>
          <w:right w:w="0" w:type="dxa"/>
        </w:tblCellMar>
      </w:tblPr>
      <w:tr>
        <w:trPr>
          <w:trHeight w:val="130"/>
        </w:trPr>
        <w:tc>
          <w:tcPr>
            <w:tcW w:w="4100" w:type="dxa"/>
            <w:vAlign w:val="bottom"/>
          </w:tcPr>
          <w:p>
            <w:pPr>
              <w:spacing w:after="0"/>
              <w:rPr>
                <w:sz w:val="20"/>
                <w:szCs w:val="20"/>
                <w:color w:val="auto"/>
              </w:rPr>
            </w:pPr>
            <w:r>
              <w:rPr>
                <w:rFonts w:ascii="Arial" w:cs="Arial" w:eastAsia="Arial" w:hAnsi="Arial"/>
                <w:sz w:val="11"/>
                <w:szCs w:val="11"/>
                <w:color w:val="auto"/>
              </w:rPr>
              <w:t>The following summary sets forth the stock option activity under the 2015 Plan:</w:t>
            </w: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83"/>
        </w:trPr>
        <w:tc>
          <w:tcPr>
            <w:tcW w:w="4100" w:type="dxa"/>
            <w:vAlign w:val="bottom"/>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gridSpan w:val="3"/>
          </w:tcPr>
          <w:p>
            <w:pPr>
              <w:jc w:val="right"/>
              <w:ind w:right="186"/>
              <w:spacing w:after="0"/>
              <w:rPr>
                <w:sz w:val="20"/>
                <w:szCs w:val="20"/>
                <w:color w:val="auto"/>
              </w:rPr>
            </w:pPr>
            <w:r>
              <w:rPr>
                <w:rFonts w:ascii="Arial" w:cs="Arial" w:eastAsia="Arial" w:hAnsi="Arial"/>
                <w:sz w:val="11"/>
                <w:szCs w:val="11"/>
                <w:b w:val="1"/>
                <w:bCs w:val="1"/>
                <w:color w:val="auto"/>
              </w:rPr>
              <w:t>Options Outstanding</w:t>
            </w:r>
          </w:p>
        </w:tc>
        <w:tc>
          <w:tcPr>
            <w:tcW w:w="36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04"/>
        </w:trPr>
        <w:tc>
          <w:tcPr>
            <w:tcW w:w="4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440" w:type="dxa"/>
            <w:vAlign w:val="bottom"/>
          </w:tcPr>
          <w:p>
            <w:pPr>
              <w:spacing w:after="0"/>
              <w:rPr>
                <w:sz w:val="9"/>
                <w:szCs w:val="9"/>
                <w:color w:val="auto"/>
              </w:rPr>
            </w:pPr>
          </w:p>
        </w:tc>
        <w:tc>
          <w:tcPr>
            <w:tcW w:w="300" w:type="dxa"/>
            <w:vAlign w:val="bottom"/>
          </w:tcPr>
          <w:p>
            <w:pPr>
              <w:spacing w:after="0"/>
              <w:rPr>
                <w:sz w:val="9"/>
                <w:szCs w:val="9"/>
                <w:color w:val="auto"/>
              </w:rPr>
            </w:pPr>
          </w:p>
        </w:tc>
        <w:tc>
          <w:tcPr>
            <w:tcW w:w="640" w:type="dxa"/>
            <w:vAlign w:val="bottom"/>
          </w:tcPr>
          <w:p>
            <w:pPr>
              <w:jc w:val="center"/>
              <w:spacing w:after="0" w:line="105" w:lineRule="exact"/>
              <w:rPr>
                <w:sz w:val="20"/>
                <w:szCs w:val="20"/>
                <w:color w:val="auto"/>
              </w:rPr>
            </w:pPr>
            <w:r>
              <w:rPr>
                <w:rFonts w:ascii="Arial" w:cs="Arial" w:eastAsia="Arial" w:hAnsi="Arial"/>
                <w:sz w:val="11"/>
                <w:szCs w:val="11"/>
                <w:b w:val="1"/>
                <w:bCs w:val="1"/>
                <w:color w:val="auto"/>
                <w:w w:val="97"/>
              </w:rPr>
              <w:t>Weighted-</w:t>
            </w:r>
          </w:p>
        </w:tc>
        <w:tc>
          <w:tcPr>
            <w:tcW w:w="360" w:type="dxa"/>
            <w:vAlign w:val="bottom"/>
          </w:tcPr>
          <w:p>
            <w:pPr>
              <w:spacing w:after="0"/>
              <w:rPr>
                <w:sz w:val="9"/>
                <w:szCs w:val="9"/>
                <w:color w:val="auto"/>
              </w:rPr>
            </w:pPr>
          </w:p>
        </w:tc>
        <w:tc>
          <w:tcPr>
            <w:tcW w:w="5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4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80" w:type="dxa"/>
            <w:vAlign w:val="bottom"/>
            <w:gridSpan w:val="3"/>
          </w:tcPr>
          <w:p>
            <w:pPr>
              <w:jc w:val="center"/>
              <w:ind w:left="66"/>
              <w:spacing w:after="0"/>
              <w:rPr>
                <w:sz w:val="20"/>
                <w:szCs w:val="20"/>
                <w:color w:val="auto"/>
              </w:rPr>
            </w:pPr>
            <w:r>
              <w:rPr>
                <w:rFonts w:ascii="Arial" w:cs="Arial" w:eastAsia="Arial" w:hAnsi="Arial"/>
                <w:sz w:val="11"/>
                <w:szCs w:val="11"/>
                <w:b w:val="1"/>
                <w:bCs w:val="1"/>
                <w:color w:val="auto"/>
                <w:w w:val="97"/>
              </w:rPr>
              <w:t>Weighted-</w:t>
            </w:r>
          </w:p>
        </w:tc>
        <w:tc>
          <w:tcPr>
            <w:tcW w:w="300" w:type="dxa"/>
            <w:vAlign w:val="bottom"/>
          </w:tcPr>
          <w:p>
            <w:pPr>
              <w:spacing w:after="0"/>
              <w:rPr>
                <w:sz w:val="10"/>
                <w:szCs w:val="10"/>
                <w:color w:val="auto"/>
              </w:rPr>
            </w:pPr>
          </w:p>
        </w:tc>
        <w:tc>
          <w:tcPr>
            <w:tcW w:w="640" w:type="dxa"/>
            <w:vAlign w:val="bottom"/>
          </w:tcPr>
          <w:p>
            <w:pPr>
              <w:jc w:val="center"/>
              <w:spacing w:after="0"/>
              <w:rPr>
                <w:sz w:val="20"/>
                <w:szCs w:val="20"/>
                <w:color w:val="auto"/>
              </w:rPr>
            </w:pPr>
            <w:r>
              <w:rPr>
                <w:rFonts w:ascii="Arial" w:cs="Arial" w:eastAsia="Arial" w:hAnsi="Arial"/>
                <w:sz w:val="11"/>
                <w:szCs w:val="11"/>
                <w:b w:val="1"/>
                <w:bCs w:val="1"/>
                <w:color w:val="auto"/>
                <w:w w:val="96"/>
              </w:rPr>
              <w:t>Average</w:t>
            </w:r>
          </w:p>
        </w:tc>
        <w:tc>
          <w:tcPr>
            <w:tcW w:w="880" w:type="dxa"/>
            <w:vAlign w:val="bottom"/>
            <w:gridSpan w:val="2"/>
          </w:tcPr>
          <w:p>
            <w:pPr>
              <w:jc w:val="center"/>
              <w:ind w:left="186"/>
              <w:spacing w:after="0"/>
              <w:rPr>
                <w:sz w:val="20"/>
                <w:szCs w:val="20"/>
                <w:color w:val="auto"/>
              </w:rPr>
            </w:pPr>
            <w:r>
              <w:rPr>
                <w:rFonts w:ascii="Arial" w:cs="Arial" w:eastAsia="Arial" w:hAnsi="Arial"/>
                <w:sz w:val="11"/>
                <w:szCs w:val="11"/>
                <w:b w:val="1"/>
                <w:bCs w:val="1"/>
                <w:color w:val="auto"/>
                <w:w w:val="95"/>
              </w:rPr>
              <w:t>Aggregate</w:t>
            </w:r>
          </w:p>
        </w:tc>
        <w:tc>
          <w:tcPr>
            <w:tcW w:w="0" w:type="dxa"/>
            <w:vAlign w:val="bottom"/>
          </w:tcPr>
          <w:p>
            <w:pPr>
              <w:spacing w:after="0"/>
              <w:rPr>
                <w:sz w:val="1"/>
                <w:szCs w:val="1"/>
                <w:color w:val="auto"/>
              </w:rPr>
            </w:pPr>
          </w:p>
        </w:tc>
      </w:tr>
      <w:tr>
        <w:trPr>
          <w:trHeight w:val="126"/>
        </w:trPr>
        <w:tc>
          <w:tcPr>
            <w:tcW w:w="4100" w:type="dxa"/>
            <w:vAlign w:val="bottom"/>
          </w:tcPr>
          <w:p>
            <w:pPr>
              <w:spacing w:after="0"/>
              <w:rPr>
                <w:sz w:val="10"/>
                <w:szCs w:val="10"/>
                <w:color w:val="auto"/>
              </w:rPr>
            </w:pPr>
          </w:p>
        </w:tc>
        <w:tc>
          <w:tcPr>
            <w:tcW w:w="760" w:type="dxa"/>
            <w:vAlign w:val="bottom"/>
            <w:gridSpan w:val="2"/>
          </w:tcPr>
          <w:p>
            <w:pPr>
              <w:jc w:val="center"/>
              <w:ind w:right="180"/>
              <w:spacing w:after="0"/>
              <w:rPr>
                <w:sz w:val="20"/>
                <w:szCs w:val="20"/>
                <w:color w:val="auto"/>
              </w:rPr>
            </w:pPr>
            <w:r>
              <w:rPr>
                <w:rFonts w:ascii="Arial" w:cs="Arial" w:eastAsia="Arial" w:hAnsi="Arial"/>
                <w:sz w:val="11"/>
                <w:szCs w:val="11"/>
                <w:b w:val="1"/>
                <w:bCs w:val="1"/>
                <w:color w:val="auto"/>
                <w:w w:val="98"/>
              </w:rPr>
              <w:t>Number of</w:t>
            </w:r>
          </w:p>
        </w:tc>
        <w:tc>
          <w:tcPr>
            <w:tcW w:w="160" w:type="dxa"/>
            <w:vAlign w:val="bottom"/>
          </w:tcPr>
          <w:p>
            <w:pPr>
              <w:spacing w:after="0"/>
              <w:rPr>
                <w:sz w:val="10"/>
                <w:szCs w:val="10"/>
                <w:color w:val="auto"/>
              </w:rPr>
            </w:pPr>
          </w:p>
        </w:tc>
        <w:tc>
          <w:tcPr>
            <w:tcW w:w="520" w:type="dxa"/>
            <w:vAlign w:val="bottom"/>
            <w:gridSpan w:val="2"/>
          </w:tcPr>
          <w:p>
            <w:pPr>
              <w:jc w:val="center"/>
              <w:spacing w:after="0"/>
              <w:rPr>
                <w:sz w:val="20"/>
                <w:szCs w:val="20"/>
                <w:color w:val="auto"/>
              </w:rPr>
            </w:pPr>
            <w:r>
              <w:rPr>
                <w:rFonts w:ascii="Arial" w:cs="Arial" w:eastAsia="Arial" w:hAnsi="Arial"/>
                <w:sz w:val="11"/>
                <w:szCs w:val="11"/>
                <w:b w:val="1"/>
                <w:bCs w:val="1"/>
                <w:color w:val="auto"/>
                <w:w w:val="96"/>
              </w:rPr>
              <w:t>Average</w:t>
            </w:r>
          </w:p>
        </w:tc>
        <w:tc>
          <w:tcPr>
            <w:tcW w:w="300" w:type="dxa"/>
            <w:vAlign w:val="bottom"/>
          </w:tcPr>
          <w:p>
            <w:pPr>
              <w:spacing w:after="0"/>
              <w:rPr>
                <w:sz w:val="10"/>
                <w:szCs w:val="10"/>
                <w:color w:val="auto"/>
              </w:rPr>
            </w:pPr>
          </w:p>
        </w:tc>
        <w:tc>
          <w:tcPr>
            <w:tcW w:w="640" w:type="dxa"/>
            <w:vAlign w:val="bottom"/>
          </w:tcPr>
          <w:p>
            <w:pPr>
              <w:jc w:val="center"/>
              <w:spacing w:after="0"/>
              <w:rPr>
                <w:sz w:val="20"/>
                <w:szCs w:val="20"/>
                <w:color w:val="auto"/>
              </w:rPr>
            </w:pPr>
            <w:r>
              <w:rPr>
                <w:rFonts w:ascii="Arial" w:cs="Arial" w:eastAsia="Arial" w:hAnsi="Arial"/>
                <w:sz w:val="11"/>
                <w:szCs w:val="11"/>
                <w:b w:val="1"/>
                <w:bCs w:val="1"/>
                <w:color w:val="auto"/>
                <w:w w:val="95"/>
              </w:rPr>
              <w:t>Remaining</w:t>
            </w:r>
          </w:p>
        </w:tc>
        <w:tc>
          <w:tcPr>
            <w:tcW w:w="360" w:type="dxa"/>
            <w:vAlign w:val="bottom"/>
          </w:tcPr>
          <w:p>
            <w:pPr>
              <w:spacing w:after="0"/>
              <w:rPr>
                <w:sz w:val="10"/>
                <w:szCs w:val="10"/>
                <w:color w:val="auto"/>
              </w:rPr>
            </w:pPr>
          </w:p>
        </w:tc>
        <w:tc>
          <w:tcPr>
            <w:tcW w:w="520" w:type="dxa"/>
            <w:vAlign w:val="bottom"/>
          </w:tcPr>
          <w:p>
            <w:pPr>
              <w:jc w:val="center"/>
              <w:ind w:right="46"/>
              <w:spacing w:after="0"/>
              <w:rPr>
                <w:sz w:val="20"/>
                <w:szCs w:val="20"/>
                <w:color w:val="auto"/>
              </w:rPr>
            </w:pPr>
            <w:r>
              <w:rPr>
                <w:rFonts w:ascii="Arial" w:cs="Arial" w:eastAsia="Arial" w:hAnsi="Arial"/>
                <w:sz w:val="11"/>
                <w:szCs w:val="11"/>
                <w:b w:val="1"/>
                <w:bCs w:val="1"/>
                <w:color w:val="auto"/>
                <w:w w:val="98"/>
              </w:rPr>
              <w:t>Intrinsic</w:t>
            </w:r>
          </w:p>
        </w:tc>
        <w:tc>
          <w:tcPr>
            <w:tcW w:w="0" w:type="dxa"/>
            <w:vAlign w:val="bottom"/>
          </w:tcPr>
          <w:p>
            <w:pPr>
              <w:spacing w:after="0"/>
              <w:rPr>
                <w:sz w:val="1"/>
                <w:szCs w:val="1"/>
                <w:color w:val="auto"/>
              </w:rPr>
            </w:pPr>
          </w:p>
        </w:tc>
      </w:tr>
      <w:tr>
        <w:trPr>
          <w:trHeight w:val="126"/>
        </w:trPr>
        <w:tc>
          <w:tcPr>
            <w:tcW w:w="4100" w:type="dxa"/>
            <w:vAlign w:val="bottom"/>
          </w:tcPr>
          <w:p>
            <w:pPr>
              <w:spacing w:after="0"/>
              <w:rPr>
                <w:sz w:val="10"/>
                <w:szCs w:val="10"/>
                <w:color w:val="auto"/>
              </w:rPr>
            </w:pPr>
          </w:p>
        </w:tc>
        <w:tc>
          <w:tcPr>
            <w:tcW w:w="760" w:type="dxa"/>
            <w:vAlign w:val="bottom"/>
            <w:gridSpan w:val="2"/>
          </w:tcPr>
          <w:p>
            <w:pPr>
              <w:jc w:val="center"/>
              <w:ind w:right="180"/>
              <w:spacing w:after="0"/>
              <w:rPr>
                <w:sz w:val="20"/>
                <w:szCs w:val="20"/>
                <w:color w:val="auto"/>
              </w:rPr>
            </w:pPr>
            <w:r>
              <w:rPr>
                <w:rFonts w:ascii="Arial" w:cs="Arial" w:eastAsia="Arial" w:hAnsi="Arial"/>
                <w:sz w:val="11"/>
                <w:szCs w:val="11"/>
                <w:b w:val="1"/>
                <w:bCs w:val="1"/>
                <w:color w:val="auto"/>
                <w:w w:val="99"/>
              </w:rPr>
              <w:t>Stock</w:t>
            </w:r>
          </w:p>
        </w:tc>
        <w:tc>
          <w:tcPr>
            <w:tcW w:w="160" w:type="dxa"/>
            <w:vAlign w:val="bottom"/>
          </w:tcPr>
          <w:p>
            <w:pPr>
              <w:spacing w:after="0"/>
              <w:rPr>
                <w:sz w:val="10"/>
                <w:szCs w:val="10"/>
                <w:color w:val="auto"/>
              </w:rPr>
            </w:pPr>
          </w:p>
        </w:tc>
        <w:tc>
          <w:tcPr>
            <w:tcW w:w="520" w:type="dxa"/>
            <w:vAlign w:val="bottom"/>
            <w:gridSpan w:val="2"/>
          </w:tcPr>
          <w:p>
            <w:pPr>
              <w:jc w:val="center"/>
              <w:spacing w:after="0"/>
              <w:rPr>
                <w:sz w:val="20"/>
                <w:szCs w:val="20"/>
                <w:color w:val="auto"/>
              </w:rPr>
            </w:pPr>
            <w:r>
              <w:rPr>
                <w:rFonts w:ascii="Arial" w:cs="Arial" w:eastAsia="Arial" w:hAnsi="Arial"/>
                <w:sz w:val="11"/>
                <w:szCs w:val="11"/>
                <w:b w:val="1"/>
                <w:bCs w:val="1"/>
                <w:color w:val="auto"/>
              </w:rPr>
              <w:t>Exercise</w:t>
            </w:r>
          </w:p>
        </w:tc>
        <w:tc>
          <w:tcPr>
            <w:tcW w:w="300" w:type="dxa"/>
            <w:vAlign w:val="bottom"/>
          </w:tcPr>
          <w:p>
            <w:pPr>
              <w:spacing w:after="0"/>
              <w:rPr>
                <w:sz w:val="10"/>
                <w:szCs w:val="10"/>
                <w:color w:val="auto"/>
              </w:rPr>
            </w:pPr>
          </w:p>
        </w:tc>
        <w:tc>
          <w:tcPr>
            <w:tcW w:w="640" w:type="dxa"/>
            <w:vAlign w:val="bottom"/>
          </w:tcPr>
          <w:p>
            <w:pPr>
              <w:jc w:val="center"/>
              <w:spacing w:after="0"/>
              <w:rPr>
                <w:sz w:val="20"/>
                <w:szCs w:val="20"/>
                <w:color w:val="auto"/>
              </w:rPr>
            </w:pPr>
            <w:r>
              <w:rPr>
                <w:rFonts w:ascii="Arial" w:cs="Arial" w:eastAsia="Arial" w:hAnsi="Arial"/>
                <w:sz w:val="11"/>
                <w:szCs w:val="11"/>
                <w:b w:val="1"/>
                <w:bCs w:val="1"/>
                <w:color w:val="auto"/>
                <w:w w:val="98"/>
              </w:rPr>
              <w:t>Contractual</w:t>
            </w:r>
          </w:p>
        </w:tc>
        <w:tc>
          <w:tcPr>
            <w:tcW w:w="360" w:type="dxa"/>
            <w:vAlign w:val="bottom"/>
          </w:tcPr>
          <w:p>
            <w:pPr>
              <w:spacing w:after="0"/>
              <w:rPr>
                <w:sz w:val="10"/>
                <w:szCs w:val="10"/>
                <w:color w:val="auto"/>
              </w:rPr>
            </w:pPr>
          </w:p>
        </w:tc>
        <w:tc>
          <w:tcPr>
            <w:tcW w:w="520" w:type="dxa"/>
            <w:vAlign w:val="bottom"/>
          </w:tcPr>
          <w:p>
            <w:pPr>
              <w:jc w:val="center"/>
              <w:ind w:right="46"/>
              <w:spacing w:after="0"/>
              <w:rPr>
                <w:sz w:val="20"/>
                <w:szCs w:val="20"/>
                <w:color w:val="auto"/>
              </w:rPr>
            </w:pPr>
            <w:r>
              <w:rPr>
                <w:rFonts w:ascii="Arial" w:cs="Arial" w:eastAsia="Arial" w:hAnsi="Arial"/>
                <w:sz w:val="11"/>
                <w:szCs w:val="11"/>
                <w:b w:val="1"/>
                <w:bCs w:val="1"/>
                <w:color w:val="auto"/>
                <w:w w:val="91"/>
              </w:rPr>
              <w:t>Value (in</w:t>
            </w:r>
          </w:p>
        </w:tc>
        <w:tc>
          <w:tcPr>
            <w:tcW w:w="0" w:type="dxa"/>
            <w:vAlign w:val="bottom"/>
          </w:tcPr>
          <w:p>
            <w:pPr>
              <w:spacing w:after="0"/>
              <w:rPr>
                <w:sz w:val="1"/>
                <w:szCs w:val="1"/>
                <w:color w:val="auto"/>
              </w:rPr>
            </w:pPr>
          </w:p>
        </w:tc>
      </w:tr>
      <w:tr>
        <w:trPr>
          <w:trHeight w:val="137"/>
        </w:trPr>
        <w:tc>
          <w:tcPr>
            <w:tcW w:w="4100" w:type="dxa"/>
            <w:vAlign w:val="bottom"/>
          </w:tcPr>
          <w:p>
            <w:pPr>
              <w:spacing w:after="0"/>
              <w:rPr>
                <w:sz w:val="11"/>
                <w:szCs w:val="11"/>
                <w:color w:val="auto"/>
              </w:rPr>
            </w:pPr>
          </w:p>
        </w:tc>
        <w:tc>
          <w:tcPr>
            <w:tcW w:w="580" w:type="dxa"/>
            <w:vAlign w:val="bottom"/>
          </w:tcPr>
          <w:p>
            <w:pPr>
              <w:jc w:val="center"/>
              <w:spacing w:after="0"/>
              <w:rPr>
                <w:sz w:val="20"/>
                <w:szCs w:val="20"/>
                <w:color w:val="auto"/>
              </w:rPr>
            </w:pPr>
            <w:r>
              <w:rPr>
                <w:rFonts w:ascii="Arial" w:cs="Arial" w:eastAsia="Arial" w:hAnsi="Arial"/>
                <w:sz w:val="11"/>
                <w:szCs w:val="11"/>
                <w:b w:val="1"/>
                <w:bCs w:val="1"/>
                <w:color w:val="auto"/>
              </w:rPr>
              <w:t>Options</w:t>
            </w: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jc w:val="center"/>
              <w:ind w:right="46"/>
              <w:spacing w:after="0"/>
              <w:rPr>
                <w:sz w:val="20"/>
                <w:szCs w:val="20"/>
                <w:color w:val="auto"/>
              </w:rPr>
            </w:pPr>
            <w:r>
              <w:rPr>
                <w:rFonts w:ascii="Arial" w:cs="Arial" w:eastAsia="Arial" w:hAnsi="Arial"/>
                <w:sz w:val="11"/>
                <w:szCs w:val="11"/>
                <w:b w:val="1"/>
                <w:bCs w:val="1"/>
                <w:color w:val="auto"/>
                <w:w w:val="96"/>
              </w:rPr>
              <w:t>Price</w:t>
            </w:r>
          </w:p>
        </w:tc>
        <w:tc>
          <w:tcPr>
            <w:tcW w:w="940" w:type="dxa"/>
            <w:vAlign w:val="bottom"/>
            <w:gridSpan w:val="2"/>
          </w:tcPr>
          <w:p>
            <w:pPr>
              <w:jc w:val="right"/>
              <w:spacing w:after="0"/>
              <w:rPr>
                <w:sz w:val="20"/>
                <w:szCs w:val="20"/>
                <w:color w:val="auto"/>
              </w:rPr>
            </w:pPr>
            <w:r>
              <w:rPr>
                <w:rFonts w:ascii="Arial" w:cs="Arial" w:eastAsia="Arial" w:hAnsi="Arial"/>
                <w:sz w:val="11"/>
                <w:szCs w:val="11"/>
                <w:b w:val="1"/>
                <w:bCs w:val="1"/>
                <w:color w:val="auto"/>
              </w:rPr>
              <w:t>Term (years)</w:t>
            </w:r>
          </w:p>
        </w:tc>
        <w:tc>
          <w:tcPr>
            <w:tcW w:w="360" w:type="dxa"/>
            <w:vAlign w:val="bottom"/>
          </w:tcPr>
          <w:p>
            <w:pPr>
              <w:spacing w:after="0"/>
              <w:rPr>
                <w:sz w:val="11"/>
                <w:szCs w:val="11"/>
                <w:color w:val="auto"/>
              </w:rPr>
            </w:pPr>
          </w:p>
        </w:tc>
        <w:tc>
          <w:tcPr>
            <w:tcW w:w="520" w:type="dxa"/>
            <w:vAlign w:val="bottom"/>
          </w:tcPr>
          <w:p>
            <w:pPr>
              <w:jc w:val="center"/>
              <w:ind w:right="46"/>
              <w:spacing w:after="0"/>
              <w:rPr>
                <w:sz w:val="20"/>
                <w:szCs w:val="20"/>
                <w:color w:val="auto"/>
              </w:rPr>
            </w:pPr>
            <w:r>
              <w:rPr>
                <w:rFonts w:ascii="Arial" w:cs="Arial" w:eastAsia="Arial" w:hAnsi="Arial"/>
                <w:sz w:val="11"/>
                <w:szCs w:val="11"/>
                <w:b w:val="1"/>
                <w:bCs w:val="1"/>
                <w:color w:val="auto"/>
                <w:w w:val="92"/>
              </w:rPr>
              <w:t>millions)</w:t>
            </w:r>
          </w:p>
        </w:tc>
        <w:tc>
          <w:tcPr>
            <w:tcW w:w="0" w:type="dxa"/>
            <w:vAlign w:val="bottom"/>
          </w:tcPr>
          <w:p>
            <w:pPr>
              <w:spacing w:after="0"/>
              <w:rPr>
                <w:sz w:val="1"/>
                <w:szCs w:val="1"/>
                <w:color w:val="auto"/>
              </w:rPr>
            </w:pPr>
          </w:p>
        </w:tc>
      </w:tr>
      <w:tr>
        <w:trPr>
          <w:trHeight w:val="20"/>
        </w:trPr>
        <w:tc>
          <w:tcPr>
            <w:tcW w:w="4100" w:type="dxa"/>
            <w:vAlign w:val="bottom"/>
            <w:vMerge w:val="restart"/>
            <w:shd w:val="clear" w:color="auto" w:fill="CCEEFF"/>
          </w:tcPr>
          <w:p>
            <w:pPr>
              <w:spacing w:after="0"/>
              <w:rPr>
                <w:sz w:val="20"/>
                <w:szCs w:val="20"/>
                <w:color w:val="auto"/>
              </w:rPr>
            </w:pPr>
            <w:r>
              <w:rPr>
                <w:rFonts w:ascii="Arial" w:cs="Arial" w:eastAsia="Arial" w:hAnsi="Arial"/>
                <w:sz w:val="11"/>
                <w:szCs w:val="11"/>
                <w:color w:val="auto"/>
              </w:rPr>
              <w:t>Outstanding — June 30, 2016</w:t>
            </w:r>
          </w:p>
        </w:tc>
        <w:tc>
          <w:tcPr>
            <w:tcW w:w="58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60" w:type="dxa"/>
            <w:vAlign w:val="bottom"/>
            <w:tcBorders>
              <w:right w:val="single" w:sz="8" w:color="auto"/>
            </w:tcBorders>
            <w:shd w:val="clear" w:color="auto" w:fill="CCEEFF"/>
          </w:tcPr>
          <w:p>
            <w:pPr>
              <w:spacing w:after="0" w:line="20" w:lineRule="exact"/>
              <w:rPr>
                <w:sz w:val="1"/>
                <w:szCs w:val="1"/>
                <w:color w:val="auto"/>
              </w:rPr>
            </w:pPr>
          </w:p>
        </w:tc>
        <w:tc>
          <w:tcPr>
            <w:tcW w:w="520" w:type="dxa"/>
            <w:vAlign w:val="bottom"/>
            <w:tcBorders>
              <w:right w:val="single" w:sz="8" w:color="CCEEFF"/>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4100" w:type="dxa"/>
            <w:vAlign w:val="bottom"/>
            <w:vMerge w:val="continue"/>
            <w:shd w:val="clear" w:color="auto" w:fill="CCEEFF"/>
          </w:tcPr>
          <w:p>
            <w:pPr>
              <w:spacing w:after="0"/>
              <w:rPr>
                <w:sz w:val="10"/>
                <w:szCs w:val="10"/>
                <w:color w:val="auto"/>
              </w:rPr>
            </w:pPr>
          </w:p>
        </w:tc>
        <w:tc>
          <w:tcPr>
            <w:tcW w:w="580" w:type="dxa"/>
            <w:vAlign w:val="bottom"/>
            <w:shd w:val="clear" w:color="auto" w:fill="CCEEFF"/>
          </w:tcPr>
          <w:p>
            <w:pPr>
              <w:jc w:val="right"/>
              <w:spacing w:after="0" w:line="115" w:lineRule="exact"/>
              <w:rPr>
                <w:sz w:val="20"/>
                <w:szCs w:val="20"/>
                <w:color w:val="auto"/>
              </w:rPr>
            </w:pPr>
            <w:r>
              <w:rPr>
                <w:rFonts w:ascii="Arial" w:cs="Arial" w:eastAsia="Arial" w:hAnsi="Arial"/>
                <w:sz w:val="11"/>
                <w:szCs w:val="11"/>
                <w:color w:val="auto"/>
              </w:rPr>
              <w:t>21,466,272</w:t>
            </w:r>
          </w:p>
        </w:tc>
        <w:tc>
          <w:tcPr>
            <w:tcW w:w="180" w:type="dxa"/>
            <w:vAlign w:val="bottom"/>
            <w:shd w:val="clear" w:color="auto" w:fill="CCEEFF"/>
          </w:tcPr>
          <w:p>
            <w:pPr>
              <w:spacing w:after="0"/>
              <w:rPr>
                <w:sz w:val="10"/>
                <w:szCs w:val="10"/>
                <w:color w:val="auto"/>
              </w:rPr>
            </w:pPr>
          </w:p>
        </w:tc>
        <w:tc>
          <w:tcPr>
            <w:tcW w:w="240" w:type="dxa"/>
            <w:vAlign w:val="bottom"/>
            <w:gridSpan w:val="2"/>
            <w:shd w:val="clear" w:color="auto" w:fill="CCEEFF"/>
          </w:tcPr>
          <w:p>
            <w:pPr>
              <w:jc w:val="right"/>
              <w:spacing w:after="0" w:line="115" w:lineRule="exact"/>
              <w:rPr>
                <w:sz w:val="20"/>
                <w:szCs w:val="20"/>
                <w:color w:val="auto"/>
              </w:rPr>
            </w:pPr>
            <w:r>
              <w:rPr>
                <w:rFonts w:ascii="Arial" w:cs="Arial" w:eastAsia="Arial" w:hAnsi="Arial"/>
                <w:sz w:val="11"/>
                <w:szCs w:val="11"/>
                <w:color w:val="auto"/>
              </w:rPr>
              <w:t>$</w:t>
            </w:r>
          </w:p>
        </w:tc>
        <w:tc>
          <w:tcPr>
            <w:tcW w:w="440" w:type="dxa"/>
            <w:vAlign w:val="bottom"/>
            <w:shd w:val="clear" w:color="auto" w:fill="CCEEFF"/>
          </w:tcPr>
          <w:p>
            <w:pPr>
              <w:jc w:val="right"/>
              <w:spacing w:after="0" w:line="115" w:lineRule="exact"/>
              <w:rPr>
                <w:sz w:val="20"/>
                <w:szCs w:val="20"/>
                <w:color w:val="auto"/>
              </w:rPr>
            </w:pPr>
            <w:r>
              <w:rPr>
                <w:rFonts w:ascii="Arial" w:cs="Arial" w:eastAsia="Arial" w:hAnsi="Arial"/>
                <w:sz w:val="11"/>
                <w:szCs w:val="11"/>
                <w:color w:val="auto"/>
              </w:rPr>
              <w:t>0.65</w:t>
            </w:r>
          </w:p>
        </w:tc>
        <w:tc>
          <w:tcPr>
            <w:tcW w:w="940" w:type="dxa"/>
            <w:vAlign w:val="bottom"/>
            <w:gridSpan w:val="2"/>
            <w:shd w:val="clear" w:color="auto" w:fill="CCEEFF"/>
          </w:tcPr>
          <w:p>
            <w:pPr>
              <w:jc w:val="right"/>
              <w:spacing w:after="0" w:line="115" w:lineRule="exact"/>
              <w:rPr>
                <w:sz w:val="20"/>
                <w:szCs w:val="20"/>
                <w:color w:val="auto"/>
              </w:rPr>
            </w:pPr>
            <w:r>
              <w:rPr>
                <w:rFonts w:ascii="Arial" w:cs="Arial" w:eastAsia="Arial" w:hAnsi="Arial"/>
                <w:sz w:val="11"/>
                <w:szCs w:val="11"/>
                <w:color w:val="auto"/>
              </w:rPr>
              <w:t>9.4</w:t>
            </w:r>
          </w:p>
        </w:tc>
        <w:tc>
          <w:tcPr>
            <w:tcW w:w="360" w:type="dxa"/>
            <w:vAlign w:val="bottom"/>
            <w:tcBorders>
              <w:right w:val="single" w:sz="8" w:color="CCEEFF"/>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w:t>
            </w:r>
          </w:p>
        </w:tc>
        <w:tc>
          <w:tcPr>
            <w:tcW w:w="520" w:type="dxa"/>
            <w:vAlign w:val="bottom"/>
            <w:tcBorders>
              <w:right w:val="single" w:sz="8" w:color="CCEEFF"/>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48.1</w:t>
            </w:r>
          </w:p>
        </w:tc>
        <w:tc>
          <w:tcPr>
            <w:tcW w:w="0" w:type="dxa"/>
            <w:vAlign w:val="bottom"/>
          </w:tcPr>
          <w:p>
            <w:pPr>
              <w:spacing w:after="0"/>
              <w:rPr>
                <w:sz w:val="1"/>
                <w:szCs w:val="1"/>
                <w:color w:val="auto"/>
              </w:rPr>
            </w:pPr>
          </w:p>
        </w:tc>
      </w:tr>
      <w:tr>
        <w:trPr>
          <w:trHeight w:val="126"/>
        </w:trPr>
        <w:tc>
          <w:tcPr>
            <w:tcW w:w="4100" w:type="dxa"/>
            <w:vAlign w:val="bottom"/>
          </w:tcPr>
          <w:p>
            <w:pPr>
              <w:ind w:left="220"/>
              <w:spacing w:after="0"/>
              <w:rPr>
                <w:sz w:val="20"/>
                <w:szCs w:val="20"/>
                <w:color w:val="auto"/>
              </w:rPr>
            </w:pPr>
            <w:r>
              <w:rPr>
                <w:rFonts w:ascii="Arial" w:cs="Arial" w:eastAsia="Arial" w:hAnsi="Arial"/>
                <w:sz w:val="11"/>
                <w:szCs w:val="11"/>
                <w:color w:val="auto"/>
              </w:rPr>
              <w:t>Granted</w:t>
            </w:r>
          </w:p>
        </w:tc>
        <w:tc>
          <w:tcPr>
            <w:tcW w:w="580" w:type="dxa"/>
            <w:vAlign w:val="bottom"/>
          </w:tcPr>
          <w:p>
            <w:pPr>
              <w:jc w:val="right"/>
              <w:spacing w:after="0"/>
              <w:rPr>
                <w:sz w:val="20"/>
                <w:szCs w:val="20"/>
                <w:color w:val="auto"/>
              </w:rPr>
            </w:pPr>
            <w:r>
              <w:rPr>
                <w:rFonts w:ascii="Arial" w:cs="Arial" w:eastAsia="Arial" w:hAnsi="Arial"/>
                <w:sz w:val="11"/>
                <w:szCs w:val="11"/>
                <w:color w:val="auto"/>
              </w:rPr>
              <w:t>4,274,000</w:t>
            </w:r>
          </w:p>
        </w:tc>
        <w:tc>
          <w:tcPr>
            <w:tcW w:w="1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jc w:val="right"/>
              <w:spacing w:after="0"/>
              <w:rPr>
                <w:sz w:val="20"/>
                <w:szCs w:val="20"/>
                <w:color w:val="auto"/>
              </w:rPr>
            </w:pPr>
            <w:r>
              <w:rPr>
                <w:rFonts w:ascii="Arial" w:cs="Arial" w:eastAsia="Arial" w:hAnsi="Arial"/>
                <w:sz w:val="11"/>
                <w:szCs w:val="11"/>
                <w:color w:val="auto"/>
              </w:rPr>
              <w:t>0.76</w:t>
            </w: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4100" w:type="dxa"/>
            <w:vAlign w:val="bottom"/>
            <w:shd w:val="clear" w:color="auto" w:fill="CCEEFF"/>
          </w:tcPr>
          <w:p>
            <w:pPr>
              <w:ind w:left="220"/>
              <w:spacing w:after="0"/>
              <w:rPr>
                <w:sz w:val="20"/>
                <w:szCs w:val="20"/>
                <w:color w:val="auto"/>
              </w:rPr>
            </w:pPr>
            <w:r>
              <w:rPr>
                <w:rFonts w:ascii="Arial" w:cs="Arial" w:eastAsia="Arial" w:hAnsi="Arial"/>
                <w:sz w:val="11"/>
                <w:szCs w:val="11"/>
                <w:color w:val="auto"/>
              </w:rPr>
              <w:t>Exercised</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(1,893,000)</w:t>
            </w:r>
          </w:p>
        </w:tc>
        <w:tc>
          <w:tcPr>
            <w:tcW w:w="1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0.38</w:t>
            </w:r>
          </w:p>
        </w:tc>
        <w:tc>
          <w:tcPr>
            <w:tcW w:w="30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360" w:type="dxa"/>
            <w:vAlign w:val="bottom"/>
            <w:tcBorders>
              <w:right w:val="single" w:sz="8" w:color="CCEEFF"/>
            </w:tcBorders>
            <w:shd w:val="clear" w:color="auto" w:fill="CCEEFF"/>
          </w:tcPr>
          <w:p>
            <w:pPr>
              <w:spacing w:after="0"/>
              <w:rPr>
                <w:sz w:val="10"/>
                <w:szCs w:val="10"/>
                <w:color w:val="auto"/>
              </w:rPr>
            </w:pPr>
          </w:p>
        </w:tc>
        <w:tc>
          <w:tcPr>
            <w:tcW w:w="5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4.9</w:t>
            </w:r>
          </w:p>
        </w:tc>
        <w:tc>
          <w:tcPr>
            <w:tcW w:w="0" w:type="dxa"/>
            <w:vAlign w:val="bottom"/>
          </w:tcPr>
          <w:p>
            <w:pPr>
              <w:spacing w:after="0"/>
              <w:rPr>
                <w:sz w:val="1"/>
                <w:szCs w:val="1"/>
                <w:color w:val="auto"/>
              </w:rPr>
            </w:pPr>
          </w:p>
        </w:tc>
      </w:tr>
      <w:tr>
        <w:trPr>
          <w:trHeight w:val="126"/>
        </w:trPr>
        <w:tc>
          <w:tcPr>
            <w:tcW w:w="4100" w:type="dxa"/>
            <w:vAlign w:val="bottom"/>
          </w:tcPr>
          <w:p>
            <w:pPr>
              <w:ind w:left="220"/>
              <w:spacing w:after="0"/>
              <w:rPr>
                <w:sz w:val="20"/>
                <w:szCs w:val="20"/>
                <w:color w:val="auto"/>
              </w:rPr>
            </w:pPr>
            <w:r>
              <w:rPr>
                <w:rFonts w:ascii="Arial" w:cs="Arial" w:eastAsia="Arial" w:hAnsi="Arial"/>
                <w:sz w:val="11"/>
                <w:szCs w:val="11"/>
                <w:color w:val="auto"/>
              </w:rPr>
              <w:t>Cancelled</w:t>
            </w:r>
          </w:p>
        </w:tc>
        <w:tc>
          <w:tcPr>
            <w:tcW w:w="760" w:type="dxa"/>
            <w:vAlign w:val="bottom"/>
            <w:gridSpan w:val="2"/>
          </w:tcPr>
          <w:p>
            <w:pPr>
              <w:jc w:val="right"/>
              <w:ind w:right="140"/>
              <w:spacing w:after="0"/>
              <w:rPr>
                <w:sz w:val="20"/>
                <w:szCs w:val="20"/>
                <w:color w:val="auto"/>
              </w:rPr>
            </w:pPr>
            <w:r>
              <w:rPr>
                <w:rFonts w:ascii="Arial" w:cs="Arial" w:eastAsia="Arial" w:hAnsi="Arial"/>
                <w:sz w:val="11"/>
                <w:szCs w:val="11"/>
                <w:color w:val="auto"/>
              </w:rPr>
              <w:t>(1,497,100)</w:t>
            </w: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jc w:val="right"/>
              <w:spacing w:after="0"/>
              <w:rPr>
                <w:sz w:val="20"/>
                <w:szCs w:val="20"/>
                <w:color w:val="auto"/>
              </w:rPr>
            </w:pPr>
            <w:r>
              <w:rPr>
                <w:rFonts w:ascii="Arial" w:cs="Arial" w:eastAsia="Arial" w:hAnsi="Arial"/>
                <w:sz w:val="11"/>
                <w:szCs w:val="11"/>
                <w:color w:val="auto"/>
              </w:rPr>
              <w:t>0.54</w:t>
            </w: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4100" w:type="dxa"/>
            <w:vAlign w:val="bottom"/>
            <w:shd w:val="clear" w:color="auto" w:fill="CCEEFF"/>
          </w:tcPr>
          <w:p>
            <w:pPr>
              <w:spacing w:after="0" w:line="124" w:lineRule="exact"/>
              <w:rPr>
                <w:sz w:val="20"/>
                <w:szCs w:val="20"/>
                <w:color w:val="auto"/>
              </w:rPr>
            </w:pPr>
            <w:r>
              <w:rPr>
                <w:rFonts w:ascii="Arial" w:cs="Arial" w:eastAsia="Arial" w:hAnsi="Arial"/>
                <w:sz w:val="11"/>
                <w:szCs w:val="11"/>
                <w:color w:val="auto"/>
              </w:rPr>
              <w:t>Outstanding — June 30, 2017</w:t>
            </w:r>
          </w:p>
        </w:tc>
        <w:tc>
          <w:tcPr>
            <w:tcW w:w="580" w:type="dxa"/>
            <w:vAlign w:val="bottom"/>
            <w:tcBorders>
              <w:top w:val="single" w:sz="8" w:color="auto"/>
              <w:bottom w:val="single" w:sz="8" w:color="auto"/>
            </w:tcBorders>
            <w:shd w:val="clear" w:color="auto" w:fill="CCEEFF"/>
          </w:tcPr>
          <w:p>
            <w:pPr>
              <w:jc w:val="right"/>
              <w:spacing w:after="0" w:line="124" w:lineRule="exact"/>
              <w:rPr>
                <w:sz w:val="20"/>
                <w:szCs w:val="20"/>
                <w:color w:val="auto"/>
              </w:rPr>
            </w:pPr>
            <w:r>
              <w:rPr>
                <w:rFonts w:ascii="Arial" w:cs="Arial" w:eastAsia="Arial" w:hAnsi="Arial"/>
                <w:sz w:val="11"/>
                <w:szCs w:val="11"/>
                <w:color w:val="auto"/>
              </w:rPr>
              <w:t>22,350,172</w:t>
            </w:r>
          </w:p>
        </w:tc>
        <w:tc>
          <w:tcPr>
            <w:tcW w:w="1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24" w:lineRule="exact"/>
              <w:rPr>
                <w:sz w:val="20"/>
                <w:szCs w:val="20"/>
                <w:color w:val="auto"/>
              </w:rPr>
            </w:pPr>
            <w:r>
              <w:rPr>
                <w:rFonts w:ascii="Arial" w:cs="Arial" w:eastAsia="Arial" w:hAnsi="Arial"/>
                <w:sz w:val="11"/>
                <w:szCs w:val="11"/>
                <w:color w:val="auto"/>
              </w:rPr>
              <w:t>0.70</w:t>
            </w:r>
          </w:p>
        </w:tc>
        <w:tc>
          <w:tcPr>
            <w:tcW w:w="940" w:type="dxa"/>
            <w:vAlign w:val="bottom"/>
            <w:gridSpan w:val="2"/>
            <w:shd w:val="clear" w:color="auto" w:fill="CCEEFF"/>
          </w:tcPr>
          <w:p>
            <w:pPr>
              <w:jc w:val="right"/>
              <w:spacing w:after="0" w:line="124" w:lineRule="exact"/>
              <w:rPr>
                <w:sz w:val="20"/>
                <w:szCs w:val="20"/>
                <w:color w:val="auto"/>
              </w:rPr>
            </w:pPr>
            <w:r>
              <w:rPr>
                <w:rFonts w:ascii="Arial" w:cs="Arial" w:eastAsia="Arial" w:hAnsi="Arial"/>
                <w:sz w:val="11"/>
                <w:szCs w:val="11"/>
                <w:color w:val="auto"/>
              </w:rPr>
              <w:t>8.5</w:t>
            </w:r>
          </w:p>
        </w:tc>
        <w:tc>
          <w:tcPr>
            <w:tcW w:w="360" w:type="dxa"/>
            <w:vAlign w:val="bottom"/>
            <w:tcBorders>
              <w:right w:val="single" w:sz="8" w:color="CCEEFF"/>
            </w:tcBorders>
            <w:shd w:val="clear" w:color="auto" w:fill="CCEEFF"/>
          </w:tcPr>
          <w:p>
            <w:pPr>
              <w:spacing w:after="0"/>
              <w:rPr>
                <w:sz w:val="11"/>
                <w:szCs w:val="11"/>
                <w:color w:val="auto"/>
              </w:rPr>
            </w:pPr>
          </w:p>
        </w:tc>
        <w:tc>
          <w:tcPr>
            <w:tcW w:w="520" w:type="dxa"/>
            <w:vAlign w:val="bottom"/>
            <w:tcBorders>
              <w:right w:val="single" w:sz="8" w:color="CCEEFF"/>
            </w:tcBorders>
            <w:shd w:val="clear" w:color="auto" w:fill="CCEEFF"/>
          </w:tcPr>
          <w:p>
            <w:pPr>
              <w:jc w:val="right"/>
              <w:spacing w:after="0" w:line="124" w:lineRule="exact"/>
              <w:rPr>
                <w:sz w:val="20"/>
                <w:szCs w:val="20"/>
                <w:color w:val="auto"/>
              </w:rPr>
            </w:pPr>
            <w:r>
              <w:rPr>
                <w:rFonts w:ascii="Arial" w:cs="Arial" w:eastAsia="Arial" w:hAnsi="Arial"/>
                <w:sz w:val="11"/>
                <w:szCs w:val="11"/>
                <w:color w:val="auto"/>
              </w:rPr>
              <w:t>48.9</w:t>
            </w:r>
          </w:p>
        </w:tc>
        <w:tc>
          <w:tcPr>
            <w:tcW w:w="0" w:type="dxa"/>
            <w:vAlign w:val="bottom"/>
          </w:tcPr>
          <w:p>
            <w:pPr>
              <w:spacing w:after="0"/>
              <w:rPr>
                <w:sz w:val="1"/>
                <w:szCs w:val="1"/>
                <w:color w:val="auto"/>
              </w:rPr>
            </w:pPr>
          </w:p>
        </w:tc>
      </w:tr>
      <w:tr>
        <w:trPr>
          <w:trHeight w:val="135"/>
        </w:trPr>
        <w:tc>
          <w:tcPr>
            <w:tcW w:w="4100" w:type="dxa"/>
            <w:vAlign w:val="bottom"/>
          </w:tcPr>
          <w:p>
            <w:pPr>
              <w:ind w:left="220"/>
              <w:spacing w:after="0"/>
              <w:rPr>
                <w:sz w:val="20"/>
                <w:szCs w:val="20"/>
                <w:color w:val="auto"/>
              </w:rPr>
            </w:pPr>
            <w:r>
              <w:rPr>
                <w:rFonts w:ascii="Arial" w:cs="Arial" w:eastAsia="Arial" w:hAnsi="Arial"/>
                <w:sz w:val="11"/>
                <w:szCs w:val="11"/>
                <w:color w:val="auto"/>
              </w:rPr>
              <w:t>Granted</w:t>
            </w:r>
          </w:p>
        </w:tc>
        <w:tc>
          <w:tcPr>
            <w:tcW w:w="580" w:type="dxa"/>
            <w:vAlign w:val="bottom"/>
          </w:tcPr>
          <w:p>
            <w:pPr>
              <w:jc w:val="right"/>
              <w:spacing w:after="0"/>
              <w:rPr>
                <w:sz w:val="20"/>
                <w:szCs w:val="20"/>
                <w:color w:val="auto"/>
              </w:rPr>
            </w:pPr>
            <w:r>
              <w:rPr>
                <w:rFonts w:ascii="Arial" w:cs="Arial" w:eastAsia="Arial" w:hAnsi="Arial"/>
                <w:sz w:val="11"/>
                <w:szCs w:val="11"/>
                <w:color w:val="auto"/>
              </w:rPr>
              <w:t>23,847,756</w:t>
            </w: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jc w:val="right"/>
              <w:spacing w:after="0"/>
              <w:rPr>
                <w:sz w:val="20"/>
                <w:szCs w:val="20"/>
                <w:color w:val="auto"/>
              </w:rPr>
            </w:pPr>
            <w:r>
              <w:rPr>
                <w:rFonts w:ascii="Arial" w:cs="Arial" w:eastAsia="Arial" w:hAnsi="Arial"/>
                <w:sz w:val="11"/>
                <w:szCs w:val="11"/>
                <w:color w:val="auto"/>
              </w:rPr>
              <w:t>3.08</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4100" w:type="dxa"/>
            <w:vAlign w:val="bottom"/>
            <w:shd w:val="clear" w:color="auto" w:fill="CCEEFF"/>
          </w:tcPr>
          <w:p>
            <w:pPr>
              <w:ind w:left="220"/>
              <w:spacing w:after="0"/>
              <w:rPr>
                <w:sz w:val="20"/>
                <w:szCs w:val="20"/>
                <w:color w:val="auto"/>
              </w:rPr>
            </w:pPr>
            <w:r>
              <w:rPr>
                <w:rFonts w:ascii="Arial" w:cs="Arial" w:eastAsia="Arial" w:hAnsi="Arial"/>
                <w:sz w:val="11"/>
                <w:szCs w:val="11"/>
                <w:color w:val="auto"/>
              </w:rPr>
              <w:t>Exercised</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(5,746,588)</w:t>
            </w:r>
          </w:p>
        </w:tc>
        <w:tc>
          <w:tcPr>
            <w:tcW w:w="1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1.29</w:t>
            </w:r>
          </w:p>
        </w:tc>
        <w:tc>
          <w:tcPr>
            <w:tcW w:w="30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360" w:type="dxa"/>
            <w:vAlign w:val="bottom"/>
            <w:tcBorders>
              <w:right w:val="single" w:sz="8" w:color="CCEEFF"/>
            </w:tcBorders>
            <w:shd w:val="clear" w:color="auto" w:fill="CCEEFF"/>
          </w:tcPr>
          <w:p>
            <w:pPr>
              <w:spacing w:after="0"/>
              <w:rPr>
                <w:sz w:val="10"/>
                <w:szCs w:val="10"/>
                <w:color w:val="auto"/>
              </w:rPr>
            </w:pPr>
          </w:p>
        </w:tc>
        <w:tc>
          <w:tcPr>
            <w:tcW w:w="5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11.5</w:t>
            </w:r>
          </w:p>
        </w:tc>
        <w:tc>
          <w:tcPr>
            <w:tcW w:w="0" w:type="dxa"/>
            <w:vAlign w:val="bottom"/>
          </w:tcPr>
          <w:p>
            <w:pPr>
              <w:spacing w:after="0"/>
              <w:rPr>
                <w:sz w:val="1"/>
                <w:szCs w:val="1"/>
                <w:color w:val="auto"/>
              </w:rPr>
            </w:pPr>
          </w:p>
        </w:tc>
      </w:tr>
      <w:tr>
        <w:trPr>
          <w:trHeight w:val="126"/>
        </w:trPr>
        <w:tc>
          <w:tcPr>
            <w:tcW w:w="4100" w:type="dxa"/>
            <w:vAlign w:val="bottom"/>
          </w:tcPr>
          <w:p>
            <w:pPr>
              <w:ind w:left="220"/>
              <w:spacing w:after="0"/>
              <w:rPr>
                <w:sz w:val="20"/>
                <w:szCs w:val="20"/>
                <w:color w:val="auto"/>
              </w:rPr>
            </w:pPr>
            <w:r>
              <w:rPr>
                <w:rFonts w:ascii="Arial" w:cs="Arial" w:eastAsia="Arial" w:hAnsi="Arial"/>
                <w:sz w:val="11"/>
                <w:szCs w:val="11"/>
                <w:color w:val="auto"/>
              </w:rPr>
              <w:t>Cancelled</w:t>
            </w:r>
          </w:p>
        </w:tc>
        <w:tc>
          <w:tcPr>
            <w:tcW w:w="760" w:type="dxa"/>
            <w:vAlign w:val="bottom"/>
            <w:gridSpan w:val="2"/>
          </w:tcPr>
          <w:p>
            <w:pPr>
              <w:jc w:val="right"/>
              <w:ind w:right="140"/>
              <w:spacing w:after="0"/>
              <w:rPr>
                <w:sz w:val="20"/>
                <w:szCs w:val="20"/>
                <w:color w:val="auto"/>
              </w:rPr>
            </w:pPr>
            <w:r>
              <w:rPr>
                <w:rFonts w:ascii="Arial" w:cs="Arial" w:eastAsia="Arial" w:hAnsi="Arial"/>
                <w:sz w:val="11"/>
                <w:szCs w:val="11"/>
                <w:color w:val="auto"/>
              </w:rPr>
              <w:t>(1,949,076)</w:t>
            </w: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jc w:val="right"/>
              <w:spacing w:after="0"/>
              <w:rPr>
                <w:sz w:val="20"/>
                <w:szCs w:val="20"/>
                <w:color w:val="auto"/>
              </w:rPr>
            </w:pPr>
            <w:r>
              <w:rPr>
                <w:rFonts w:ascii="Arial" w:cs="Arial" w:eastAsia="Arial" w:hAnsi="Arial"/>
                <w:sz w:val="11"/>
                <w:szCs w:val="11"/>
                <w:color w:val="auto"/>
              </w:rPr>
              <w:t>0.96</w:t>
            </w: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4100" w:type="dxa"/>
            <w:vAlign w:val="bottom"/>
            <w:shd w:val="clear" w:color="auto" w:fill="CCEEFF"/>
          </w:tcPr>
          <w:p>
            <w:pPr>
              <w:spacing w:after="0" w:line="124" w:lineRule="exact"/>
              <w:rPr>
                <w:sz w:val="20"/>
                <w:szCs w:val="20"/>
                <w:color w:val="auto"/>
              </w:rPr>
            </w:pPr>
            <w:r>
              <w:rPr>
                <w:rFonts w:ascii="Arial" w:cs="Arial" w:eastAsia="Arial" w:hAnsi="Arial"/>
                <w:sz w:val="11"/>
                <w:szCs w:val="11"/>
                <w:color w:val="auto"/>
              </w:rPr>
              <w:t>Outstanding — June 30, 2018</w:t>
            </w:r>
          </w:p>
        </w:tc>
        <w:tc>
          <w:tcPr>
            <w:tcW w:w="580" w:type="dxa"/>
            <w:vAlign w:val="bottom"/>
            <w:tcBorders>
              <w:top w:val="single" w:sz="8" w:color="auto"/>
              <w:bottom w:val="single" w:sz="8" w:color="auto"/>
            </w:tcBorders>
            <w:shd w:val="clear" w:color="auto" w:fill="CCEEFF"/>
          </w:tcPr>
          <w:p>
            <w:pPr>
              <w:jc w:val="right"/>
              <w:spacing w:after="0" w:line="124" w:lineRule="exact"/>
              <w:rPr>
                <w:sz w:val="20"/>
                <w:szCs w:val="20"/>
                <w:color w:val="auto"/>
              </w:rPr>
            </w:pPr>
            <w:r>
              <w:rPr>
                <w:rFonts w:ascii="Arial" w:cs="Arial" w:eastAsia="Arial" w:hAnsi="Arial"/>
                <w:sz w:val="11"/>
                <w:szCs w:val="11"/>
                <w:color w:val="auto"/>
              </w:rPr>
              <w:t>38,502,264</w:t>
            </w:r>
          </w:p>
        </w:tc>
        <w:tc>
          <w:tcPr>
            <w:tcW w:w="1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24" w:lineRule="exact"/>
              <w:rPr>
                <w:sz w:val="20"/>
                <w:szCs w:val="20"/>
                <w:color w:val="auto"/>
              </w:rPr>
            </w:pPr>
            <w:r>
              <w:rPr>
                <w:rFonts w:ascii="Arial" w:cs="Arial" w:eastAsia="Arial" w:hAnsi="Arial"/>
                <w:sz w:val="11"/>
                <w:szCs w:val="11"/>
                <w:color w:val="auto"/>
              </w:rPr>
              <w:t>2.07</w:t>
            </w:r>
          </w:p>
        </w:tc>
        <w:tc>
          <w:tcPr>
            <w:tcW w:w="940" w:type="dxa"/>
            <w:vAlign w:val="bottom"/>
            <w:gridSpan w:val="2"/>
            <w:shd w:val="clear" w:color="auto" w:fill="CCEEFF"/>
          </w:tcPr>
          <w:p>
            <w:pPr>
              <w:jc w:val="right"/>
              <w:spacing w:after="0" w:line="124" w:lineRule="exact"/>
              <w:rPr>
                <w:sz w:val="20"/>
                <w:szCs w:val="20"/>
                <w:color w:val="auto"/>
              </w:rPr>
            </w:pPr>
            <w:r>
              <w:rPr>
                <w:rFonts w:ascii="Arial" w:cs="Arial" w:eastAsia="Arial" w:hAnsi="Arial"/>
                <w:sz w:val="11"/>
                <w:szCs w:val="11"/>
                <w:color w:val="auto"/>
              </w:rPr>
              <w:t>8.6</w:t>
            </w:r>
          </w:p>
        </w:tc>
        <w:tc>
          <w:tcPr>
            <w:tcW w:w="360" w:type="dxa"/>
            <w:vAlign w:val="bottom"/>
            <w:tcBorders>
              <w:right w:val="single" w:sz="8" w:color="CCEEFF"/>
            </w:tcBorders>
            <w:shd w:val="clear" w:color="auto" w:fill="CCEEFF"/>
          </w:tcPr>
          <w:p>
            <w:pPr>
              <w:spacing w:after="0"/>
              <w:rPr>
                <w:sz w:val="11"/>
                <w:szCs w:val="11"/>
                <w:color w:val="auto"/>
              </w:rPr>
            </w:pPr>
          </w:p>
        </w:tc>
        <w:tc>
          <w:tcPr>
            <w:tcW w:w="520" w:type="dxa"/>
            <w:vAlign w:val="bottom"/>
            <w:tcBorders>
              <w:right w:val="single" w:sz="8" w:color="CCEEFF"/>
            </w:tcBorders>
            <w:shd w:val="clear" w:color="auto" w:fill="CCEEFF"/>
          </w:tcPr>
          <w:p>
            <w:pPr>
              <w:jc w:val="right"/>
              <w:spacing w:after="0" w:line="124" w:lineRule="exact"/>
              <w:rPr>
                <w:sz w:val="20"/>
                <w:szCs w:val="20"/>
                <w:color w:val="auto"/>
              </w:rPr>
            </w:pPr>
            <w:r>
              <w:rPr>
                <w:rFonts w:ascii="Arial" w:cs="Arial" w:eastAsia="Arial" w:hAnsi="Arial"/>
                <w:sz w:val="11"/>
                <w:szCs w:val="11"/>
                <w:color w:val="auto"/>
              </w:rPr>
              <w:t>46.5</w:t>
            </w:r>
          </w:p>
        </w:tc>
        <w:tc>
          <w:tcPr>
            <w:tcW w:w="0" w:type="dxa"/>
            <w:vAlign w:val="bottom"/>
          </w:tcPr>
          <w:p>
            <w:pPr>
              <w:spacing w:after="0"/>
              <w:rPr>
                <w:sz w:val="1"/>
                <w:szCs w:val="1"/>
                <w:color w:val="auto"/>
              </w:rPr>
            </w:pPr>
          </w:p>
        </w:tc>
      </w:tr>
      <w:tr>
        <w:trPr>
          <w:trHeight w:val="135"/>
        </w:trPr>
        <w:tc>
          <w:tcPr>
            <w:tcW w:w="4100" w:type="dxa"/>
            <w:vAlign w:val="bottom"/>
          </w:tcPr>
          <w:p>
            <w:pPr>
              <w:ind w:left="220"/>
              <w:spacing w:after="0"/>
              <w:rPr>
                <w:sz w:val="20"/>
                <w:szCs w:val="20"/>
                <w:color w:val="auto"/>
              </w:rPr>
            </w:pPr>
            <w:r>
              <w:rPr>
                <w:rFonts w:ascii="Arial" w:cs="Arial" w:eastAsia="Arial" w:hAnsi="Arial"/>
                <w:sz w:val="11"/>
                <w:szCs w:val="11"/>
                <w:color w:val="auto"/>
              </w:rPr>
              <w:t>Granted</w:t>
            </w:r>
          </w:p>
        </w:tc>
        <w:tc>
          <w:tcPr>
            <w:tcW w:w="580" w:type="dxa"/>
            <w:vAlign w:val="bottom"/>
          </w:tcPr>
          <w:p>
            <w:pPr>
              <w:jc w:val="right"/>
              <w:spacing w:after="0"/>
              <w:rPr>
                <w:sz w:val="20"/>
                <w:szCs w:val="20"/>
                <w:color w:val="auto"/>
              </w:rPr>
            </w:pPr>
            <w:r>
              <w:rPr>
                <w:rFonts w:ascii="Arial" w:cs="Arial" w:eastAsia="Arial" w:hAnsi="Arial"/>
                <w:sz w:val="11"/>
                <w:szCs w:val="11"/>
                <w:color w:val="auto"/>
              </w:rPr>
              <w:t>32,108,062</w:t>
            </w: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jc w:val="right"/>
              <w:spacing w:after="0"/>
              <w:rPr>
                <w:sz w:val="20"/>
                <w:szCs w:val="20"/>
                <w:color w:val="auto"/>
              </w:rPr>
            </w:pPr>
            <w:r>
              <w:rPr>
                <w:rFonts w:ascii="Arial" w:cs="Arial" w:eastAsia="Arial" w:hAnsi="Arial"/>
                <w:sz w:val="11"/>
                <w:szCs w:val="11"/>
                <w:color w:val="auto"/>
              </w:rPr>
              <w:t>11.59</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4100" w:type="dxa"/>
            <w:vAlign w:val="bottom"/>
            <w:shd w:val="clear" w:color="auto" w:fill="CCEEFF"/>
          </w:tcPr>
          <w:p>
            <w:pPr>
              <w:ind w:left="220"/>
              <w:spacing w:after="0"/>
              <w:rPr>
                <w:sz w:val="20"/>
                <w:szCs w:val="20"/>
                <w:color w:val="auto"/>
              </w:rPr>
            </w:pPr>
            <w:r>
              <w:rPr>
                <w:rFonts w:ascii="Arial" w:cs="Arial" w:eastAsia="Arial" w:hAnsi="Arial"/>
                <w:sz w:val="11"/>
                <w:szCs w:val="11"/>
                <w:color w:val="auto"/>
              </w:rPr>
              <w:t>Exercised</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(4,205,766)</w:t>
            </w:r>
          </w:p>
        </w:tc>
        <w:tc>
          <w:tcPr>
            <w:tcW w:w="1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2.27</w:t>
            </w:r>
          </w:p>
        </w:tc>
        <w:tc>
          <w:tcPr>
            <w:tcW w:w="30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360" w:type="dxa"/>
            <w:vAlign w:val="bottom"/>
            <w:tcBorders>
              <w:right w:val="single" w:sz="8" w:color="CCEEFF"/>
            </w:tcBorders>
            <w:shd w:val="clear" w:color="auto" w:fill="CCEEFF"/>
          </w:tcPr>
          <w:p>
            <w:pPr>
              <w:spacing w:after="0"/>
              <w:rPr>
                <w:sz w:val="10"/>
                <w:szCs w:val="10"/>
                <w:color w:val="auto"/>
              </w:rPr>
            </w:pPr>
          </w:p>
        </w:tc>
        <w:tc>
          <w:tcPr>
            <w:tcW w:w="5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40.2</w:t>
            </w:r>
          </w:p>
        </w:tc>
        <w:tc>
          <w:tcPr>
            <w:tcW w:w="0" w:type="dxa"/>
            <w:vAlign w:val="bottom"/>
          </w:tcPr>
          <w:p>
            <w:pPr>
              <w:spacing w:after="0"/>
              <w:rPr>
                <w:sz w:val="1"/>
                <w:szCs w:val="1"/>
                <w:color w:val="auto"/>
              </w:rPr>
            </w:pPr>
          </w:p>
        </w:tc>
      </w:tr>
      <w:tr>
        <w:trPr>
          <w:trHeight w:val="126"/>
        </w:trPr>
        <w:tc>
          <w:tcPr>
            <w:tcW w:w="4100" w:type="dxa"/>
            <w:vAlign w:val="bottom"/>
          </w:tcPr>
          <w:p>
            <w:pPr>
              <w:ind w:left="220"/>
              <w:spacing w:after="0"/>
              <w:rPr>
                <w:sz w:val="20"/>
                <w:szCs w:val="20"/>
                <w:color w:val="auto"/>
              </w:rPr>
            </w:pPr>
            <w:r>
              <w:rPr>
                <w:rFonts w:ascii="Arial" w:cs="Arial" w:eastAsia="Arial" w:hAnsi="Arial"/>
                <w:sz w:val="11"/>
                <w:szCs w:val="11"/>
                <w:color w:val="auto"/>
              </w:rPr>
              <w:t>Cancelled</w:t>
            </w:r>
          </w:p>
        </w:tc>
        <w:tc>
          <w:tcPr>
            <w:tcW w:w="760" w:type="dxa"/>
            <w:vAlign w:val="bottom"/>
            <w:gridSpan w:val="2"/>
          </w:tcPr>
          <w:p>
            <w:pPr>
              <w:jc w:val="right"/>
              <w:ind w:right="140"/>
              <w:spacing w:after="0"/>
              <w:rPr>
                <w:sz w:val="20"/>
                <w:szCs w:val="20"/>
                <w:color w:val="auto"/>
              </w:rPr>
            </w:pPr>
            <w:r>
              <w:rPr>
                <w:rFonts w:ascii="Arial" w:cs="Arial" w:eastAsia="Arial" w:hAnsi="Arial"/>
                <w:sz w:val="11"/>
                <w:szCs w:val="11"/>
                <w:color w:val="auto"/>
              </w:rPr>
              <w:t>(1,802,436)</w:t>
            </w: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jc w:val="right"/>
              <w:spacing w:after="0"/>
              <w:rPr>
                <w:sz w:val="20"/>
                <w:szCs w:val="20"/>
                <w:color w:val="auto"/>
              </w:rPr>
            </w:pPr>
            <w:r>
              <w:rPr>
                <w:rFonts w:ascii="Arial" w:cs="Arial" w:eastAsia="Arial" w:hAnsi="Arial"/>
                <w:sz w:val="11"/>
                <w:szCs w:val="11"/>
                <w:color w:val="auto"/>
              </w:rPr>
              <w:t>4.88</w:t>
            </w: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4100" w:type="dxa"/>
            <w:vAlign w:val="bottom"/>
            <w:shd w:val="clear" w:color="auto" w:fill="CCEEFF"/>
          </w:tcPr>
          <w:p>
            <w:pPr>
              <w:spacing w:after="0" w:line="124" w:lineRule="exact"/>
              <w:rPr>
                <w:sz w:val="20"/>
                <w:szCs w:val="20"/>
                <w:color w:val="auto"/>
              </w:rPr>
            </w:pPr>
            <w:r>
              <w:rPr>
                <w:rFonts w:ascii="Arial" w:cs="Arial" w:eastAsia="Arial" w:hAnsi="Arial"/>
                <w:sz w:val="11"/>
                <w:szCs w:val="11"/>
                <w:color w:val="auto"/>
              </w:rPr>
              <w:t>Outstanding — June 30, 2019</w:t>
            </w:r>
          </w:p>
        </w:tc>
        <w:tc>
          <w:tcPr>
            <w:tcW w:w="580" w:type="dxa"/>
            <w:vAlign w:val="bottom"/>
            <w:tcBorders>
              <w:top w:val="single" w:sz="8" w:color="auto"/>
              <w:bottom w:val="single" w:sz="8" w:color="auto"/>
            </w:tcBorders>
            <w:shd w:val="clear" w:color="auto" w:fill="CCEEFF"/>
          </w:tcPr>
          <w:p>
            <w:pPr>
              <w:jc w:val="right"/>
              <w:spacing w:after="0" w:line="124" w:lineRule="exact"/>
              <w:rPr>
                <w:sz w:val="20"/>
                <w:szCs w:val="20"/>
                <w:color w:val="auto"/>
              </w:rPr>
            </w:pPr>
            <w:r>
              <w:rPr>
                <w:rFonts w:ascii="Arial" w:cs="Arial" w:eastAsia="Arial" w:hAnsi="Arial"/>
                <w:sz w:val="11"/>
                <w:szCs w:val="11"/>
                <w:color w:val="auto"/>
              </w:rPr>
              <w:t>64,602,124</w:t>
            </w:r>
          </w:p>
        </w:tc>
        <w:tc>
          <w:tcPr>
            <w:tcW w:w="1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24" w:lineRule="exact"/>
              <w:rPr>
                <w:sz w:val="20"/>
                <w:szCs w:val="20"/>
                <w:color w:val="auto"/>
              </w:rPr>
            </w:pPr>
            <w:r>
              <w:rPr>
                <w:rFonts w:ascii="Arial" w:cs="Arial" w:eastAsia="Arial" w:hAnsi="Arial"/>
                <w:sz w:val="11"/>
                <w:szCs w:val="11"/>
                <w:color w:val="auto"/>
              </w:rPr>
              <w:t>6.71</w:t>
            </w:r>
          </w:p>
        </w:tc>
        <w:tc>
          <w:tcPr>
            <w:tcW w:w="940" w:type="dxa"/>
            <w:vAlign w:val="bottom"/>
            <w:gridSpan w:val="2"/>
            <w:shd w:val="clear" w:color="auto" w:fill="CCEEFF"/>
          </w:tcPr>
          <w:p>
            <w:pPr>
              <w:jc w:val="right"/>
              <w:spacing w:after="0" w:line="124" w:lineRule="exact"/>
              <w:rPr>
                <w:sz w:val="20"/>
                <w:szCs w:val="20"/>
                <w:color w:val="auto"/>
              </w:rPr>
            </w:pPr>
            <w:r>
              <w:rPr>
                <w:rFonts w:ascii="Arial" w:cs="Arial" w:eastAsia="Arial" w:hAnsi="Arial"/>
                <w:sz w:val="11"/>
                <w:szCs w:val="11"/>
                <w:color w:val="auto"/>
              </w:rPr>
              <w:t>8.6</w:t>
            </w:r>
          </w:p>
        </w:tc>
        <w:tc>
          <w:tcPr>
            <w:tcW w:w="360" w:type="dxa"/>
            <w:vAlign w:val="bottom"/>
            <w:tcBorders>
              <w:right w:val="single" w:sz="8" w:color="CCEEFF"/>
            </w:tcBorders>
            <w:shd w:val="clear" w:color="auto" w:fill="CCEEFF"/>
          </w:tcPr>
          <w:p>
            <w:pPr>
              <w:spacing w:after="0"/>
              <w:rPr>
                <w:sz w:val="11"/>
                <w:szCs w:val="11"/>
                <w:color w:val="auto"/>
              </w:rPr>
            </w:pPr>
          </w:p>
        </w:tc>
        <w:tc>
          <w:tcPr>
            <w:tcW w:w="520" w:type="dxa"/>
            <w:vAlign w:val="bottom"/>
            <w:tcBorders>
              <w:right w:val="single" w:sz="8" w:color="CCEEFF"/>
            </w:tcBorders>
            <w:shd w:val="clear" w:color="auto" w:fill="CCEEFF"/>
          </w:tcPr>
          <w:p>
            <w:pPr>
              <w:jc w:val="right"/>
              <w:spacing w:after="0" w:line="124" w:lineRule="exact"/>
              <w:rPr>
                <w:sz w:val="20"/>
                <w:szCs w:val="20"/>
                <w:color w:val="auto"/>
              </w:rPr>
            </w:pPr>
            <w:r>
              <w:rPr>
                <w:rFonts w:ascii="Arial" w:cs="Arial" w:eastAsia="Arial" w:hAnsi="Arial"/>
                <w:sz w:val="11"/>
                <w:szCs w:val="11"/>
                <w:color w:val="auto"/>
              </w:rPr>
              <w:t>972.0</w:t>
            </w:r>
          </w:p>
        </w:tc>
        <w:tc>
          <w:tcPr>
            <w:tcW w:w="0" w:type="dxa"/>
            <w:vAlign w:val="bottom"/>
          </w:tcPr>
          <w:p>
            <w:pPr>
              <w:spacing w:after="0"/>
              <w:rPr>
                <w:sz w:val="1"/>
                <w:szCs w:val="1"/>
                <w:color w:val="auto"/>
              </w:rPr>
            </w:pPr>
          </w:p>
        </w:tc>
      </w:tr>
      <w:tr>
        <w:trPr>
          <w:trHeight w:val="142"/>
        </w:trPr>
        <w:tc>
          <w:tcPr>
            <w:tcW w:w="4100" w:type="dxa"/>
            <w:vAlign w:val="bottom"/>
          </w:tcPr>
          <w:p>
            <w:pPr>
              <w:spacing w:after="0"/>
              <w:rPr>
                <w:sz w:val="20"/>
                <w:szCs w:val="20"/>
                <w:color w:val="auto"/>
              </w:rPr>
            </w:pPr>
            <w:r>
              <w:rPr>
                <w:rFonts w:ascii="Arial" w:cs="Arial" w:eastAsia="Arial" w:hAnsi="Arial"/>
                <w:sz w:val="11"/>
                <w:szCs w:val="11"/>
                <w:color w:val="auto"/>
              </w:rPr>
              <w:t>Vested and Exercisable — June 30, 2019</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17,070,931</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Arial" w:cs="Arial" w:eastAsia="Arial" w:hAnsi="Arial"/>
                <w:sz w:val="11"/>
                <w:szCs w:val="11"/>
                <w:color w:val="auto"/>
              </w:rPr>
              <w:t>2.41</w:t>
            </w:r>
          </w:p>
        </w:tc>
        <w:tc>
          <w:tcPr>
            <w:tcW w:w="940" w:type="dxa"/>
            <w:vAlign w:val="bottom"/>
            <w:gridSpan w:val="2"/>
          </w:tcPr>
          <w:p>
            <w:pPr>
              <w:jc w:val="right"/>
              <w:spacing w:after="0"/>
              <w:rPr>
                <w:sz w:val="20"/>
                <w:szCs w:val="20"/>
                <w:color w:val="auto"/>
              </w:rPr>
            </w:pPr>
            <w:r>
              <w:rPr>
                <w:rFonts w:ascii="Arial" w:cs="Arial" w:eastAsia="Arial" w:hAnsi="Arial"/>
                <w:sz w:val="11"/>
                <w:szCs w:val="11"/>
                <w:color w:val="auto"/>
              </w:rPr>
              <w:t>7.5</w:t>
            </w:r>
          </w:p>
        </w:tc>
        <w:tc>
          <w:tcPr>
            <w:tcW w:w="36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330.2</w:t>
            </w:r>
          </w:p>
        </w:tc>
        <w:tc>
          <w:tcPr>
            <w:tcW w:w="0" w:type="dxa"/>
            <w:vAlign w:val="bottom"/>
          </w:tcPr>
          <w:p>
            <w:pPr>
              <w:spacing w:after="0"/>
              <w:rPr>
                <w:sz w:val="1"/>
                <w:szCs w:val="1"/>
                <w:color w:val="auto"/>
              </w:rPr>
            </w:pPr>
          </w:p>
        </w:tc>
      </w:tr>
    </w:tbl>
    <w:p>
      <w:pPr>
        <w:spacing w:after="0" w:line="154" w:lineRule="exact"/>
        <w:rPr>
          <w:sz w:val="20"/>
          <w:szCs w:val="20"/>
          <w:color w:val="auto"/>
        </w:rPr>
      </w:pPr>
    </w:p>
    <w:p>
      <w:pPr>
        <w:jc w:val="both"/>
        <w:ind w:left="2060" w:right="839"/>
        <w:spacing w:after="0" w:line="245" w:lineRule="auto"/>
        <w:rPr>
          <w:sz w:val="20"/>
          <w:szCs w:val="20"/>
          <w:color w:val="auto"/>
        </w:rPr>
      </w:pPr>
      <w:r>
        <w:rPr>
          <w:rFonts w:ascii="Arial" w:cs="Arial" w:eastAsia="Arial" w:hAnsi="Arial"/>
          <w:sz w:val="11"/>
          <w:szCs w:val="11"/>
          <w:color w:val="auto"/>
        </w:rPr>
        <w:t>The aggregate intrinsic value of options outstanding, vested and exercisable were calculated as the difference between the exercise price of the options and the estimated fair market value of the Company’s common stock, as of June 30, 2017, 2018 and 2019.</w:t>
      </w:r>
    </w:p>
    <w:p>
      <w:pPr>
        <w:spacing w:after="0" w:line="138" w:lineRule="exact"/>
        <w:rPr>
          <w:sz w:val="20"/>
          <w:szCs w:val="20"/>
          <w:color w:val="auto"/>
        </w:rPr>
      </w:pPr>
    </w:p>
    <w:p>
      <w:pPr>
        <w:jc w:val="both"/>
        <w:ind w:left="2060" w:right="839"/>
        <w:spacing w:after="0" w:line="242" w:lineRule="auto"/>
        <w:rPr>
          <w:sz w:val="20"/>
          <w:szCs w:val="20"/>
          <w:color w:val="auto"/>
        </w:rPr>
      </w:pPr>
      <w:r>
        <w:rPr>
          <w:rFonts w:ascii="Arial" w:cs="Arial" w:eastAsia="Arial" w:hAnsi="Arial"/>
          <w:sz w:val="11"/>
          <w:szCs w:val="11"/>
          <w:color w:val="auto"/>
        </w:rPr>
        <w:t>As part of the 2015 Plan, the Company issued options to certain key management that vest upon the achievement of certain performance milestones. During the fiscal year ended June 30, 2019, the Company recorded stock-based compensation expense related to the performance based options of $0.8 million.</w:t>
      </w:r>
    </w:p>
    <w:p>
      <w:pPr>
        <w:spacing w:after="0" w:line="95" w:lineRule="exact"/>
        <w:rPr>
          <w:sz w:val="20"/>
          <w:szCs w:val="20"/>
          <w:color w:val="auto"/>
        </w:rPr>
      </w:pPr>
    </w:p>
    <w:p>
      <w:pPr>
        <w:ind w:left="5620"/>
        <w:spacing w:after="0"/>
        <w:rPr>
          <w:sz w:val="20"/>
          <w:szCs w:val="20"/>
          <w:color w:val="auto"/>
        </w:rPr>
      </w:pPr>
      <w:r>
        <w:rPr>
          <w:rFonts w:ascii="Arial" w:cs="Arial" w:eastAsia="Arial" w:hAnsi="Arial"/>
          <w:sz w:val="11"/>
          <w:szCs w:val="11"/>
          <w:color w:val="auto"/>
        </w:rPr>
        <w:t>F-30</w:t>
      </w:r>
    </w:p>
    <w:p>
      <w:pPr>
        <w:sectPr>
          <w:pgSz w:w="11900" w:h="16838" w:orient="portrait"/>
          <w:cols w:equalWidth="0" w:num="1">
            <w:col w:w="10239"/>
          </w:cols>
          <w:pgMar w:left="220" w:top="354" w:right="1440" w:bottom="1440" w:gutter="0" w:footer="0" w:header="0"/>
        </w:sectPr>
      </w:pPr>
    </w:p>
    <w:bookmarkStart w:id="194" w:name="page195"/>
    <w:bookmarkEnd w:id="194"/>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hyperlink w:anchor="page5">
        <w:r>
          <w:rPr>
            <w:rFonts w:ascii="Arial" w:cs="Arial" w:eastAsia="Arial" w:hAnsi="Arial"/>
            <w:sz w:val="12"/>
            <w:szCs w:val="12"/>
            <w:b w:val="1"/>
            <w:bCs w:val="1"/>
            <w:u w:val="single" w:color="auto"/>
            <w:color w:val="0000EE"/>
          </w:rPr>
          <w:t>Table of Contents</w:t>
        </w:r>
      </w:hyperlink>
    </w:p>
    <w:p>
      <w:pPr>
        <w:spacing w:after="0" w:line="200" w:lineRule="exact"/>
        <w:rPr>
          <w:sz w:val="20"/>
          <w:szCs w:val="20"/>
          <w:color w:val="auto"/>
        </w:rPr>
      </w:pPr>
    </w:p>
    <w:p>
      <w:pPr>
        <w:jc w:val="center"/>
        <w:ind w:right="-1220"/>
        <w:spacing w:after="0"/>
        <w:rPr>
          <w:sz w:val="20"/>
          <w:szCs w:val="20"/>
          <w:color w:val="auto"/>
        </w:rPr>
      </w:pPr>
      <w:r>
        <w:rPr>
          <w:rFonts w:ascii="Arial" w:cs="Arial" w:eastAsia="Arial" w:hAnsi="Arial"/>
          <w:sz w:val="12"/>
          <w:szCs w:val="12"/>
          <w:b w:val="1"/>
          <w:bCs w:val="1"/>
          <w:color w:val="auto"/>
        </w:rPr>
        <w:t>PELOTON INTERACTIVE, INC.</w:t>
      </w:r>
    </w:p>
    <w:p>
      <w:pPr>
        <w:spacing w:after="0" w:line="11" w:lineRule="exact"/>
        <w:rPr>
          <w:sz w:val="20"/>
          <w:szCs w:val="20"/>
          <w:color w:val="auto"/>
        </w:rPr>
      </w:pPr>
    </w:p>
    <w:p>
      <w:pPr>
        <w:jc w:val="center"/>
        <w:ind w:right="-1220"/>
        <w:spacing w:after="0"/>
        <w:rPr>
          <w:sz w:val="20"/>
          <w:szCs w:val="20"/>
          <w:color w:val="auto"/>
        </w:rPr>
      </w:pPr>
      <w:r>
        <w:rPr>
          <w:rFonts w:ascii="Arial" w:cs="Arial" w:eastAsia="Arial" w:hAnsi="Arial"/>
          <w:sz w:val="12"/>
          <w:szCs w:val="12"/>
          <w:b w:val="1"/>
          <w:bCs w:val="1"/>
          <w:color w:val="auto"/>
        </w:rPr>
        <w:t>NOTES TO CONSOLIDATED FINANCIAL STATEMENTS</w:t>
      </w:r>
    </w:p>
    <w:p>
      <w:pPr>
        <w:spacing w:after="0" w:line="80" w:lineRule="exact"/>
        <w:rPr>
          <w:sz w:val="20"/>
          <w:szCs w:val="20"/>
          <w:color w:val="auto"/>
        </w:rPr>
      </w:pPr>
    </w:p>
    <w:p>
      <w:pPr>
        <w:ind w:left="2060" w:right="839"/>
        <w:spacing w:after="0" w:line="245" w:lineRule="auto"/>
        <w:rPr>
          <w:sz w:val="20"/>
          <w:szCs w:val="20"/>
          <w:color w:val="auto"/>
        </w:rPr>
      </w:pPr>
      <w:r>
        <w:rPr>
          <w:rFonts w:ascii="Arial" w:cs="Arial" w:eastAsia="Arial" w:hAnsi="Arial"/>
          <w:sz w:val="11"/>
          <w:szCs w:val="11"/>
          <w:color w:val="auto"/>
        </w:rPr>
        <w:t>For the fiscal years ended June 30, 2017, 2018, and 2019, the weighted-average grant date fair value per option was $0.53, $1.67, and $6.71, respectively. The fair value of each option was estimated at the grant date using the Black-Scholes method with the following assumptions:</w:t>
      </w:r>
    </w:p>
    <w:p>
      <w:pPr>
        <w:spacing w:after="0" w:line="144" w:lineRule="exact"/>
        <w:rPr>
          <w:sz w:val="20"/>
          <w:szCs w:val="20"/>
          <w:color w:val="auto"/>
        </w:rPr>
      </w:pPr>
    </w:p>
    <w:tbl>
      <w:tblPr>
        <w:tblLayout w:type="fixed"/>
        <w:tblInd w:w="2060" w:type="dxa"/>
        <w:tblCellMar>
          <w:top w:w="0" w:type="dxa"/>
          <w:left w:w="0" w:type="dxa"/>
          <w:bottom w:w="0" w:type="dxa"/>
          <w:right w:w="0" w:type="dxa"/>
        </w:tblCellMar>
      </w:tblPr>
      <w:tr>
        <w:trPr>
          <w:trHeight w:val="137"/>
        </w:trPr>
        <w:tc>
          <w:tcPr>
            <w:tcW w:w="4760" w:type="dxa"/>
            <w:vAlign w:val="bottom"/>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148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1"/>
                <w:szCs w:val="11"/>
                <w:b w:val="1"/>
                <w:bCs w:val="1"/>
                <w:color w:val="auto"/>
                <w:w w:val="98"/>
              </w:rPr>
              <w:t>Fiscal Year Ended June 30,</w:t>
            </w:r>
          </w:p>
        </w:tc>
        <w:tc>
          <w:tcPr>
            <w:tcW w:w="48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r>
      <w:tr>
        <w:trPr>
          <w:trHeight w:val="115"/>
        </w:trPr>
        <w:tc>
          <w:tcPr>
            <w:tcW w:w="4760" w:type="dxa"/>
            <w:vAlign w:val="bottom"/>
            <w:tcBorders>
              <w:bottom w:val="single" w:sz="8" w:color="CCEEFF"/>
            </w:tcBorders>
          </w:tcPr>
          <w:p>
            <w:pPr>
              <w:spacing w:after="0"/>
              <w:rPr>
                <w:sz w:val="10"/>
                <w:szCs w:val="10"/>
                <w:color w:val="auto"/>
              </w:rPr>
            </w:pPr>
          </w:p>
        </w:tc>
        <w:tc>
          <w:tcPr>
            <w:tcW w:w="500" w:type="dxa"/>
            <w:vAlign w:val="bottom"/>
            <w:tcBorders>
              <w:bottom w:val="single" w:sz="8" w:color="auto"/>
            </w:tcBorders>
          </w:tcPr>
          <w:p>
            <w:pPr>
              <w:jc w:val="right"/>
              <w:ind w:right="86"/>
              <w:spacing w:after="0" w:line="115" w:lineRule="exact"/>
              <w:rPr>
                <w:sz w:val="20"/>
                <w:szCs w:val="20"/>
                <w:color w:val="auto"/>
              </w:rPr>
            </w:pPr>
            <w:r>
              <w:rPr>
                <w:rFonts w:ascii="Arial" w:cs="Arial" w:eastAsia="Arial" w:hAnsi="Arial"/>
                <w:sz w:val="11"/>
                <w:szCs w:val="11"/>
                <w:b w:val="1"/>
                <w:bCs w:val="1"/>
                <w:color w:val="auto"/>
              </w:rPr>
              <w:t>2017</w:t>
            </w:r>
          </w:p>
        </w:tc>
        <w:tc>
          <w:tcPr>
            <w:tcW w:w="500" w:type="dxa"/>
            <w:vAlign w:val="bottom"/>
            <w:tcBorders>
              <w:bottom w:val="single" w:sz="8" w:color="CCEEFF"/>
            </w:tcBorders>
          </w:tcPr>
          <w:p>
            <w:pPr>
              <w:spacing w:after="0"/>
              <w:rPr>
                <w:sz w:val="10"/>
                <w:szCs w:val="10"/>
                <w:color w:val="auto"/>
              </w:rPr>
            </w:pPr>
          </w:p>
        </w:tc>
        <w:tc>
          <w:tcPr>
            <w:tcW w:w="480" w:type="dxa"/>
            <w:vAlign w:val="bottom"/>
            <w:tcBorders>
              <w:bottom w:val="single" w:sz="8" w:color="auto"/>
            </w:tcBorders>
          </w:tcPr>
          <w:p>
            <w:pPr>
              <w:jc w:val="right"/>
              <w:ind w:right="86"/>
              <w:spacing w:after="0" w:line="115" w:lineRule="exact"/>
              <w:rPr>
                <w:sz w:val="20"/>
                <w:szCs w:val="20"/>
                <w:color w:val="auto"/>
              </w:rPr>
            </w:pPr>
            <w:r>
              <w:rPr>
                <w:rFonts w:ascii="Arial" w:cs="Arial" w:eastAsia="Arial" w:hAnsi="Arial"/>
                <w:sz w:val="11"/>
                <w:szCs w:val="11"/>
                <w:b w:val="1"/>
                <w:bCs w:val="1"/>
                <w:color w:val="auto"/>
              </w:rPr>
              <w:t>2018</w:t>
            </w:r>
          </w:p>
        </w:tc>
        <w:tc>
          <w:tcPr>
            <w:tcW w:w="500" w:type="dxa"/>
            <w:vAlign w:val="bottom"/>
            <w:tcBorders>
              <w:bottom w:val="single" w:sz="8" w:color="CCEEFF"/>
            </w:tcBorders>
          </w:tcPr>
          <w:p>
            <w:pPr>
              <w:spacing w:after="0"/>
              <w:rPr>
                <w:sz w:val="10"/>
                <w:szCs w:val="10"/>
                <w:color w:val="auto"/>
              </w:rPr>
            </w:pPr>
          </w:p>
        </w:tc>
        <w:tc>
          <w:tcPr>
            <w:tcW w:w="480" w:type="dxa"/>
            <w:vAlign w:val="bottom"/>
            <w:tcBorders>
              <w:bottom w:val="single" w:sz="8" w:color="auto"/>
            </w:tcBorders>
          </w:tcPr>
          <w:p>
            <w:pPr>
              <w:jc w:val="right"/>
              <w:ind w:right="66"/>
              <w:spacing w:after="0" w:line="115" w:lineRule="exact"/>
              <w:rPr>
                <w:sz w:val="20"/>
                <w:szCs w:val="20"/>
                <w:color w:val="auto"/>
              </w:rPr>
            </w:pPr>
            <w:r>
              <w:rPr>
                <w:rFonts w:ascii="Arial" w:cs="Arial" w:eastAsia="Arial" w:hAnsi="Arial"/>
                <w:sz w:val="11"/>
                <w:szCs w:val="11"/>
                <w:b w:val="1"/>
                <w:bCs w:val="1"/>
                <w:color w:val="auto"/>
              </w:rPr>
              <w:t>2019</w:t>
            </w:r>
          </w:p>
        </w:tc>
        <w:tc>
          <w:tcPr>
            <w:tcW w:w="140" w:type="dxa"/>
            <w:vAlign w:val="bottom"/>
            <w:tcBorders>
              <w:bottom w:val="single" w:sz="8" w:color="CCEEFF"/>
            </w:tcBorders>
          </w:tcPr>
          <w:p>
            <w:pPr>
              <w:spacing w:after="0"/>
              <w:rPr>
                <w:sz w:val="10"/>
                <w:szCs w:val="10"/>
                <w:color w:val="auto"/>
              </w:rPr>
            </w:pPr>
          </w:p>
        </w:tc>
      </w:tr>
      <w:tr>
        <w:trPr>
          <w:trHeight w:val="115"/>
        </w:trPr>
        <w:tc>
          <w:tcPr>
            <w:tcW w:w="4760" w:type="dxa"/>
            <w:vAlign w:val="bottom"/>
            <w:shd w:val="clear" w:color="auto" w:fill="CCEEFF"/>
          </w:tcPr>
          <w:p>
            <w:pPr>
              <w:spacing w:after="0" w:line="115" w:lineRule="exact"/>
              <w:rPr>
                <w:sz w:val="20"/>
                <w:szCs w:val="20"/>
                <w:color w:val="auto"/>
              </w:rPr>
            </w:pPr>
            <w:r>
              <w:rPr>
                <w:rFonts w:ascii="Arial" w:cs="Arial" w:eastAsia="Arial" w:hAnsi="Arial"/>
                <w:sz w:val="8"/>
                <w:szCs w:val="8"/>
                <w:color w:val="auto"/>
              </w:rPr>
              <w:t>Weighted-average risk-free interest rate</w:t>
            </w:r>
            <w:r>
              <w:rPr>
                <w:rFonts w:ascii="Arial" w:cs="Arial" w:eastAsia="Arial" w:hAnsi="Arial"/>
                <w:sz w:val="13"/>
                <w:szCs w:val="13"/>
                <w:color w:val="auto"/>
                <w:vertAlign w:val="superscript"/>
              </w:rPr>
              <w:t>(1)</w:t>
            </w:r>
          </w:p>
        </w:tc>
        <w:tc>
          <w:tcPr>
            <w:tcW w:w="1000" w:type="dxa"/>
            <w:vAlign w:val="bottom"/>
            <w:gridSpan w:val="2"/>
            <w:shd w:val="clear" w:color="auto" w:fill="CCEEFF"/>
          </w:tcPr>
          <w:p>
            <w:pPr>
              <w:jc w:val="right"/>
              <w:ind w:right="366"/>
              <w:spacing w:after="0" w:line="115" w:lineRule="exact"/>
              <w:rPr>
                <w:sz w:val="20"/>
                <w:szCs w:val="20"/>
                <w:color w:val="auto"/>
              </w:rPr>
            </w:pPr>
            <w:r>
              <w:rPr>
                <w:rFonts w:ascii="Arial" w:cs="Arial" w:eastAsia="Arial" w:hAnsi="Arial"/>
                <w:sz w:val="11"/>
                <w:szCs w:val="11"/>
                <w:color w:val="auto"/>
              </w:rPr>
              <w:t>1.4%</w:t>
            </w:r>
          </w:p>
        </w:tc>
        <w:tc>
          <w:tcPr>
            <w:tcW w:w="980" w:type="dxa"/>
            <w:vAlign w:val="bottom"/>
            <w:gridSpan w:val="2"/>
            <w:shd w:val="clear" w:color="auto" w:fill="CCEEFF"/>
          </w:tcPr>
          <w:p>
            <w:pPr>
              <w:jc w:val="right"/>
              <w:ind w:right="420"/>
              <w:spacing w:after="0" w:line="115" w:lineRule="exact"/>
              <w:rPr>
                <w:sz w:val="20"/>
                <w:szCs w:val="20"/>
                <w:color w:val="auto"/>
              </w:rPr>
            </w:pPr>
            <w:r>
              <w:rPr>
                <w:rFonts w:ascii="Arial" w:cs="Arial" w:eastAsia="Arial" w:hAnsi="Arial"/>
                <w:sz w:val="11"/>
                <w:szCs w:val="11"/>
                <w:color w:val="auto"/>
              </w:rPr>
              <w:t>2.4%</w:t>
            </w:r>
          </w:p>
        </w:tc>
        <w:tc>
          <w:tcPr>
            <w:tcW w:w="620" w:type="dxa"/>
            <w:vAlign w:val="bottom"/>
            <w:gridSpan w:val="2"/>
            <w:shd w:val="clear" w:color="auto" w:fill="CCEEFF"/>
          </w:tcPr>
          <w:p>
            <w:pPr>
              <w:jc w:val="right"/>
              <w:ind w:right="60"/>
              <w:spacing w:after="0" w:line="115" w:lineRule="exact"/>
              <w:rPr>
                <w:sz w:val="20"/>
                <w:szCs w:val="20"/>
                <w:color w:val="auto"/>
              </w:rPr>
            </w:pPr>
            <w:r>
              <w:rPr>
                <w:rFonts w:ascii="Arial" w:cs="Arial" w:eastAsia="Arial" w:hAnsi="Arial"/>
                <w:sz w:val="11"/>
                <w:szCs w:val="11"/>
                <w:color w:val="auto"/>
              </w:rPr>
              <w:t>2.5%</w:t>
            </w:r>
          </w:p>
        </w:tc>
      </w:tr>
      <w:tr>
        <w:trPr>
          <w:trHeight w:val="126"/>
        </w:trPr>
        <w:tc>
          <w:tcPr>
            <w:tcW w:w="4760" w:type="dxa"/>
            <w:vAlign w:val="bottom"/>
          </w:tcPr>
          <w:p>
            <w:pPr>
              <w:spacing w:after="0"/>
              <w:rPr>
                <w:sz w:val="20"/>
                <w:szCs w:val="20"/>
                <w:color w:val="auto"/>
              </w:rPr>
            </w:pPr>
            <w:r>
              <w:rPr>
                <w:rFonts w:ascii="Arial" w:cs="Arial" w:eastAsia="Arial" w:hAnsi="Arial"/>
                <w:sz w:val="11"/>
                <w:szCs w:val="11"/>
                <w:color w:val="auto"/>
              </w:rPr>
              <w:t>Weighted-average expected term (in years)</w:t>
            </w:r>
          </w:p>
        </w:tc>
        <w:tc>
          <w:tcPr>
            <w:tcW w:w="500" w:type="dxa"/>
            <w:vAlign w:val="bottom"/>
          </w:tcPr>
          <w:p>
            <w:pPr>
              <w:jc w:val="right"/>
              <w:spacing w:after="0"/>
              <w:rPr>
                <w:sz w:val="20"/>
                <w:szCs w:val="20"/>
                <w:color w:val="auto"/>
              </w:rPr>
            </w:pPr>
            <w:r>
              <w:rPr>
                <w:rFonts w:ascii="Arial" w:cs="Arial" w:eastAsia="Arial" w:hAnsi="Arial"/>
                <w:sz w:val="11"/>
                <w:szCs w:val="11"/>
                <w:color w:val="auto"/>
              </w:rPr>
              <w:t>6.3</w:t>
            </w:r>
          </w:p>
        </w:tc>
        <w:tc>
          <w:tcPr>
            <w:tcW w:w="500" w:type="dxa"/>
            <w:vAlign w:val="bottom"/>
          </w:tcPr>
          <w:p>
            <w:pPr>
              <w:spacing w:after="0"/>
              <w:rPr>
                <w:sz w:val="10"/>
                <w:szCs w:val="10"/>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6.3</w:t>
            </w:r>
          </w:p>
        </w:tc>
        <w:tc>
          <w:tcPr>
            <w:tcW w:w="500" w:type="dxa"/>
            <w:vAlign w:val="bottom"/>
          </w:tcPr>
          <w:p>
            <w:pPr>
              <w:spacing w:after="0"/>
              <w:rPr>
                <w:sz w:val="10"/>
                <w:szCs w:val="10"/>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6.3</w:t>
            </w:r>
          </w:p>
        </w:tc>
        <w:tc>
          <w:tcPr>
            <w:tcW w:w="140" w:type="dxa"/>
            <w:vAlign w:val="bottom"/>
          </w:tcPr>
          <w:p>
            <w:pPr>
              <w:spacing w:after="0"/>
              <w:rPr>
                <w:sz w:val="10"/>
                <w:szCs w:val="10"/>
                <w:color w:val="auto"/>
              </w:rPr>
            </w:pPr>
          </w:p>
        </w:tc>
      </w:tr>
      <w:tr>
        <w:trPr>
          <w:trHeight w:val="126"/>
        </w:trPr>
        <w:tc>
          <w:tcPr>
            <w:tcW w:w="4760" w:type="dxa"/>
            <w:vAlign w:val="bottom"/>
            <w:shd w:val="clear" w:color="auto" w:fill="CCEEFF"/>
          </w:tcPr>
          <w:p>
            <w:pPr>
              <w:spacing w:after="0" w:line="126" w:lineRule="exact"/>
              <w:rPr>
                <w:sz w:val="20"/>
                <w:szCs w:val="20"/>
                <w:color w:val="auto"/>
              </w:rPr>
            </w:pPr>
            <w:r>
              <w:rPr>
                <w:rFonts w:ascii="Arial" w:cs="Arial" w:eastAsia="Arial" w:hAnsi="Arial"/>
                <w:sz w:val="9"/>
                <w:szCs w:val="9"/>
                <w:color w:val="auto"/>
              </w:rPr>
              <w:t>Weighted-average expected volatility</w:t>
            </w:r>
            <w:r>
              <w:rPr>
                <w:rFonts w:ascii="Arial" w:cs="Arial" w:eastAsia="Arial" w:hAnsi="Arial"/>
                <w:sz w:val="14"/>
                <w:szCs w:val="14"/>
                <w:color w:val="auto"/>
                <w:vertAlign w:val="superscript"/>
              </w:rPr>
              <w:t>(2)</w:t>
            </w:r>
          </w:p>
        </w:tc>
        <w:tc>
          <w:tcPr>
            <w:tcW w:w="1000" w:type="dxa"/>
            <w:vAlign w:val="bottom"/>
            <w:gridSpan w:val="2"/>
            <w:shd w:val="clear" w:color="auto" w:fill="CCEEFF"/>
          </w:tcPr>
          <w:p>
            <w:pPr>
              <w:jc w:val="right"/>
              <w:ind w:right="366"/>
              <w:spacing w:after="0"/>
              <w:rPr>
                <w:sz w:val="20"/>
                <w:szCs w:val="20"/>
                <w:color w:val="auto"/>
              </w:rPr>
            </w:pPr>
            <w:r>
              <w:rPr>
                <w:rFonts w:ascii="Arial" w:cs="Arial" w:eastAsia="Arial" w:hAnsi="Arial"/>
                <w:sz w:val="11"/>
                <w:szCs w:val="11"/>
                <w:color w:val="auto"/>
              </w:rPr>
              <w:t>79.3%</w:t>
            </w:r>
          </w:p>
        </w:tc>
        <w:tc>
          <w:tcPr>
            <w:tcW w:w="980" w:type="dxa"/>
            <w:vAlign w:val="bottom"/>
            <w:gridSpan w:val="2"/>
            <w:shd w:val="clear" w:color="auto" w:fill="CCEEFF"/>
          </w:tcPr>
          <w:p>
            <w:pPr>
              <w:jc w:val="right"/>
              <w:ind w:right="420"/>
              <w:spacing w:after="0"/>
              <w:rPr>
                <w:sz w:val="20"/>
                <w:szCs w:val="20"/>
                <w:color w:val="auto"/>
              </w:rPr>
            </w:pPr>
            <w:r>
              <w:rPr>
                <w:rFonts w:ascii="Arial" w:cs="Arial" w:eastAsia="Arial" w:hAnsi="Arial"/>
                <w:sz w:val="11"/>
                <w:szCs w:val="11"/>
                <w:color w:val="auto"/>
              </w:rPr>
              <w:t>55.2%</w:t>
            </w: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45.0%</w:t>
            </w:r>
          </w:p>
        </w:tc>
      </w:tr>
      <w:tr>
        <w:trPr>
          <w:trHeight w:val="131"/>
        </w:trPr>
        <w:tc>
          <w:tcPr>
            <w:tcW w:w="4760" w:type="dxa"/>
            <w:vAlign w:val="bottom"/>
          </w:tcPr>
          <w:p>
            <w:pPr>
              <w:spacing w:after="0"/>
              <w:rPr>
                <w:sz w:val="20"/>
                <w:szCs w:val="20"/>
                <w:color w:val="auto"/>
              </w:rPr>
            </w:pPr>
            <w:r>
              <w:rPr>
                <w:rFonts w:ascii="Arial" w:cs="Arial" w:eastAsia="Arial" w:hAnsi="Arial"/>
                <w:sz w:val="11"/>
                <w:szCs w:val="11"/>
                <w:color w:val="auto"/>
              </w:rPr>
              <w:t>Expected dividend yield</w:t>
            </w:r>
          </w:p>
        </w:tc>
        <w:tc>
          <w:tcPr>
            <w:tcW w:w="1000" w:type="dxa"/>
            <w:vAlign w:val="bottom"/>
            <w:gridSpan w:val="2"/>
          </w:tcPr>
          <w:p>
            <w:pPr>
              <w:jc w:val="right"/>
              <w:ind w:right="446"/>
              <w:spacing w:after="0"/>
              <w:rPr>
                <w:sz w:val="20"/>
                <w:szCs w:val="20"/>
                <w:color w:val="auto"/>
              </w:rPr>
            </w:pPr>
            <w:r>
              <w:rPr>
                <w:rFonts w:ascii="Arial" w:cs="Arial" w:eastAsia="Arial" w:hAnsi="Arial"/>
                <w:sz w:val="11"/>
                <w:szCs w:val="11"/>
                <w:color w:val="auto"/>
              </w:rPr>
              <w:t>—</w:t>
            </w:r>
          </w:p>
        </w:tc>
        <w:tc>
          <w:tcPr>
            <w:tcW w:w="980" w:type="dxa"/>
            <w:vAlign w:val="bottom"/>
            <w:gridSpan w:val="2"/>
          </w:tcPr>
          <w:p>
            <w:pPr>
              <w:jc w:val="right"/>
              <w:ind w:right="500"/>
              <w:spacing w:after="0"/>
              <w:rPr>
                <w:sz w:val="20"/>
                <w:szCs w:val="20"/>
                <w:color w:val="auto"/>
              </w:rPr>
            </w:pPr>
            <w:r>
              <w:rPr>
                <w:rFonts w:ascii="Arial" w:cs="Arial" w:eastAsia="Arial" w:hAnsi="Arial"/>
                <w:sz w:val="11"/>
                <w:szCs w:val="11"/>
                <w:color w:val="auto"/>
              </w:rPr>
              <w:t>—</w:t>
            </w:r>
          </w:p>
        </w:tc>
        <w:tc>
          <w:tcPr>
            <w:tcW w:w="6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1310640</wp:posOffset>
            </wp:positionH>
            <wp:positionV relativeFrom="paragraph">
              <wp:posOffset>53975</wp:posOffset>
            </wp:positionV>
            <wp:extent cx="509270" cy="571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509270" cy="5715"/>
                    </a:xfrm>
                    <a:prstGeom prst="rect">
                      <a:avLst/>
                    </a:prstGeom>
                    <a:noFill/>
                  </pic:spPr>
                </pic:pic>
              </a:graphicData>
            </a:graphic>
          </wp:anchor>
        </w:drawing>
      </w:r>
    </w:p>
    <w:p>
      <w:pPr>
        <w:spacing w:after="0" w:line="95" w:lineRule="exact"/>
        <w:rPr>
          <w:sz w:val="20"/>
          <w:szCs w:val="20"/>
          <w:color w:val="auto"/>
        </w:rPr>
      </w:pPr>
    </w:p>
    <w:p>
      <w:pPr>
        <w:ind w:left="2280" w:hanging="221"/>
        <w:spacing w:after="0"/>
        <w:tabs>
          <w:tab w:leader="none" w:pos="2280" w:val="left"/>
        </w:tabs>
        <w:numPr>
          <w:ilvl w:val="0"/>
          <w:numId w:val="117"/>
        </w:numPr>
        <w:rPr>
          <w:rFonts w:ascii="Arial" w:cs="Arial" w:eastAsia="Arial" w:hAnsi="Arial"/>
          <w:sz w:val="8"/>
          <w:szCs w:val="8"/>
          <w:color w:val="auto"/>
        </w:rPr>
      </w:pPr>
      <w:r>
        <w:rPr>
          <w:rFonts w:ascii="Arial" w:cs="Arial" w:eastAsia="Arial" w:hAnsi="Arial"/>
          <w:sz w:val="8"/>
          <w:szCs w:val="8"/>
          <w:color w:val="auto"/>
        </w:rPr>
        <w:t>Based on U.S. Treasury seven-year constant maturity interest rate whose term is consistent with the expected term of the option.</w:t>
      </w:r>
    </w:p>
    <w:p>
      <w:pPr>
        <w:ind w:left="2280" w:hanging="221"/>
        <w:spacing w:after="0"/>
        <w:tabs>
          <w:tab w:leader="none" w:pos="2280" w:val="left"/>
        </w:tabs>
        <w:numPr>
          <w:ilvl w:val="0"/>
          <w:numId w:val="117"/>
        </w:numPr>
        <w:rPr>
          <w:rFonts w:ascii="Arial" w:cs="Arial" w:eastAsia="Arial" w:hAnsi="Arial"/>
          <w:sz w:val="8"/>
          <w:szCs w:val="8"/>
          <w:color w:val="auto"/>
        </w:rPr>
      </w:pPr>
      <w:r>
        <w:rPr>
          <w:rFonts w:ascii="Arial" w:cs="Arial" w:eastAsia="Arial" w:hAnsi="Arial"/>
          <w:sz w:val="8"/>
          <w:szCs w:val="8"/>
          <w:color w:val="auto"/>
        </w:rPr>
        <w:t>Expected volatility is based on an analysis of comparable public company volatilities and adjusted for the Company’s stage of development.</w:t>
      </w:r>
    </w:p>
    <w:p>
      <w:pPr>
        <w:spacing w:after="0" w:line="147" w:lineRule="exact"/>
        <w:rPr>
          <w:sz w:val="20"/>
          <w:szCs w:val="20"/>
          <w:color w:val="auto"/>
        </w:rPr>
      </w:pPr>
    </w:p>
    <w:p>
      <w:pPr>
        <w:jc w:val="both"/>
        <w:ind w:left="2060" w:right="839"/>
        <w:spacing w:after="0" w:line="242" w:lineRule="auto"/>
        <w:rPr>
          <w:sz w:val="20"/>
          <w:szCs w:val="20"/>
          <w:color w:val="auto"/>
        </w:rPr>
      </w:pPr>
      <w:r>
        <w:rPr>
          <w:rFonts w:ascii="Arial" w:cs="Arial" w:eastAsia="Arial" w:hAnsi="Arial"/>
          <w:sz w:val="11"/>
          <w:szCs w:val="11"/>
          <w:color w:val="auto"/>
        </w:rPr>
        <w:t>With respect to the 2015 Plan, the Company recognized stock compensation expense of $1.9 million, $8.5 million, and $28.5 million for the fiscal years ended June 30, 2017, 2018, and 2019, respectively. As of June 30, 2019, the Company had $217.2 million of unrecognized stock-based compensation expense that is expected to be recognized over a weighted-average period of 3.9 years.</w:t>
      </w:r>
    </w:p>
    <w:p>
      <w:pPr>
        <w:spacing w:after="0" w:line="200" w:lineRule="exact"/>
        <w:rPr>
          <w:sz w:val="20"/>
          <w:szCs w:val="20"/>
          <w:color w:val="auto"/>
        </w:rPr>
      </w:pPr>
    </w:p>
    <w:p>
      <w:pPr>
        <w:ind w:left="2060"/>
        <w:spacing w:after="0"/>
        <w:rPr>
          <w:sz w:val="20"/>
          <w:szCs w:val="20"/>
          <w:color w:val="auto"/>
        </w:rPr>
      </w:pPr>
      <w:r>
        <w:rPr>
          <w:rFonts w:ascii="Arial" w:cs="Arial" w:eastAsia="Arial" w:hAnsi="Arial"/>
          <w:sz w:val="11"/>
          <w:szCs w:val="11"/>
          <w:b w:val="1"/>
          <w:bCs w:val="1"/>
          <w:color w:val="auto"/>
        </w:rPr>
        <w:t>14. Concentration of Credit Risk and Major Customers and Vendors</w:t>
      </w:r>
    </w:p>
    <w:p>
      <w:pPr>
        <w:spacing w:after="0" w:line="84" w:lineRule="exact"/>
        <w:rPr>
          <w:sz w:val="20"/>
          <w:szCs w:val="20"/>
          <w:color w:val="auto"/>
        </w:rPr>
      </w:pPr>
    </w:p>
    <w:p>
      <w:pPr>
        <w:jc w:val="both"/>
        <w:ind w:left="2060" w:right="839"/>
        <w:spacing w:after="0" w:line="242" w:lineRule="auto"/>
        <w:rPr>
          <w:sz w:val="20"/>
          <w:szCs w:val="20"/>
          <w:color w:val="auto"/>
        </w:rPr>
      </w:pPr>
      <w:r>
        <w:rPr>
          <w:rFonts w:ascii="Arial" w:cs="Arial" w:eastAsia="Arial" w:hAnsi="Arial"/>
          <w:sz w:val="11"/>
          <w:szCs w:val="11"/>
          <w:color w:val="auto"/>
        </w:rPr>
        <w:t>Financial instruments that potentially subject the Company to significant concentrations of credit risk consist principally of cash and cash equivalents. The Company’s cash and cash equivalents are maintained with high-quality financial institutions, the compositions and maturities of which are regularly monitored by management.</w:t>
      </w:r>
    </w:p>
    <w:p>
      <w:pPr>
        <w:spacing w:after="0" w:line="140" w:lineRule="exact"/>
        <w:rPr>
          <w:sz w:val="20"/>
          <w:szCs w:val="20"/>
          <w:color w:val="auto"/>
        </w:rPr>
      </w:pPr>
    </w:p>
    <w:p>
      <w:pPr>
        <w:ind w:left="2060"/>
        <w:spacing w:after="0"/>
        <w:rPr>
          <w:sz w:val="20"/>
          <w:szCs w:val="20"/>
          <w:color w:val="auto"/>
        </w:rPr>
      </w:pPr>
      <w:r>
        <w:rPr>
          <w:rFonts w:ascii="Arial" w:cs="Arial" w:eastAsia="Arial" w:hAnsi="Arial"/>
          <w:sz w:val="11"/>
          <w:szCs w:val="11"/>
          <w:color w:val="auto"/>
        </w:rPr>
        <w:t>For the fiscal years ended June 30, 2017, 2018, and 2019, there were no customers representing greater than 10% of the Company’s total revenue.</w:t>
      </w:r>
    </w:p>
    <w:p>
      <w:pPr>
        <w:spacing w:after="0" w:line="144" w:lineRule="exact"/>
        <w:rPr>
          <w:sz w:val="20"/>
          <w:szCs w:val="20"/>
          <w:color w:val="auto"/>
        </w:rPr>
      </w:pPr>
    </w:p>
    <w:p>
      <w:pPr>
        <w:jc w:val="both"/>
        <w:ind w:left="2060" w:right="839"/>
        <w:spacing w:after="0" w:line="245" w:lineRule="auto"/>
        <w:rPr>
          <w:sz w:val="20"/>
          <w:szCs w:val="20"/>
          <w:color w:val="auto"/>
        </w:rPr>
      </w:pPr>
      <w:r>
        <w:rPr>
          <w:rFonts w:ascii="Arial" w:cs="Arial" w:eastAsia="Arial" w:hAnsi="Arial"/>
          <w:sz w:val="11"/>
          <w:szCs w:val="11"/>
          <w:color w:val="auto"/>
        </w:rPr>
        <w:t>The Company’s top three vendors accounted for approximately 94% and 91% of total finished goods purchases for the fiscal years ended June 30, 2017 and 2018, respectively.</w:t>
      </w:r>
    </w:p>
    <w:p>
      <w:pPr>
        <w:spacing w:after="0" w:line="138" w:lineRule="exact"/>
        <w:rPr>
          <w:sz w:val="20"/>
          <w:szCs w:val="20"/>
          <w:color w:val="auto"/>
        </w:rPr>
      </w:pPr>
    </w:p>
    <w:p>
      <w:pPr>
        <w:ind w:left="2060"/>
        <w:spacing w:after="0"/>
        <w:rPr>
          <w:sz w:val="20"/>
          <w:szCs w:val="20"/>
          <w:color w:val="auto"/>
        </w:rPr>
      </w:pPr>
      <w:r>
        <w:rPr>
          <w:rFonts w:ascii="Arial" w:cs="Arial" w:eastAsia="Arial" w:hAnsi="Arial"/>
          <w:sz w:val="11"/>
          <w:szCs w:val="11"/>
          <w:color w:val="auto"/>
        </w:rPr>
        <w:t>The Company’s top four vendors accounted for approximately 91% of total finished goods purchases for the fiscal year ended June 30, 2019.</w:t>
      </w:r>
    </w:p>
    <w:p>
      <w:pPr>
        <w:spacing w:after="0" w:line="204" w:lineRule="exact"/>
        <w:rPr>
          <w:sz w:val="20"/>
          <w:szCs w:val="20"/>
          <w:color w:val="auto"/>
        </w:rPr>
      </w:pPr>
    </w:p>
    <w:p>
      <w:pPr>
        <w:ind w:left="2060"/>
        <w:spacing w:after="0"/>
        <w:rPr>
          <w:sz w:val="20"/>
          <w:szCs w:val="20"/>
          <w:color w:val="auto"/>
        </w:rPr>
      </w:pPr>
      <w:r>
        <w:rPr>
          <w:rFonts w:ascii="Arial" w:cs="Arial" w:eastAsia="Arial" w:hAnsi="Arial"/>
          <w:sz w:val="11"/>
          <w:szCs w:val="11"/>
          <w:b w:val="1"/>
          <w:bCs w:val="1"/>
          <w:color w:val="auto"/>
        </w:rPr>
        <w:t>15. Income Taxes</w:t>
      </w:r>
    </w:p>
    <w:p>
      <w:pPr>
        <w:spacing w:after="0" w:line="84" w:lineRule="exact"/>
        <w:rPr>
          <w:sz w:val="20"/>
          <w:szCs w:val="20"/>
          <w:color w:val="auto"/>
        </w:rPr>
      </w:pPr>
    </w:p>
    <w:p>
      <w:pPr>
        <w:ind w:left="2060"/>
        <w:spacing w:after="0"/>
        <w:rPr>
          <w:sz w:val="20"/>
          <w:szCs w:val="20"/>
          <w:color w:val="auto"/>
        </w:rPr>
      </w:pPr>
      <w:r>
        <w:rPr>
          <w:rFonts w:ascii="Arial" w:cs="Arial" w:eastAsia="Arial" w:hAnsi="Arial"/>
          <w:sz w:val="10"/>
          <w:szCs w:val="10"/>
          <w:color w:val="auto"/>
        </w:rPr>
        <w:t>The Company’s provision for income taxes for the fiscal years ended June 30, 2017, 2018, and 2019 was zero, $0.1 million, and $0.1 million, respectively.</w:t>
      </w:r>
    </w:p>
    <w:p>
      <w:pPr>
        <w:spacing w:after="0" w:line="11" w:lineRule="exact"/>
        <w:rPr>
          <w:sz w:val="20"/>
          <w:szCs w:val="20"/>
          <w:color w:val="auto"/>
        </w:rPr>
      </w:pPr>
    </w:p>
    <w:p>
      <w:pPr>
        <w:ind w:left="2060"/>
        <w:spacing w:after="0"/>
        <w:rPr>
          <w:sz w:val="20"/>
          <w:szCs w:val="20"/>
          <w:color w:val="auto"/>
        </w:rPr>
      </w:pPr>
      <w:r>
        <w:rPr>
          <w:rFonts w:ascii="Arial" w:cs="Arial" w:eastAsia="Arial" w:hAnsi="Arial"/>
          <w:sz w:val="11"/>
          <w:szCs w:val="11"/>
          <w:color w:val="auto"/>
        </w:rPr>
        <w:t>The tax income provision consists of the Texas state franchise tax and international income taxes.</w:t>
      </w:r>
    </w:p>
    <w:p>
      <w:pPr>
        <w:spacing w:after="0" w:line="144" w:lineRule="exact"/>
        <w:rPr>
          <w:sz w:val="20"/>
          <w:szCs w:val="20"/>
          <w:color w:val="auto"/>
        </w:rPr>
      </w:pPr>
    </w:p>
    <w:p>
      <w:pPr>
        <w:ind w:left="2060"/>
        <w:spacing w:after="0"/>
        <w:rPr>
          <w:sz w:val="20"/>
          <w:szCs w:val="20"/>
          <w:color w:val="auto"/>
        </w:rPr>
      </w:pPr>
      <w:r>
        <w:rPr>
          <w:rFonts w:ascii="Arial" w:cs="Arial" w:eastAsia="Arial" w:hAnsi="Arial"/>
          <w:sz w:val="11"/>
          <w:szCs w:val="11"/>
          <w:color w:val="auto"/>
        </w:rPr>
        <w:t>A reconciliation from the U.S. statutory federal income tax rate to the effective income tax rate is as follows:</w:t>
      </w:r>
    </w:p>
    <w:p>
      <w:pPr>
        <w:spacing w:after="0" w:line="150" w:lineRule="exact"/>
        <w:rPr>
          <w:sz w:val="20"/>
          <w:szCs w:val="20"/>
          <w:color w:val="auto"/>
        </w:rPr>
      </w:pPr>
    </w:p>
    <w:tbl>
      <w:tblPr>
        <w:tblLayout w:type="fixed"/>
        <w:tblInd w:w="2060" w:type="dxa"/>
        <w:tblCellMar>
          <w:top w:w="0" w:type="dxa"/>
          <w:left w:w="0" w:type="dxa"/>
          <w:bottom w:w="0" w:type="dxa"/>
          <w:right w:w="0" w:type="dxa"/>
        </w:tblCellMar>
      </w:tblPr>
      <w:tr>
        <w:trPr>
          <w:trHeight w:val="137"/>
        </w:trPr>
        <w:tc>
          <w:tcPr>
            <w:tcW w:w="3000" w:type="dxa"/>
            <w:vAlign w:val="bottom"/>
          </w:tcPr>
          <w:p>
            <w:pPr>
              <w:spacing w:after="0"/>
              <w:rPr>
                <w:sz w:val="11"/>
                <w:szCs w:val="11"/>
                <w:color w:val="auto"/>
              </w:rPr>
            </w:pPr>
          </w:p>
        </w:tc>
        <w:tc>
          <w:tcPr>
            <w:tcW w:w="1840" w:type="dxa"/>
            <w:vAlign w:val="bottom"/>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140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1"/>
                <w:szCs w:val="11"/>
                <w:b w:val="1"/>
                <w:bCs w:val="1"/>
                <w:color w:val="auto"/>
                <w:w w:val="95"/>
              </w:rPr>
              <w:t>Fiscal Year Ended June 30,</w:t>
            </w:r>
          </w:p>
        </w:tc>
        <w:tc>
          <w:tcPr>
            <w:tcW w:w="48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r>
      <w:tr>
        <w:trPr>
          <w:trHeight w:val="115"/>
        </w:trPr>
        <w:tc>
          <w:tcPr>
            <w:tcW w:w="3000" w:type="dxa"/>
            <w:vAlign w:val="bottom"/>
            <w:tcBorders>
              <w:bottom w:val="single" w:sz="8" w:color="CCEEFF"/>
            </w:tcBorders>
          </w:tcPr>
          <w:p>
            <w:pPr>
              <w:spacing w:after="0"/>
              <w:rPr>
                <w:sz w:val="10"/>
                <w:szCs w:val="10"/>
                <w:color w:val="auto"/>
              </w:rPr>
            </w:pPr>
          </w:p>
        </w:tc>
        <w:tc>
          <w:tcPr>
            <w:tcW w:w="1840" w:type="dxa"/>
            <w:vAlign w:val="bottom"/>
            <w:tcBorders>
              <w:bottom w:val="single" w:sz="8" w:color="CCEEFF"/>
            </w:tcBorders>
          </w:tcPr>
          <w:p>
            <w:pPr>
              <w:spacing w:after="0"/>
              <w:rPr>
                <w:sz w:val="10"/>
                <w:szCs w:val="10"/>
                <w:color w:val="auto"/>
              </w:rPr>
            </w:pPr>
          </w:p>
        </w:tc>
        <w:tc>
          <w:tcPr>
            <w:tcW w:w="500" w:type="dxa"/>
            <w:vAlign w:val="bottom"/>
            <w:tcBorders>
              <w:bottom w:val="single" w:sz="8" w:color="auto"/>
            </w:tcBorders>
          </w:tcPr>
          <w:p>
            <w:pPr>
              <w:jc w:val="right"/>
              <w:ind w:right="86"/>
              <w:spacing w:after="0" w:line="115" w:lineRule="exact"/>
              <w:rPr>
                <w:sz w:val="20"/>
                <w:szCs w:val="20"/>
                <w:color w:val="auto"/>
              </w:rPr>
            </w:pPr>
            <w:r>
              <w:rPr>
                <w:rFonts w:ascii="Arial" w:cs="Arial" w:eastAsia="Arial" w:hAnsi="Arial"/>
                <w:sz w:val="11"/>
                <w:szCs w:val="11"/>
                <w:b w:val="1"/>
                <w:bCs w:val="1"/>
                <w:color w:val="auto"/>
              </w:rPr>
              <w:t>2017</w:t>
            </w:r>
          </w:p>
        </w:tc>
        <w:tc>
          <w:tcPr>
            <w:tcW w:w="440" w:type="dxa"/>
            <w:vAlign w:val="bottom"/>
            <w:tcBorders>
              <w:bottom w:val="single" w:sz="8" w:color="CCEEFF"/>
            </w:tcBorders>
          </w:tcPr>
          <w:p>
            <w:pPr>
              <w:spacing w:after="0"/>
              <w:rPr>
                <w:sz w:val="10"/>
                <w:szCs w:val="10"/>
                <w:color w:val="auto"/>
              </w:rPr>
            </w:pPr>
          </w:p>
        </w:tc>
        <w:tc>
          <w:tcPr>
            <w:tcW w:w="480" w:type="dxa"/>
            <w:vAlign w:val="bottom"/>
            <w:tcBorders>
              <w:bottom w:val="single" w:sz="8" w:color="auto"/>
            </w:tcBorders>
          </w:tcPr>
          <w:p>
            <w:pPr>
              <w:jc w:val="right"/>
              <w:ind w:right="66"/>
              <w:spacing w:after="0" w:line="115" w:lineRule="exact"/>
              <w:rPr>
                <w:sz w:val="20"/>
                <w:szCs w:val="20"/>
                <w:color w:val="auto"/>
              </w:rPr>
            </w:pPr>
            <w:r>
              <w:rPr>
                <w:rFonts w:ascii="Arial" w:cs="Arial" w:eastAsia="Arial" w:hAnsi="Arial"/>
                <w:sz w:val="11"/>
                <w:szCs w:val="11"/>
                <w:b w:val="1"/>
                <w:bCs w:val="1"/>
                <w:color w:val="auto"/>
              </w:rPr>
              <w:t>2018</w:t>
            </w:r>
          </w:p>
        </w:tc>
        <w:tc>
          <w:tcPr>
            <w:tcW w:w="480" w:type="dxa"/>
            <w:vAlign w:val="bottom"/>
            <w:tcBorders>
              <w:bottom w:val="single" w:sz="8" w:color="CCEEFF"/>
            </w:tcBorders>
          </w:tcPr>
          <w:p>
            <w:pPr>
              <w:spacing w:after="0"/>
              <w:rPr>
                <w:sz w:val="10"/>
                <w:szCs w:val="10"/>
                <w:color w:val="auto"/>
              </w:rPr>
            </w:pPr>
          </w:p>
        </w:tc>
        <w:tc>
          <w:tcPr>
            <w:tcW w:w="480" w:type="dxa"/>
            <w:vAlign w:val="bottom"/>
            <w:tcBorders>
              <w:bottom w:val="single" w:sz="8" w:color="auto"/>
            </w:tcBorders>
          </w:tcPr>
          <w:p>
            <w:pPr>
              <w:jc w:val="right"/>
              <w:ind w:right="66"/>
              <w:spacing w:after="0" w:line="115" w:lineRule="exact"/>
              <w:rPr>
                <w:sz w:val="20"/>
                <w:szCs w:val="20"/>
                <w:color w:val="auto"/>
              </w:rPr>
            </w:pPr>
            <w:r>
              <w:rPr>
                <w:rFonts w:ascii="Arial" w:cs="Arial" w:eastAsia="Arial" w:hAnsi="Arial"/>
                <w:sz w:val="11"/>
                <w:szCs w:val="11"/>
                <w:b w:val="1"/>
                <w:bCs w:val="1"/>
                <w:color w:val="auto"/>
              </w:rPr>
              <w:t>2019</w:t>
            </w:r>
          </w:p>
        </w:tc>
        <w:tc>
          <w:tcPr>
            <w:tcW w:w="140" w:type="dxa"/>
            <w:vAlign w:val="bottom"/>
            <w:tcBorders>
              <w:bottom w:val="single" w:sz="8" w:color="CCEEFF"/>
            </w:tcBorders>
          </w:tcPr>
          <w:p>
            <w:pPr>
              <w:spacing w:after="0"/>
              <w:rPr>
                <w:sz w:val="10"/>
                <w:szCs w:val="10"/>
                <w:color w:val="auto"/>
              </w:rPr>
            </w:pPr>
          </w:p>
        </w:tc>
      </w:tr>
      <w:tr>
        <w:trPr>
          <w:trHeight w:val="115"/>
        </w:trPr>
        <w:tc>
          <w:tcPr>
            <w:tcW w:w="3000" w:type="dxa"/>
            <w:vAlign w:val="bottom"/>
            <w:shd w:val="clear" w:color="auto" w:fill="CCEEFF"/>
          </w:tcPr>
          <w:p>
            <w:pPr>
              <w:spacing w:after="0" w:line="111" w:lineRule="exact"/>
              <w:rPr>
                <w:sz w:val="20"/>
                <w:szCs w:val="20"/>
                <w:color w:val="auto"/>
              </w:rPr>
            </w:pPr>
            <w:r>
              <w:rPr>
                <w:rFonts w:ascii="Arial" w:cs="Arial" w:eastAsia="Arial" w:hAnsi="Arial"/>
                <w:sz w:val="11"/>
                <w:szCs w:val="11"/>
                <w:color w:val="auto"/>
              </w:rPr>
              <w:t>Federal income tax rate</w:t>
            </w:r>
          </w:p>
        </w:tc>
        <w:tc>
          <w:tcPr>
            <w:tcW w:w="2780" w:type="dxa"/>
            <w:vAlign w:val="bottom"/>
            <w:gridSpan w:val="3"/>
            <w:shd w:val="clear" w:color="auto" w:fill="CCEEFF"/>
          </w:tcPr>
          <w:p>
            <w:pPr>
              <w:jc w:val="right"/>
              <w:ind w:right="306"/>
              <w:spacing w:after="0" w:line="115" w:lineRule="exact"/>
              <w:rPr>
                <w:sz w:val="20"/>
                <w:szCs w:val="20"/>
                <w:color w:val="auto"/>
              </w:rPr>
            </w:pPr>
            <w:r>
              <w:rPr>
                <w:rFonts w:ascii="Arial" w:cs="Arial" w:eastAsia="Arial" w:hAnsi="Arial"/>
                <w:sz w:val="11"/>
                <w:szCs w:val="11"/>
                <w:color w:val="auto"/>
              </w:rPr>
              <w:t>35.0%</w:t>
            </w:r>
          </w:p>
        </w:tc>
        <w:tc>
          <w:tcPr>
            <w:tcW w:w="960" w:type="dxa"/>
            <w:vAlign w:val="bottom"/>
            <w:gridSpan w:val="2"/>
            <w:shd w:val="clear" w:color="auto" w:fill="CCEEFF"/>
          </w:tcPr>
          <w:p>
            <w:pPr>
              <w:jc w:val="right"/>
              <w:ind w:right="380"/>
              <w:spacing w:after="0" w:line="115" w:lineRule="exact"/>
              <w:rPr>
                <w:sz w:val="20"/>
                <w:szCs w:val="20"/>
                <w:color w:val="auto"/>
              </w:rPr>
            </w:pPr>
            <w:r>
              <w:rPr>
                <w:rFonts w:ascii="Arial" w:cs="Arial" w:eastAsia="Arial" w:hAnsi="Arial"/>
                <w:sz w:val="11"/>
                <w:szCs w:val="11"/>
                <w:color w:val="auto"/>
              </w:rPr>
              <w:t>28.1%</w:t>
            </w:r>
          </w:p>
        </w:tc>
        <w:tc>
          <w:tcPr>
            <w:tcW w:w="620" w:type="dxa"/>
            <w:vAlign w:val="bottom"/>
            <w:gridSpan w:val="2"/>
            <w:shd w:val="clear" w:color="auto" w:fill="CCEEFF"/>
          </w:tcPr>
          <w:p>
            <w:pPr>
              <w:jc w:val="right"/>
              <w:ind w:right="60"/>
              <w:spacing w:after="0" w:line="115" w:lineRule="exact"/>
              <w:rPr>
                <w:sz w:val="20"/>
                <w:szCs w:val="20"/>
                <w:color w:val="auto"/>
              </w:rPr>
            </w:pPr>
            <w:r>
              <w:rPr>
                <w:rFonts w:ascii="Arial" w:cs="Arial" w:eastAsia="Arial" w:hAnsi="Arial"/>
                <w:sz w:val="11"/>
                <w:szCs w:val="11"/>
                <w:color w:val="auto"/>
              </w:rPr>
              <w:t>21.0%</w:t>
            </w:r>
          </w:p>
        </w:tc>
      </w:tr>
      <w:tr>
        <w:trPr>
          <w:trHeight w:val="126"/>
        </w:trPr>
        <w:tc>
          <w:tcPr>
            <w:tcW w:w="3000" w:type="dxa"/>
            <w:vAlign w:val="bottom"/>
          </w:tcPr>
          <w:p>
            <w:pPr>
              <w:spacing w:after="0"/>
              <w:rPr>
                <w:sz w:val="20"/>
                <w:szCs w:val="20"/>
                <w:color w:val="auto"/>
              </w:rPr>
            </w:pPr>
            <w:r>
              <w:rPr>
                <w:rFonts w:ascii="Arial" w:cs="Arial" w:eastAsia="Arial" w:hAnsi="Arial"/>
                <w:sz w:val="11"/>
                <w:szCs w:val="11"/>
                <w:color w:val="auto"/>
              </w:rPr>
              <w:t>Permanent differences</w:t>
            </w:r>
          </w:p>
        </w:tc>
        <w:tc>
          <w:tcPr>
            <w:tcW w:w="2780" w:type="dxa"/>
            <w:vAlign w:val="bottom"/>
            <w:gridSpan w:val="3"/>
          </w:tcPr>
          <w:p>
            <w:pPr>
              <w:jc w:val="right"/>
              <w:ind w:right="366"/>
              <w:spacing w:after="0"/>
              <w:rPr>
                <w:sz w:val="20"/>
                <w:szCs w:val="20"/>
                <w:color w:val="auto"/>
              </w:rPr>
            </w:pPr>
            <w:r>
              <w:rPr>
                <w:rFonts w:ascii="Arial" w:cs="Arial" w:eastAsia="Arial" w:hAnsi="Arial"/>
                <w:sz w:val="11"/>
                <w:szCs w:val="11"/>
                <w:color w:val="auto"/>
              </w:rPr>
              <w:t>(0.2)</w:t>
            </w:r>
          </w:p>
        </w:tc>
        <w:tc>
          <w:tcPr>
            <w:tcW w:w="960" w:type="dxa"/>
            <w:vAlign w:val="bottom"/>
            <w:gridSpan w:val="2"/>
          </w:tcPr>
          <w:p>
            <w:pPr>
              <w:jc w:val="right"/>
              <w:ind w:right="440"/>
              <w:spacing w:after="0"/>
              <w:rPr>
                <w:sz w:val="20"/>
                <w:szCs w:val="20"/>
                <w:color w:val="auto"/>
              </w:rPr>
            </w:pPr>
            <w:r>
              <w:rPr>
                <w:rFonts w:ascii="Arial" w:cs="Arial" w:eastAsia="Arial" w:hAnsi="Arial"/>
                <w:sz w:val="11"/>
                <w:szCs w:val="11"/>
                <w:color w:val="auto"/>
              </w:rPr>
              <w:t>(1.0)</w:t>
            </w:r>
          </w:p>
        </w:tc>
        <w:tc>
          <w:tcPr>
            <w:tcW w:w="620" w:type="dxa"/>
            <w:vAlign w:val="bottom"/>
            <w:gridSpan w:val="2"/>
          </w:tcPr>
          <w:p>
            <w:pPr>
              <w:jc w:val="right"/>
              <w:ind w:right="120"/>
              <w:spacing w:after="0"/>
              <w:rPr>
                <w:sz w:val="20"/>
                <w:szCs w:val="20"/>
                <w:color w:val="auto"/>
              </w:rPr>
            </w:pPr>
            <w:r>
              <w:rPr>
                <w:rFonts w:ascii="Arial" w:cs="Arial" w:eastAsia="Arial" w:hAnsi="Arial"/>
                <w:sz w:val="11"/>
                <w:szCs w:val="11"/>
                <w:color w:val="auto"/>
              </w:rPr>
              <w:t>(4.2)</w:t>
            </w:r>
          </w:p>
        </w:tc>
      </w:tr>
      <w:tr>
        <w:trPr>
          <w:trHeight w:val="126"/>
        </w:trPr>
        <w:tc>
          <w:tcPr>
            <w:tcW w:w="3000" w:type="dxa"/>
            <w:vAlign w:val="bottom"/>
            <w:shd w:val="clear" w:color="auto" w:fill="CCEEFF"/>
          </w:tcPr>
          <w:p>
            <w:pPr>
              <w:spacing w:after="0"/>
              <w:rPr>
                <w:sz w:val="20"/>
                <w:szCs w:val="20"/>
                <w:color w:val="auto"/>
              </w:rPr>
            </w:pPr>
            <w:r>
              <w:rPr>
                <w:rFonts w:ascii="Arial" w:cs="Arial" w:eastAsia="Arial" w:hAnsi="Arial"/>
                <w:sz w:val="11"/>
                <w:szCs w:val="11"/>
                <w:color w:val="auto"/>
              </w:rPr>
              <w:t>Return to provision</w:t>
            </w:r>
          </w:p>
        </w:tc>
        <w:tc>
          <w:tcPr>
            <w:tcW w:w="1840" w:type="dxa"/>
            <w:vAlign w:val="bottom"/>
            <w:shd w:val="clear" w:color="auto" w:fill="CCEEFF"/>
          </w:tcPr>
          <w:p>
            <w:pPr>
              <w:spacing w:after="0"/>
              <w:rPr>
                <w:sz w:val="10"/>
                <w:szCs w:val="10"/>
                <w:color w:val="auto"/>
              </w:rPr>
            </w:pPr>
          </w:p>
        </w:tc>
        <w:tc>
          <w:tcPr>
            <w:tcW w:w="940" w:type="dxa"/>
            <w:vAlign w:val="bottom"/>
            <w:gridSpan w:val="2"/>
            <w:shd w:val="clear" w:color="auto" w:fill="CCEEFF"/>
          </w:tcPr>
          <w:p>
            <w:pPr>
              <w:jc w:val="right"/>
              <w:ind w:right="386"/>
              <w:spacing w:after="0"/>
              <w:rPr>
                <w:sz w:val="20"/>
                <w:szCs w:val="20"/>
                <w:color w:val="auto"/>
              </w:rPr>
            </w:pPr>
            <w:r>
              <w:rPr>
                <w:rFonts w:ascii="Arial" w:cs="Arial" w:eastAsia="Arial" w:hAnsi="Arial"/>
                <w:sz w:val="11"/>
                <w:szCs w:val="11"/>
                <w:color w:val="auto"/>
              </w:rPr>
              <w:t>—</w:t>
            </w:r>
          </w:p>
        </w:tc>
        <w:tc>
          <w:tcPr>
            <w:tcW w:w="960" w:type="dxa"/>
            <w:vAlign w:val="bottom"/>
            <w:gridSpan w:val="2"/>
            <w:shd w:val="clear" w:color="auto" w:fill="CCEEFF"/>
          </w:tcPr>
          <w:p>
            <w:pPr>
              <w:jc w:val="right"/>
              <w:ind w:right="480"/>
              <w:spacing w:after="0"/>
              <w:rPr>
                <w:sz w:val="20"/>
                <w:szCs w:val="20"/>
                <w:color w:val="auto"/>
              </w:rPr>
            </w:pPr>
            <w:r>
              <w:rPr>
                <w:rFonts w:ascii="Arial" w:cs="Arial" w:eastAsia="Arial" w:hAnsi="Arial"/>
                <w:sz w:val="11"/>
                <w:szCs w:val="11"/>
                <w:color w:val="auto"/>
              </w:rPr>
              <w:t>—</w:t>
            </w: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(0.4)</w:t>
            </w:r>
          </w:p>
        </w:tc>
      </w:tr>
      <w:tr>
        <w:trPr>
          <w:trHeight w:val="126"/>
        </w:trPr>
        <w:tc>
          <w:tcPr>
            <w:tcW w:w="3000" w:type="dxa"/>
            <w:vAlign w:val="bottom"/>
          </w:tcPr>
          <w:p>
            <w:pPr>
              <w:spacing w:after="0"/>
              <w:rPr>
                <w:sz w:val="20"/>
                <w:szCs w:val="20"/>
                <w:color w:val="auto"/>
              </w:rPr>
            </w:pPr>
            <w:r>
              <w:rPr>
                <w:rFonts w:ascii="Arial" w:cs="Arial" w:eastAsia="Arial" w:hAnsi="Arial"/>
                <w:sz w:val="11"/>
                <w:szCs w:val="11"/>
                <w:color w:val="auto"/>
              </w:rPr>
              <w:t>Effect of rates different than statutory</w:t>
            </w:r>
          </w:p>
        </w:tc>
        <w:tc>
          <w:tcPr>
            <w:tcW w:w="1840" w:type="dxa"/>
            <w:vAlign w:val="bottom"/>
          </w:tcPr>
          <w:p>
            <w:pPr>
              <w:spacing w:after="0"/>
              <w:rPr>
                <w:sz w:val="10"/>
                <w:szCs w:val="10"/>
                <w:color w:val="auto"/>
              </w:rPr>
            </w:pPr>
          </w:p>
        </w:tc>
        <w:tc>
          <w:tcPr>
            <w:tcW w:w="940" w:type="dxa"/>
            <w:vAlign w:val="bottom"/>
            <w:gridSpan w:val="2"/>
          </w:tcPr>
          <w:p>
            <w:pPr>
              <w:jc w:val="right"/>
              <w:ind w:right="386"/>
              <w:spacing w:after="0"/>
              <w:rPr>
                <w:sz w:val="20"/>
                <w:szCs w:val="20"/>
                <w:color w:val="auto"/>
              </w:rPr>
            </w:pPr>
            <w:r>
              <w:rPr>
                <w:rFonts w:ascii="Arial" w:cs="Arial" w:eastAsia="Arial" w:hAnsi="Arial"/>
                <w:sz w:val="11"/>
                <w:szCs w:val="11"/>
                <w:color w:val="auto"/>
              </w:rPr>
              <w:t>—</w:t>
            </w:r>
          </w:p>
        </w:tc>
        <w:tc>
          <w:tcPr>
            <w:tcW w:w="960" w:type="dxa"/>
            <w:vAlign w:val="bottom"/>
            <w:gridSpan w:val="2"/>
          </w:tcPr>
          <w:p>
            <w:pPr>
              <w:jc w:val="right"/>
              <w:ind w:right="480"/>
              <w:spacing w:after="0"/>
              <w:rPr>
                <w:sz w:val="20"/>
                <w:szCs w:val="20"/>
                <w:color w:val="auto"/>
              </w:rPr>
            </w:pPr>
            <w:r>
              <w:rPr>
                <w:rFonts w:ascii="Arial" w:cs="Arial" w:eastAsia="Arial" w:hAnsi="Arial"/>
                <w:sz w:val="11"/>
                <w:szCs w:val="11"/>
                <w:color w:val="auto"/>
              </w:rPr>
              <w:t>—</w:t>
            </w:r>
          </w:p>
        </w:tc>
        <w:tc>
          <w:tcPr>
            <w:tcW w:w="620" w:type="dxa"/>
            <w:vAlign w:val="bottom"/>
            <w:gridSpan w:val="2"/>
          </w:tcPr>
          <w:p>
            <w:pPr>
              <w:jc w:val="right"/>
              <w:ind w:right="120"/>
              <w:spacing w:after="0"/>
              <w:rPr>
                <w:sz w:val="20"/>
                <w:szCs w:val="20"/>
                <w:color w:val="auto"/>
              </w:rPr>
            </w:pPr>
            <w:r>
              <w:rPr>
                <w:rFonts w:ascii="Arial" w:cs="Arial" w:eastAsia="Arial" w:hAnsi="Arial"/>
                <w:sz w:val="11"/>
                <w:szCs w:val="11"/>
                <w:color w:val="auto"/>
              </w:rPr>
              <w:t>(0.3)</w:t>
            </w:r>
          </w:p>
        </w:tc>
      </w:tr>
      <w:tr>
        <w:trPr>
          <w:trHeight w:val="126"/>
        </w:trPr>
        <w:tc>
          <w:tcPr>
            <w:tcW w:w="3000" w:type="dxa"/>
            <w:vAlign w:val="bottom"/>
            <w:shd w:val="clear" w:color="auto" w:fill="CCEEFF"/>
          </w:tcPr>
          <w:p>
            <w:pPr>
              <w:spacing w:after="0"/>
              <w:rPr>
                <w:sz w:val="20"/>
                <w:szCs w:val="20"/>
                <w:color w:val="auto"/>
              </w:rPr>
            </w:pPr>
            <w:r>
              <w:rPr>
                <w:rFonts w:ascii="Arial" w:cs="Arial" w:eastAsia="Arial" w:hAnsi="Arial"/>
                <w:sz w:val="11"/>
                <w:szCs w:val="11"/>
                <w:color w:val="auto"/>
              </w:rPr>
              <w:t>State and local income taxes, net of federal benefit</w:t>
            </w:r>
          </w:p>
        </w:tc>
        <w:tc>
          <w:tcPr>
            <w:tcW w:w="234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4.3</w:t>
            </w:r>
          </w:p>
        </w:tc>
        <w:tc>
          <w:tcPr>
            <w:tcW w:w="440" w:type="dxa"/>
            <w:vAlign w:val="bottom"/>
            <w:shd w:val="clear" w:color="auto" w:fill="CCEEFF"/>
          </w:tcPr>
          <w:p>
            <w:pPr>
              <w:spacing w:after="0"/>
              <w:rPr>
                <w:sz w:val="10"/>
                <w:szCs w:val="10"/>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4.5</w:t>
            </w:r>
          </w:p>
        </w:tc>
        <w:tc>
          <w:tcPr>
            <w:tcW w:w="480" w:type="dxa"/>
            <w:vAlign w:val="bottom"/>
            <w:shd w:val="clear" w:color="auto" w:fill="CCEEFF"/>
          </w:tcPr>
          <w:p>
            <w:pPr>
              <w:spacing w:after="0"/>
              <w:rPr>
                <w:sz w:val="10"/>
                <w:szCs w:val="10"/>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3.0</w:t>
            </w:r>
          </w:p>
        </w:tc>
        <w:tc>
          <w:tcPr>
            <w:tcW w:w="140" w:type="dxa"/>
            <w:vAlign w:val="bottom"/>
            <w:shd w:val="clear" w:color="auto" w:fill="CCEEFF"/>
          </w:tcPr>
          <w:p>
            <w:pPr>
              <w:spacing w:after="0"/>
              <w:rPr>
                <w:sz w:val="10"/>
                <w:szCs w:val="10"/>
                <w:color w:val="auto"/>
              </w:rPr>
            </w:pPr>
          </w:p>
        </w:tc>
      </w:tr>
      <w:tr>
        <w:trPr>
          <w:trHeight w:val="126"/>
        </w:trPr>
        <w:tc>
          <w:tcPr>
            <w:tcW w:w="3000" w:type="dxa"/>
            <w:vAlign w:val="bottom"/>
          </w:tcPr>
          <w:p>
            <w:pPr>
              <w:spacing w:after="0"/>
              <w:rPr>
                <w:sz w:val="20"/>
                <w:szCs w:val="20"/>
                <w:color w:val="auto"/>
              </w:rPr>
            </w:pPr>
            <w:r>
              <w:rPr>
                <w:rFonts w:ascii="Arial" w:cs="Arial" w:eastAsia="Arial" w:hAnsi="Arial"/>
                <w:sz w:val="11"/>
                <w:szCs w:val="11"/>
                <w:color w:val="auto"/>
              </w:rPr>
              <w:t>Franchise tax</w:t>
            </w:r>
          </w:p>
        </w:tc>
        <w:tc>
          <w:tcPr>
            <w:tcW w:w="1840" w:type="dxa"/>
            <w:vAlign w:val="bottom"/>
          </w:tcPr>
          <w:p>
            <w:pPr>
              <w:spacing w:after="0"/>
              <w:rPr>
                <w:sz w:val="10"/>
                <w:szCs w:val="10"/>
                <w:color w:val="auto"/>
              </w:rPr>
            </w:pPr>
          </w:p>
        </w:tc>
        <w:tc>
          <w:tcPr>
            <w:tcW w:w="940" w:type="dxa"/>
            <w:vAlign w:val="bottom"/>
            <w:gridSpan w:val="2"/>
          </w:tcPr>
          <w:p>
            <w:pPr>
              <w:jc w:val="right"/>
              <w:ind w:right="386"/>
              <w:spacing w:after="0"/>
              <w:rPr>
                <w:sz w:val="20"/>
                <w:szCs w:val="20"/>
                <w:color w:val="auto"/>
              </w:rPr>
            </w:pPr>
            <w:r>
              <w:rPr>
                <w:rFonts w:ascii="Arial" w:cs="Arial" w:eastAsia="Arial" w:hAnsi="Arial"/>
                <w:sz w:val="11"/>
                <w:szCs w:val="11"/>
                <w:color w:val="auto"/>
              </w:rPr>
              <w:t>—</w:t>
            </w:r>
          </w:p>
        </w:tc>
        <w:tc>
          <w:tcPr>
            <w:tcW w:w="960" w:type="dxa"/>
            <w:vAlign w:val="bottom"/>
            <w:gridSpan w:val="2"/>
          </w:tcPr>
          <w:p>
            <w:pPr>
              <w:jc w:val="right"/>
              <w:ind w:right="440"/>
              <w:spacing w:after="0"/>
              <w:rPr>
                <w:sz w:val="20"/>
                <w:szCs w:val="20"/>
                <w:color w:val="auto"/>
              </w:rPr>
            </w:pPr>
            <w:r>
              <w:rPr>
                <w:rFonts w:ascii="Arial" w:cs="Arial" w:eastAsia="Arial" w:hAnsi="Arial"/>
                <w:sz w:val="11"/>
                <w:szCs w:val="11"/>
                <w:color w:val="auto"/>
              </w:rPr>
              <w:t>(0.1)</w:t>
            </w:r>
          </w:p>
        </w:tc>
        <w:tc>
          <w:tcPr>
            <w:tcW w:w="6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r>
      <w:tr>
        <w:trPr>
          <w:trHeight w:val="126"/>
        </w:trPr>
        <w:tc>
          <w:tcPr>
            <w:tcW w:w="3000" w:type="dxa"/>
            <w:vAlign w:val="bottom"/>
            <w:shd w:val="clear" w:color="auto" w:fill="CCEEFF"/>
          </w:tcPr>
          <w:p>
            <w:pPr>
              <w:spacing w:after="0"/>
              <w:rPr>
                <w:sz w:val="20"/>
                <w:szCs w:val="20"/>
                <w:color w:val="auto"/>
              </w:rPr>
            </w:pPr>
            <w:r>
              <w:rPr>
                <w:rFonts w:ascii="Arial" w:cs="Arial" w:eastAsia="Arial" w:hAnsi="Arial"/>
                <w:sz w:val="11"/>
                <w:szCs w:val="11"/>
                <w:color w:val="auto"/>
              </w:rPr>
              <w:t>Change in valuation allowance</w:t>
            </w:r>
          </w:p>
        </w:tc>
        <w:tc>
          <w:tcPr>
            <w:tcW w:w="2780" w:type="dxa"/>
            <w:vAlign w:val="bottom"/>
            <w:gridSpan w:val="3"/>
            <w:shd w:val="clear" w:color="auto" w:fill="CCEEFF"/>
          </w:tcPr>
          <w:p>
            <w:pPr>
              <w:jc w:val="right"/>
              <w:ind w:right="366"/>
              <w:spacing w:after="0"/>
              <w:rPr>
                <w:sz w:val="20"/>
                <w:szCs w:val="20"/>
                <w:color w:val="auto"/>
              </w:rPr>
            </w:pPr>
            <w:r>
              <w:rPr>
                <w:rFonts w:ascii="Arial" w:cs="Arial" w:eastAsia="Arial" w:hAnsi="Arial"/>
                <w:sz w:val="11"/>
                <w:szCs w:val="11"/>
                <w:color w:val="auto"/>
              </w:rPr>
              <w:t>(40.1)</w:t>
            </w:r>
          </w:p>
        </w:tc>
        <w:tc>
          <w:tcPr>
            <w:tcW w:w="4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3.7</w:t>
            </w:r>
          </w:p>
        </w:tc>
        <w:tc>
          <w:tcPr>
            <w:tcW w:w="480" w:type="dxa"/>
            <w:vAlign w:val="bottom"/>
            <w:shd w:val="clear" w:color="auto" w:fill="CCEEFF"/>
          </w:tcPr>
          <w:p>
            <w:pPr>
              <w:spacing w:after="0"/>
              <w:rPr>
                <w:sz w:val="10"/>
                <w:szCs w:val="10"/>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(21.0)</w:t>
            </w:r>
          </w:p>
        </w:tc>
      </w:tr>
      <w:tr>
        <w:trPr>
          <w:trHeight w:val="126"/>
        </w:trPr>
        <w:tc>
          <w:tcPr>
            <w:tcW w:w="3000" w:type="dxa"/>
            <w:vAlign w:val="bottom"/>
          </w:tcPr>
          <w:p>
            <w:pPr>
              <w:spacing w:after="0"/>
              <w:rPr>
                <w:sz w:val="20"/>
                <w:szCs w:val="20"/>
                <w:color w:val="auto"/>
              </w:rPr>
            </w:pPr>
            <w:r>
              <w:rPr>
                <w:rFonts w:ascii="Arial" w:cs="Arial" w:eastAsia="Arial" w:hAnsi="Arial"/>
                <w:sz w:val="11"/>
                <w:szCs w:val="11"/>
                <w:color w:val="auto"/>
              </w:rPr>
              <w:t>Rate change</w:t>
            </w:r>
          </w:p>
        </w:tc>
        <w:tc>
          <w:tcPr>
            <w:tcW w:w="1840" w:type="dxa"/>
            <w:vAlign w:val="bottom"/>
          </w:tcPr>
          <w:p>
            <w:pPr>
              <w:spacing w:after="0"/>
              <w:rPr>
                <w:sz w:val="10"/>
                <w:szCs w:val="10"/>
                <w:color w:val="auto"/>
              </w:rPr>
            </w:pPr>
          </w:p>
        </w:tc>
        <w:tc>
          <w:tcPr>
            <w:tcW w:w="940" w:type="dxa"/>
            <w:vAlign w:val="bottom"/>
            <w:gridSpan w:val="2"/>
          </w:tcPr>
          <w:p>
            <w:pPr>
              <w:jc w:val="right"/>
              <w:ind w:right="386"/>
              <w:spacing w:after="0"/>
              <w:rPr>
                <w:sz w:val="20"/>
                <w:szCs w:val="20"/>
                <w:color w:val="auto"/>
              </w:rPr>
            </w:pPr>
            <w:r>
              <w:rPr>
                <w:rFonts w:ascii="Arial" w:cs="Arial" w:eastAsia="Arial" w:hAnsi="Arial"/>
                <w:sz w:val="11"/>
                <w:szCs w:val="11"/>
                <w:color w:val="auto"/>
              </w:rPr>
              <w:t>—</w:t>
            </w:r>
          </w:p>
        </w:tc>
        <w:tc>
          <w:tcPr>
            <w:tcW w:w="960" w:type="dxa"/>
            <w:vAlign w:val="bottom"/>
            <w:gridSpan w:val="2"/>
          </w:tcPr>
          <w:p>
            <w:pPr>
              <w:jc w:val="right"/>
              <w:ind w:right="440"/>
              <w:spacing w:after="0"/>
              <w:rPr>
                <w:sz w:val="20"/>
                <w:szCs w:val="20"/>
                <w:color w:val="auto"/>
              </w:rPr>
            </w:pPr>
            <w:r>
              <w:rPr>
                <w:rFonts w:ascii="Arial" w:cs="Arial" w:eastAsia="Arial" w:hAnsi="Arial"/>
                <w:sz w:val="11"/>
                <w:szCs w:val="11"/>
                <w:color w:val="auto"/>
              </w:rPr>
              <w:t>(39.3)</w:t>
            </w:r>
          </w:p>
        </w:tc>
        <w:tc>
          <w:tcPr>
            <w:tcW w:w="620" w:type="dxa"/>
            <w:vAlign w:val="bottom"/>
            <w:gridSpan w:val="2"/>
          </w:tcPr>
          <w:p>
            <w:pPr>
              <w:jc w:val="right"/>
              <w:ind w:right="120"/>
              <w:spacing w:after="0"/>
              <w:rPr>
                <w:sz w:val="20"/>
                <w:szCs w:val="20"/>
                <w:color w:val="auto"/>
              </w:rPr>
            </w:pPr>
            <w:r>
              <w:rPr>
                <w:rFonts w:ascii="Arial" w:cs="Arial" w:eastAsia="Arial" w:hAnsi="Arial"/>
                <w:sz w:val="11"/>
                <w:szCs w:val="11"/>
                <w:color w:val="auto"/>
              </w:rPr>
              <w:t>(0.4)</w:t>
            </w:r>
          </w:p>
        </w:tc>
      </w:tr>
      <w:tr>
        <w:trPr>
          <w:trHeight w:val="126"/>
        </w:trPr>
        <w:tc>
          <w:tcPr>
            <w:tcW w:w="3000" w:type="dxa"/>
            <w:vAlign w:val="bottom"/>
            <w:shd w:val="clear" w:color="auto" w:fill="CCEEFF"/>
          </w:tcPr>
          <w:p>
            <w:pPr>
              <w:spacing w:after="0"/>
              <w:rPr>
                <w:sz w:val="20"/>
                <w:szCs w:val="20"/>
                <w:color w:val="auto"/>
              </w:rPr>
            </w:pPr>
            <w:r>
              <w:rPr>
                <w:rFonts w:ascii="Arial" w:cs="Arial" w:eastAsia="Arial" w:hAnsi="Arial"/>
                <w:sz w:val="11"/>
                <w:szCs w:val="11"/>
                <w:color w:val="auto"/>
              </w:rPr>
              <w:t>Federal credits</w:t>
            </w:r>
          </w:p>
        </w:tc>
        <w:tc>
          <w:tcPr>
            <w:tcW w:w="1840" w:type="dxa"/>
            <w:vAlign w:val="bottom"/>
            <w:shd w:val="clear" w:color="auto" w:fill="CCEEFF"/>
          </w:tcPr>
          <w:p>
            <w:pPr>
              <w:spacing w:after="0"/>
              <w:rPr>
                <w:sz w:val="10"/>
                <w:szCs w:val="10"/>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1.0</w:t>
            </w:r>
          </w:p>
        </w:tc>
        <w:tc>
          <w:tcPr>
            <w:tcW w:w="440" w:type="dxa"/>
            <w:vAlign w:val="bottom"/>
            <w:shd w:val="clear" w:color="auto" w:fill="CCEEFF"/>
          </w:tcPr>
          <w:p>
            <w:pPr>
              <w:spacing w:after="0"/>
              <w:rPr>
                <w:sz w:val="10"/>
                <w:szCs w:val="10"/>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4.0</w:t>
            </w:r>
          </w:p>
        </w:tc>
        <w:tc>
          <w:tcPr>
            <w:tcW w:w="480" w:type="dxa"/>
            <w:vAlign w:val="bottom"/>
            <w:shd w:val="clear" w:color="auto" w:fill="CCEEFF"/>
          </w:tcPr>
          <w:p>
            <w:pPr>
              <w:spacing w:after="0"/>
              <w:rPr>
                <w:sz w:val="10"/>
                <w:szCs w:val="10"/>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2.3</w:t>
            </w:r>
          </w:p>
        </w:tc>
        <w:tc>
          <w:tcPr>
            <w:tcW w:w="140" w:type="dxa"/>
            <w:vAlign w:val="bottom"/>
            <w:shd w:val="clear" w:color="auto" w:fill="CCEEFF"/>
          </w:tcPr>
          <w:p>
            <w:pPr>
              <w:spacing w:after="0"/>
              <w:rPr>
                <w:sz w:val="10"/>
                <w:szCs w:val="10"/>
                <w:color w:val="auto"/>
              </w:rPr>
            </w:pPr>
          </w:p>
        </w:tc>
      </w:tr>
      <w:tr>
        <w:trPr>
          <w:trHeight w:val="131"/>
        </w:trPr>
        <w:tc>
          <w:tcPr>
            <w:tcW w:w="3000" w:type="dxa"/>
            <w:vAlign w:val="bottom"/>
          </w:tcPr>
          <w:p>
            <w:pPr>
              <w:spacing w:after="0" w:line="124" w:lineRule="exact"/>
              <w:rPr>
                <w:sz w:val="20"/>
                <w:szCs w:val="20"/>
                <w:color w:val="auto"/>
              </w:rPr>
            </w:pPr>
            <w:r>
              <w:rPr>
                <w:rFonts w:ascii="Arial" w:cs="Arial" w:eastAsia="Arial" w:hAnsi="Arial"/>
                <w:sz w:val="11"/>
                <w:szCs w:val="11"/>
                <w:color w:val="auto"/>
              </w:rPr>
              <w:t>Effective income tax rate</w:t>
            </w:r>
          </w:p>
        </w:tc>
        <w:tc>
          <w:tcPr>
            <w:tcW w:w="1840" w:type="dxa"/>
            <w:vAlign w:val="bottom"/>
          </w:tcPr>
          <w:p>
            <w:pPr>
              <w:spacing w:after="0"/>
              <w:rPr>
                <w:sz w:val="11"/>
                <w:szCs w:val="11"/>
                <w:color w:val="auto"/>
              </w:rPr>
            </w:pPr>
          </w:p>
        </w:tc>
        <w:tc>
          <w:tcPr>
            <w:tcW w:w="940" w:type="dxa"/>
            <w:vAlign w:val="bottom"/>
            <w:gridSpan w:val="2"/>
          </w:tcPr>
          <w:p>
            <w:pPr>
              <w:jc w:val="right"/>
              <w:ind w:right="306"/>
              <w:spacing w:after="0" w:line="124" w:lineRule="exact"/>
              <w:rPr>
                <w:sz w:val="20"/>
                <w:szCs w:val="20"/>
                <w:color w:val="auto"/>
              </w:rPr>
            </w:pPr>
            <w:r>
              <w:rPr>
                <w:rFonts w:ascii="Arial" w:cs="Arial" w:eastAsia="Arial" w:hAnsi="Arial"/>
                <w:sz w:val="11"/>
                <w:szCs w:val="11"/>
                <w:color w:val="auto"/>
              </w:rPr>
              <w:t>—%</w:t>
            </w:r>
          </w:p>
        </w:tc>
        <w:tc>
          <w:tcPr>
            <w:tcW w:w="960" w:type="dxa"/>
            <w:vAlign w:val="bottom"/>
            <w:gridSpan w:val="2"/>
          </w:tcPr>
          <w:p>
            <w:pPr>
              <w:jc w:val="right"/>
              <w:ind w:right="340"/>
              <w:spacing w:after="0" w:line="124" w:lineRule="exact"/>
              <w:rPr>
                <w:sz w:val="20"/>
                <w:szCs w:val="20"/>
                <w:color w:val="auto"/>
              </w:rPr>
            </w:pPr>
            <w:r>
              <w:rPr>
                <w:rFonts w:ascii="Arial" w:cs="Arial" w:eastAsia="Arial" w:hAnsi="Arial"/>
                <w:sz w:val="11"/>
                <w:szCs w:val="11"/>
                <w:color w:val="auto"/>
              </w:rPr>
              <w:t>(0.1)%</w:t>
            </w:r>
          </w:p>
        </w:tc>
        <w:tc>
          <w:tcPr>
            <w:tcW w:w="620" w:type="dxa"/>
            <w:vAlign w:val="bottom"/>
            <w:gridSpan w:val="2"/>
          </w:tcPr>
          <w:p>
            <w:pPr>
              <w:jc w:val="right"/>
              <w:ind w:right="60"/>
              <w:spacing w:after="0" w:line="124" w:lineRule="exact"/>
              <w:rPr>
                <w:sz w:val="20"/>
                <w:szCs w:val="20"/>
                <w:color w:val="auto"/>
              </w:rPr>
            </w:pPr>
            <w:r>
              <w:rPr>
                <w:rFonts w:ascii="Arial" w:cs="Arial" w:eastAsia="Arial" w:hAnsi="Arial"/>
                <w:sz w:val="11"/>
                <w:szCs w:val="11"/>
                <w:color w:val="auto"/>
              </w:rPr>
              <w:t>—%</w:t>
            </w:r>
          </w:p>
        </w:tc>
      </w:tr>
      <w:tr>
        <w:trPr>
          <w:trHeight w:val="239"/>
        </w:trPr>
        <w:tc>
          <w:tcPr>
            <w:tcW w:w="3000" w:type="dxa"/>
            <w:vAlign w:val="bottom"/>
          </w:tcPr>
          <w:p>
            <w:pPr>
              <w:spacing w:after="0"/>
              <w:rPr>
                <w:sz w:val="20"/>
                <w:szCs w:val="20"/>
                <w:color w:val="auto"/>
              </w:rPr>
            </w:pPr>
          </w:p>
        </w:tc>
        <w:tc>
          <w:tcPr>
            <w:tcW w:w="1840" w:type="dxa"/>
            <w:vAlign w:val="bottom"/>
          </w:tcPr>
          <w:p>
            <w:pPr>
              <w:ind w:left="560"/>
              <w:spacing w:after="0"/>
              <w:rPr>
                <w:sz w:val="20"/>
                <w:szCs w:val="20"/>
                <w:color w:val="auto"/>
              </w:rPr>
            </w:pPr>
            <w:r>
              <w:rPr>
                <w:rFonts w:ascii="Arial" w:cs="Arial" w:eastAsia="Arial" w:hAnsi="Arial"/>
                <w:sz w:val="11"/>
                <w:szCs w:val="11"/>
                <w:color w:val="auto"/>
              </w:rPr>
              <w:t>F-31</w:t>
            </w:r>
          </w:p>
        </w:tc>
        <w:tc>
          <w:tcPr>
            <w:tcW w:w="500" w:type="dxa"/>
            <w:vAlign w:val="bottom"/>
            <w:tcBorders>
              <w:top w:val="single" w:sz="8" w:color="auto"/>
            </w:tcBorders>
          </w:tcPr>
          <w:p>
            <w:pPr>
              <w:spacing w:after="0"/>
              <w:rPr>
                <w:sz w:val="20"/>
                <w:szCs w:val="20"/>
                <w:color w:val="auto"/>
              </w:rPr>
            </w:pPr>
          </w:p>
        </w:tc>
        <w:tc>
          <w:tcPr>
            <w:tcW w:w="44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48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140" w:type="dxa"/>
            <w:vAlign w:val="bottom"/>
          </w:tcPr>
          <w:p>
            <w:pPr>
              <w:spacing w:after="0"/>
              <w:rPr>
                <w:sz w:val="20"/>
                <w:szCs w:val="20"/>
                <w:color w:val="auto"/>
              </w:rPr>
            </w:pPr>
          </w:p>
        </w:tc>
      </w:tr>
    </w:tbl>
    <w:p>
      <w:pPr>
        <w:sectPr>
          <w:pgSz w:w="11900" w:h="16838" w:orient="portrait"/>
          <w:cols w:equalWidth="0" w:num="1">
            <w:col w:w="10239"/>
          </w:cols>
          <w:pgMar w:left="220" w:top="354" w:right="1440" w:bottom="1440" w:gutter="0" w:footer="0" w:header="0"/>
        </w:sectPr>
      </w:pPr>
    </w:p>
    <w:bookmarkStart w:id="195" w:name="page196"/>
    <w:bookmarkEnd w:id="195"/>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hyperlink w:anchor="page5">
        <w:r>
          <w:rPr>
            <w:rFonts w:ascii="Arial" w:cs="Arial" w:eastAsia="Arial" w:hAnsi="Arial"/>
            <w:sz w:val="12"/>
            <w:szCs w:val="12"/>
            <w:b w:val="1"/>
            <w:bCs w:val="1"/>
            <w:u w:val="single" w:color="auto"/>
            <w:color w:val="0000EE"/>
          </w:rPr>
          <w:t>Table of Contents</w:t>
        </w:r>
      </w:hyperlink>
    </w:p>
    <w:p>
      <w:pPr>
        <w:spacing w:after="0" w:line="200" w:lineRule="exact"/>
        <w:rPr>
          <w:sz w:val="20"/>
          <w:szCs w:val="20"/>
          <w:color w:val="auto"/>
        </w:rPr>
      </w:pPr>
    </w:p>
    <w:p>
      <w:pPr>
        <w:jc w:val="center"/>
        <w:ind w:right="-1220"/>
        <w:spacing w:after="0"/>
        <w:rPr>
          <w:sz w:val="20"/>
          <w:szCs w:val="20"/>
          <w:color w:val="auto"/>
        </w:rPr>
      </w:pPr>
      <w:r>
        <w:rPr>
          <w:rFonts w:ascii="Arial" w:cs="Arial" w:eastAsia="Arial" w:hAnsi="Arial"/>
          <w:sz w:val="12"/>
          <w:szCs w:val="12"/>
          <w:b w:val="1"/>
          <w:bCs w:val="1"/>
          <w:color w:val="auto"/>
        </w:rPr>
        <w:t>PELOTON INTERACTIVE, INC.</w:t>
      </w:r>
    </w:p>
    <w:p>
      <w:pPr>
        <w:spacing w:after="0" w:line="11" w:lineRule="exact"/>
        <w:rPr>
          <w:sz w:val="20"/>
          <w:szCs w:val="20"/>
          <w:color w:val="auto"/>
        </w:rPr>
      </w:pPr>
    </w:p>
    <w:p>
      <w:pPr>
        <w:jc w:val="center"/>
        <w:ind w:right="-1220"/>
        <w:spacing w:after="0"/>
        <w:rPr>
          <w:sz w:val="20"/>
          <w:szCs w:val="20"/>
          <w:color w:val="auto"/>
        </w:rPr>
      </w:pPr>
      <w:r>
        <w:rPr>
          <w:rFonts w:ascii="Arial" w:cs="Arial" w:eastAsia="Arial" w:hAnsi="Arial"/>
          <w:sz w:val="12"/>
          <w:szCs w:val="12"/>
          <w:b w:val="1"/>
          <w:bCs w:val="1"/>
          <w:color w:val="auto"/>
        </w:rPr>
        <w:t>NOTES TO CONSOLIDATED FINANCIAL STATEMENTS</w:t>
      </w:r>
    </w:p>
    <w:p>
      <w:pPr>
        <w:spacing w:after="0" w:line="80" w:lineRule="exact"/>
        <w:rPr>
          <w:sz w:val="20"/>
          <w:szCs w:val="20"/>
          <w:color w:val="auto"/>
        </w:rPr>
      </w:pPr>
    </w:p>
    <w:p>
      <w:pPr>
        <w:jc w:val="both"/>
        <w:ind w:left="2060" w:right="839"/>
        <w:spacing w:after="0" w:line="270" w:lineRule="auto"/>
        <w:rPr>
          <w:sz w:val="20"/>
          <w:szCs w:val="20"/>
          <w:color w:val="auto"/>
        </w:rPr>
      </w:pPr>
      <w:r>
        <w:rPr>
          <w:rFonts w:ascii="Arial" w:cs="Arial" w:eastAsia="Arial" w:hAnsi="Arial"/>
          <w:sz w:val="10"/>
          <w:szCs w:val="10"/>
          <w:color w:val="auto"/>
        </w:rPr>
        <w:t>The primary differences from the U.S. statutory rate and the Company’s effective tax rate for the fiscal year ended June 30, 2019 are due to the change in valuation allowance and permanent differences related to stock compensation. The primary differences from the U.S. statutory rate and the Company’s effective tax rate for the fiscal year ended June 30, 2018 are due to the rate change on deferred tax assets as a result of the enactment of the Tax Cuts and Jobs Act (“Act”), partially offset by state and local taxes and federal tax credits. The primary differences from the U.S. statutory rate and the Company’s effective tax rate for the fiscal year ended June 30, 2017 are due to the change in valuation allowance, partially offset by state and local taxes.</w:t>
      </w:r>
    </w:p>
    <w:p>
      <w:pPr>
        <w:spacing w:after="0" w:line="128" w:lineRule="exact"/>
        <w:rPr>
          <w:sz w:val="20"/>
          <w:szCs w:val="20"/>
          <w:color w:val="auto"/>
        </w:rPr>
      </w:pPr>
    </w:p>
    <w:p>
      <w:pPr>
        <w:jc w:val="both"/>
        <w:ind w:left="2060" w:right="839"/>
        <w:spacing w:after="0" w:line="269" w:lineRule="auto"/>
        <w:rPr>
          <w:sz w:val="20"/>
          <w:szCs w:val="20"/>
          <w:color w:val="auto"/>
        </w:rPr>
      </w:pPr>
      <w:r>
        <w:rPr>
          <w:rFonts w:ascii="Arial" w:cs="Arial" w:eastAsia="Arial" w:hAnsi="Arial"/>
          <w:sz w:val="10"/>
          <w:szCs w:val="10"/>
          <w:color w:val="auto"/>
        </w:rPr>
        <w:t>On December 22, 2017, the Act was signed into law making significant changes to the Internal Revenue Code of 1986, as amended (“Internal Revenue Code”). Changes include, but are not limited to, a federal corporate tax rate decrease from 35% to 21% for tax years beginning after December 31, 2017, a one-time transition tax on the mandatory deemed repatriation of foreign earnings, and numerous domestic and international-related provisions effective in 2018. The Company has estimated its provision for income taxes specifically related to the reduction of the federal corporate tax rate in accordance with the Act and guidance available as of the date of this filing and as a result has recorded $18.0 million of income tax expense, which was offset by a corresponding adjustment for the same amount to the Company’s valuation allowance, for the fiscal year ended June 30, 2018.</w:t>
      </w:r>
    </w:p>
    <w:p>
      <w:pPr>
        <w:spacing w:after="0" w:line="127" w:lineRule="exact"/>
        <w:rPr>
          <w:sz w:val="20"/>
          <w:szCs w:val="20"/>
          <w:color w:val="auto"/>
        </w:rPr>
      </w:pPr>
    </w:p>
    <w:p>
      <w:pPr>
        <w:jc w:val="both"/>
        <w:ind w:left="2060" w:right="839"/>
        <w:spacing w:after="0"/>
        <w:rPr>
          <w:sz w:val="20"/>
          <w:szCs w:val="20"/>
          <w:color w:val="auto"/>
        </w:rPr>
      </w:pPr>
      <w:r>
        <w:rPr>
          <w:rFonts w:ascii="Arial" w:cs="Arial" w:eastAsia="Arial" w:hAnsi="Arial"/>
          <w:sz w:val="11"/>
          <w:szCs w:val="11"/>
          <w:color w:val="auto"/>
        </w:rPr>
        <w:t>On December 22, 2017, Staff Accounting Bulletin No. 118 (“SAB 118”) was issued to address the application of GAAP in situations when a registrant does not have the necessary information available, prepared, or analyzed (including computations) in reasonable detail to complete the accounting for certain income tax effects of the Act. For the fiscal year ended June 30, 2018, the Company recorded $18.0 million of the income tax expense in connection with the re-measurement of certain deferred tax assets and liabilities. As of June 30, 2019, the Company has completed the accounting for all the impacts of the Act with no material changes to the provisional estimate recorded in the prior period.</w:t>
      </w:r>
    </w:p>
    <w:p>
      <w:pPr>
        <w:spacing w:after="0" w:line="142" w:lineRule="exact"/>
        <w:rPr>
          <w:sz w:val="20"/>
          <w:szCs w:val="20"/>
          <w:color w:val="auto"/>
        </w:rPr>
      </w:pPr>
    </w:p>
    <w:p>
      <w:pPr>
        <w:jc w:val="both"/>
        <w:ind w:left="2060" w:right="839"/>
        <w:spacing w:after="0"/>
        <w:rPr>
          <w:sz w:val="20"/>
          <w:szCs w:val="20"/>
          <w:color w:val="auto"/>
        </w:rPr>
      </w:pPr>
      <w:r>
        <w:rPr>
          <w:rFonts w:ascii="Arial" w:cs="Arial" w:eastAsia="Arial" w:hAnsi="Arial"/>
          <w:sz w:val="11"/>
          <w:szCs w:val="11"/>
          <w:color w:val="auto"/>
        </w:rPr>
        <w:t>As of June 30, 2018 and June 30, 2019, the Company’s deferred tax assets were primarily the result of U.S. federal and state net operating losses (“NOLs”), deferred revenue, research and development tax credits, non-qualified stock options, and accrued litigation reserves. A valuation allowance was maintained on substantially all worldwide gross deferred tax asset balances as of June 30, 2018 and 2019. As of each reporting date, the Company’s management considers new evidence, both positive and negative, that could impact management’s view with regard to future realization of deferred tax assets. The recognition of deferred tax assets was based on the evaluation of current and estimated future profitability of the operations, reversal of deferred tax liabilities and the likelihood of utilizing tax credit and/or loss carryforwards. As of June 30, 2018 and June 30, 2019, the Company continued to maintain that it is not more likely than not that its deferred taxes will be realized in the United States and United Kingdom due to management’s expectation of continued tax losses for the foreseeable future.</w:t>
      </w:r>
    </w:p>
    <w:p>
      <w:pPr>
        <w:spacing w:after="0" w:line="96" w:lineRule="exact"/>
        <w:rPr>
          <w:sz w:val="20"/>
          <w:szCs w:val="20"/>
          <w:color w:val="auto"/>
        </w:rPr>
      </w:pPr>
    </w:p>
    <w:p>
      <w:pPr>
        <w:ind w:left="5620"/>
        <w:spacing w:after="0"/>
        <w:rPr>
          <w:sz w:val="20"/>
          <w:szCs w:val="20"/>
          <w:color w:val="auto"/>
        </w:rPr>
      </w:pPr>
      <w:r>
        <w:rPr>
          <w:rFonts w:ascii="Arial" w:cs="Arial" w:eastAsia="Arial" w:hAnsi="Arial"/>
          <w:sz w:val="11"/>
          <w:szCs w:val="11"/>
          <w:color w:val="auto"/>
        </w:rPr>
        <w:t>F-32</w:t>
      </w:r>
    </w:p>
    <w:p>
      <w:pPr>
        <w:sectPr>
          <w:pgSz w:w="11900" w:h="16838" w:orient="portrait"/>
          <w:cols w:equalWidth="0" w:num="1">
            <w:col w:w="10239"/>
          </w:cols>
          <w:pgMar w:left="220" w:top="354" w:right="1440" w:bottom="1440" w:gutter="0" w:footer="0" w:header="0"/>
        </w:sectPr>
      </w:pPr>
    </w:p>
    <w:bookmarkStart w:id="196" w:name="page197"/>
    <w:bookmarkEnd w:id="196"/>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hyperlink w:anchor="page5">
        <w:r>
          <w:rPr>
            <w:rFonts w:ascii="Arial" w:cs="Arial" w:eastAsia="Arial" w:hAnsi="Arial"/>
            <w:sz w:val="12"/>
            <w:szCs w:val="12"/>
            <w:b w:val="1"/>
            <w:bCs w:val="1"/>
            <w:u w:val="single" w:color="auto"/>
            <w:color w:val="0000EE"/>
          </w:rPr>
          <w:t>Table of Contents</w:t>
        </w:r>
      </w:hyperlink>
    </w:p>
    <w:p>
      <w:pPr>
        <w:spacing w:after="0" w:line="200" w:lineRule="exact"/>
        <w:rPr>
          <w:sz w:val="20"/>
          <w:szCs w:val="20"/>
          <w:color w:val="auto"/>
        </w:rPr>
      </w:pPr>
    </w:p>
    <w:p>
      <w:pPr>
        <w:jc w:val="center"/>
        <w:ind w:right="-1220"/>
        <w:spacing w:after="0"/>
        <w:rPr>
          <w:sz w:val="20"/>
          <w:szCs w:val="20"/>
          <w:color w:val="auto"/>
        </w:rPr>
      </w:pPr>
      <w:r>
        <w:rPr>
          <w:rFonts w:ascii="Arial" w:cs="Arial" w:eastAsia="Arial" w:hAnsi="Arial"/>
          <w:sz w:val="12"/>
          <w:szCs w:val="12"/>
          <w:b w:val="1"/>
          <w:bCs w:val="1"/>
          <w:color w:val="auto"/>
        </w:rPr>
        <w:t>PELOTON INTERACTIVE, INC.</w:t>
      </w:r>
    </w:p>
    <w:p>
      <w:pPr>
        <w:spacing w:after="0" w:line="11" w:lineRule="exact"/>
        <w:rPr>
          <w:sz w:val="20"/>
          <w:szCs w:val="20"/>
          <w:color w:val="auto"/>
        </w:rPr>
      </w:pPr>
    </w:p>
    <w:p>
      <w:pPr>
        <w:jc w:val="center"/>
        <w:ind w:right="-1220"/>
        <w:spacing w:after="0"/>
        <w:rPr>
          <w:sz w:val="20"/>
          <w:szCs w:val="20"/>
          <w:color w:val="auto"/>
        </w:rPr>
      </w:pPr>
      <w:r>
        <w:rPr>
          <w:rFonts w:ascii="Arial" w:cs="Arial" w:eastAsia="Arial" w:hAnsi="Arial"/>
          <w:sz w:val="12"/>
          <w:szCs w:val="12"/>
          <w:b w:val="1"/>
          <w:bCs w:val="1"/>
          <w:color w:val="auto"/>
        </w:rPr>
        <w:t>NOTES TO CONSOLIDATED FINANCIAL STATEMENTS</w:t>
      </w:r>
    </w:p>
    <w:p>
      <w:pPr>
        <w:spacing w:after="0" w:line="80" w:lineRule="exact"/>
        <w:rPr>
          <w:sz w:val="20"/>
          <w:szCs w:val="20"/>
          <w:color w:val="auto"/>
        </w:rPr>
      </w:pPr>
    </w:p>
    <w:p>
      <w:pPr>
        <w:jc w:val="both"/>
        <w:ind w:left="2060" w:right="839"/>
        <w:spacing w:after="0" w:line="245" w:lineRule="auto"/>
        <w:rPr>
          <w:sz w:val="20"/>
          <w:szCs w:val="20"/>
          <w:color w:val="auto"/>
        </w:rPr>
      </w:pPr>
      <w:r>
        <w:rPr>
          <w:rFonts w:ascii="Arial" w:cs="Arial" w:eastAsia="Arial" w:hAnsi="Arial"/>
          <w:sz w:val="11"/>
          <w:szCs w:val="11"/>
          <w:color w:val="auto"/>
        </w:rPr>
        <w:t>Deferred income taxes reflect the net tax effect of temporary differences between the carrying amounts of assets and liabilities for financial reporting purposes and the amounts used for income tax purposes. Significant components of the Company’s deferred tax assets (liabilities) are as follows:</w:t>
      </w:r>
    </w:p>
    <w:p>
      <w:pPr>
        <w:spacing w:after="0" w:line="144" w:lineRule="exact"/>
        <w:rPr>
          <w:sz w:val="20"/>
          <w:szCs w:val="20"/>
          <w:color w:val="auto"/>
        </w:rPr>
      </w:pPr>
    </w:p>
    <w:tbl>
      <w:tblPr>
        <w:tblLayout w:type="fixed"/>
        <w:tblInd w:w="2060" w:type="dxa"/>
        <w:tblCellMar>
          <w:top w:w="0" w:type="dxa"/>
          <w:left w:w="0" w:type="dxa"/>
          <w:bottom w:w="0" w:type="dxa"/>
          <w:right w:w="0" w:type="dxa"/>
        </w:tblCellMar>
      </w:tblPr>
      <w:tr>
        <w:trPr>
          <w:trHeight w:val="137"/>
        </w:trPr>
        <w:tc>
          <w:tcPr>
            <w:tcW w:w="3920" w:type="dxa"/>
            <w:vAlign w:val="bottom"/>
          </w:tcPr>
          <w:p>
            <w:pPr>
              <w:spacing w:after="0"/>
              <w:rPr>
                <w:sz w:val="11"/>
                <w:szCs w:val="11"/>
                <w:color w:val="auto"/>
              </w:rPr>
            </w:pPr>
          </w:p>
        </w:tc>
        <w:tc>
          <w:tcPr>
            <w:tcW w:w="21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1"/>
                <w:szCs w:val="11"/>
                <w:b w:val="1"/>
                <w:bCs w:val="1"/>
                <w:color w:val="auto"/>
              </w:rPr>
              <w:t>June 30,</w:t>
            </w:r>
          </w:p>
        </w:tc>
        <w:tc>
          <w:tcPr>
            <w:tcW w:w="40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r>
      <w:tr>
        <w:trPr>
          <w:trHeight w:val="115"/>
        </w:trPr>
        <w:tc>
          <w:tcPr>
            <w:tcW w:w="3920" w:type="dxa"/>
            <w:vAlign w:val="bottom"/>
          </w:tcPr>
          <w:p>
            <w:pPr>
              <w:spacing w:after="0"/>
              <w:rPr>
                <w:sz w:val="10"/>
                <w:szCs w:val="10"/>
                <w:color w:val="auto"/>
              </w:rPr>
            </w:pPr>
          </w:p>
        </w:tc>
        <w:tc>
          <w:tcPr>
            <w:tcW w:w="210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jc w:val="right"/>
              <w:ind w:right="66"/>
              <w:spacing w:after="0" w:line="115" w:lineRule="exact"/>
              <w:rPr>
                <w:sz w:val="20"/>
                <w:szCs w:val="20"/>
                <w:color w:val="auto"/>
              </w:rPr>
            </w:pPr>
            <w:r>
              <w:rPr>
                <w:rFonts w:ascii="Arial" w:cs="Arial" w:eastAsia="Arial" w:hAnsi="Arial"/>
                <w:sz w:val="11"/>
                <w:szCs w:val="11"/>
                <w:b w:val="1"/>
                <w:bCs w:val="1"/>
                <w:color w:val="auto"/>
              </w:rPr>
              <w:t>2018</w:t>
            </w:r>
          </w:p>
        </w:tc>
        <w:tc>
          <w:tcPr>
            <w:tcW w:w="16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jc w:val="right"/>
              <w:ind w:right="66"/>
              <w:spacing w:after="0" w:line="115" w:lineRule="exact"/>
              <w:rPr>
                <w:sz w:val="20"/>
                <w:szCs w:val="20"/>
                <w:color w:val="auto"/>
              </w:rPr>
            </w:pPr>
            <w:r>
              <w:rPr>
                <w:rFonts w:ascii="Arial" w:cs="Arial" w:eastAsia="Arial" w:hAnsi="Arial"/>
                <w:sz w:val="11"/>
                <w:szCs w:val="11"/>
                <w:b w:val="1"/>
                <w:bCs w:val="1"/>
                <w:color w:val="auto"/>
              </w:rPr>
              <w:t>2019</w:t>
            </w:r>
          </w:p>
        </w:tc>
        <w:tc>
          <w:tcPr>
            <w:tcW w:w="80" w:type="dxa"/>
            <w:vAlign w:val="bottom"/>
          </w:tcPr>
          <w:p>
            <w:pPr>
              <w:spacing w:after="0"/>
              <w:rPr>
                <w:sz w:val="10"/>
                <w:szCs w:val="10"/>
                <w:color w:val="auto"/>
              </w:rPr>
            </w:pPr>
          </w:p>
        </w:tc>
      </w:tr>
      <w:tr>
        <w:trPr>
          <w:trHeight w:val="115"/>
        </w:trPr>
        <w:tc>
          <w:tcPr>
            <w:tcW w:w="3920" w:type="dxa"/>
            <w:vAlign w:val="bottom"/>
          </w:tcPr>
          <w:p>
            <w:pPr>
              <w:spacing w:after="0"/>
              <w:rPr>
                <w:sz w:val="10"/>
                <w:szCs w:val="10"/>
                <w:color w:val="auto"/>
              </w:rPr>
            </w:pPr>
          </w:p>
        </w:tc>
        <w:tc>
          <w:tcPr>
            <w:tcW w:w="2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80" w:type="dxa"/>
            <w:vAlign w:val="bottom"/>
            <w:gridSpan w:val="5"/>
          </w:tcPr>
          <w:p>
            <w:pPr>
              <w:jc w:val="right"/>
              <w:ind w:right="286"/>
              <w:spacing w:after="0" w:line="115" w:lineRule="exact"/>
              <w:rPr>
                <w:sz w:val="20"/>
                <w:szCs w:val="20"/>
                <w:color w:val="auto"/>
              </w:rPr>
            </w:pPr>
            <w:r>
              <w:rPr>
                <w:rFonts w:ascii="Arial" w:cs="Arial" w:eastAsia="Arial" w:hAnsi="Arial"/>
                <w:sz w:val="11"/>
                <w:szCs w:val="11"/>
                <w:b w:val="1"/>
                <w:bCs w:val="1"/>
                <w:color w:val="auto"/>
              </w:rPr>
              <w:t>(in millions)</w:t>
            </w:r>
          </w:p>
        </w:tc>
        <w:tc>
          <w:tcPr>
            <w:tcW w:w="80" w:type="dxa"/>
            <w:vAlign w:val="bottom"/>
          </w:tcPr>
          <w:p>
            <w:pPr>
              <w:spacing w:after="0"/>
              <w:rPr>
                <w:sz w:val="10"/>
                <w:szCs w:val="10"/>
                <w:color w:val="auto"/>
              </w:rPr>
            </w:pPr>
          </w:p>
        </w:tc>
      </w:tr>
      <w:tr>
        <w:trPr>
          <w:trHeight w:val="126"/>
        </w:trPr>
        <w:tc>
          <w:tcPr>
            <w:tcW w:w="3920" w:type="dxa"/>
            <w:vAlign w:val="bottom"/>
            <w:shd w:val="clear" w:color="auto" w:fill="CCEEFF"/>
          </w:tcPr>
          <w:p>
            <w:pPr>
              <w:spacing w:after="0"/>
              <w:rPr>
                <w:sz w:val="20"/>
                <w:szCs w:val="20"/>
                <w:color w:val="auto"/>
              </w:rPr>
            </w:pPr>
            <w:r>
              <w:rPr>
                <w:rFonts w:ascii="Arial" w:cs="Arial" w:eastAsia="Arial" w:hAnsi="Arial"/>
                <w:sz w:val="11"/>
                <w:szCs w:val="11"/>
                <w:color w:val="auto"/>
              </w:rPr>
              <w:t>Deferred tax assets:</w:t>
            </w:r>
          </w:p>
        </w:tc>
        <w:tc>
          <w:tcPr>
            <w:tcW w:w="2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r>
      <w:tr>
        <w:trPr>
          <w:trHeight w:val="126"/>
        </w:trPr>
        <w:tc>
          <w:tcPr>
            <w:tcW w:w="3920" w:type="dxa"/>
            <w:vAlign w:val="bottom"/>
          </w:tcPr>
          <w:p>
            <w:pPr>
              <w:ind w:left="100"/>
              <w:spacing w:after="0"/>
              <w:rPr>
                <w:sz w:val="20"/>
                <w:szCs w:val="20"/>
                <w:color w:val="auto"/>
              </w:rPr>
            </w:pPr>
            <w:r>
              <w:rPr>
                <w:rFonts w:ascii="Arial" w:cs="Arial" w:eastAsia="Arial" w:hAnsi="Arial"/>
                <w:sz w:val="11"/>
                <w:szCs w:val="11"/>
                <w:color w:val="auto"/>
              </w:rPr>
              <w:t>Net operating loss</w:t>
            </w:r>
          </w:p>
        </w:tc>
        <w:tc>
          <w:tcPr>
            <w:tcW w:w="2180" w:type="dxa"/>
            <w:vAlign w:val="bottom"/>
            <w:gridSpan w:val="2"/>
          </w:tcPr>
          <w:p>
            <w:pPr>
              <w:jc w:val="right"/>
              <w:ind w:right="20"/>
              <w:spacing w:after="0"/>
              <w:rPr>
                <w:sz w:val="20"/>
                <w:szCs w:val="20"/>
                <w:color w:val="auto"/>
              </w:rPr>
            </w:pPr>
            <w:r>
              <w:rPr>
                <w:rFonts w:ascii="Arial" w:cs="Arial" w:eastAsia="Arial" w:hAnsi="Arial"/>
                <w:sz w:val="11"/>
                <w:szCs w:val="11"/>
                <w:color w:val="auto"/>
              </w:rPr>
              <w:t>$</w:t>
            </w:r>
          </w:p>
        </w:tc>
        <w:tc>
          <w:tcPr>
            <w:tcW w:w="400" w:type="dxa"/>
            <w:vAlign w:val="bottom"/>
          </w:tcPr>
          <w:p>
            <w:pPr>
              <w:jc w:val="right"/>
              <w:spacing w:after="0"/>
              <w:rPr>
                <w:sz w:val="20"/>
                <w:szCs w:val="20"/>
                <w:color w:val="auto"/>
              </w:rPr>
            </w:pPr>
            <w:r>
              <w:rPr>
                <w:rFonts w:ascii="Arial" w:cs="Arial" w:eastAsia="Arial" w:hAnsi="Arial"/>
                <w:sz w:val="11"/>
                <w:szCs w:val="11"/>
                <w:color w:val="auto"/>
              </w:rPr>
              <w:t>28.9</w:t>
            </w:r>
          </w:p>
        </w:tc>
        <w:tc>
          <w:tcPr>
            <w:tcW w:w="160" w:type="dxa"/>
            <w:vAlign w:val="bottom"/>
          </w:tcPr>
          <w:p>
            <w:pPr>
              <w:spacing w:after="0"/>
              <w:rPr>
                <w:sz w:val="10"/>
                <w:szCs w:val="10"/>
                <w:color w:val="auto"/>
              </w:rPr>
            </w:pPr>
          </w:p>
        </w:tc>
        <w:tc>
          <w:tcPr>
            <w:tcW w:w="220" w:type="dxa"/>
            <w:vAlign w:val="bottom"/>
            <w:gridSpan w:val="2"/>
          </w:tcPr>
          <w:p>
            <w:pPr>
              <w:jc w:val="right"/>
              <w:ind w:right="20"/>
              <w:spacing w:after="0"/>
              <w:rPr>
                <w:sz w:val="20"/>
                <w:szCs w:val="20"/>
                <w:color w:val="auto"/>
              </w:rPr>
            </w:pPr>
            <w:r>
              <w:rPr>
                <w:rFonts w:ascii="Arial" w:cs="Arial" w:eastAsia="Arial" w:hAnsi="Arial"/>
                <w:sz w:val="11"/>
                <w:szCs w:val="11"/>
                <w:color w:val="auto"/>
              </w:rPr>
              <w:t>$</w:t>
            </w:r>
          </w:p>
        </w:tc>
        <w:tc>
          <w:tcPr>
            <w:tcW w:w="400" w:type="dxa"/>
            <w:vAlign w:val="bottom"/>
          </w:tcPr>
          <w:p>
            <w:pPr>
              <w:jc w:val="right"/>
              <w:spacing w:after="0"/>
              <w:rPr>
                <w:sz w:val="20"/>
                <w:szCs w:val="20"/>
                <w:color w:val="auto"/>
              </w:rPr>
            </w:pPr>
            <w:r>
              <w:rPr>
                <w:rFonts w:ascii="Arial" w:cs="Arial" w:eastAsia="Arial" w:hAnsi="Arial"/>
                <w:sz w:val="11"/>
                <w:szCs w:val="11"/>
                <w:color w:val="auto"/>
              </w:rPr>
              <w:t>34.4</w:t>
            </w:r>
          </w:p>
        </w:tc>
        <w:tc>
          <w:tcPr>
            <w:tcW w:w="80" w:type="dxa"/>
            <w:vAlign w:val="bottom"/>
          </w:tcPr>
          <w:p>
            <w:pPr>
              <w:spacing w:after="0"/>
              <w:rPr>
                <w:sz w:val="10"/>
                <w:szCs w:val="10"/>
                <w:color w:val="auto"/>
              </w:rPr>
            </w:pPr>
          </w:p>
        </w:tc>
      </w:tr>
      <w:tr>
        <w:trPr>
          <w:trHeight w:val="126"/>
        </w:trPr>
        <w:tc>
          <w:tcPr>
            <w:tcW w:w="3920" w:type="dxa"/>
            <w:vAlign w:val="bottom"/>
            <w:shd w:val="clear" w:color="auto" w:fill="CCEEFF"/>
          </w:tcPr>
          <w:p>
            <w:pPr>
              <w:ind w:left="100"/>
              <w:spacing w:after="0"/>
              <w:rPr>
                <w:sz w:val="20"/>
                <w:szCs w:val="20"/>
                <w:color w:val="auto"/>
              </w:rPr>
            </w:pPr>
            <w:r>
              <w:rPr>
                <w:rFonts w:ascii="Arial" w:cs="Arial" w:eastAsia="Arial" w:hAnsi="Arial"/>
                <w:sz w:val="11"/>
                <w:szCs w:val="11"/>
                <w:color w:val="auto"/>
              </w:rPr>
              <w:t>Accruals and reserves</w:t>
            </w:r>
          </w:p>
        </w:tc>
        <w:tc>
          <w:tcPr>
            <w:tcW w:w="2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4.2</w:t>
            </w:r>
          </w:p>
        </w:tc>
        <w:tc>
          <w:tcPr>
            <w:tcW w:w="1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10.0</w:t>
            </w:r>
          </w:p>
        </w:tc>
        <w:tc>
          <w:tcPr>
            <w:tcW w:w="80" w:type="dxa"/>
            <w:vAlign w:val="bottom"/>
            <w:shd w:val="clear" w:color="auto" w:fill="CCEEFF"/>
          </w:tcPr>
          <w:p>
            <w:pPr>
              <w:spacing w:after="0"/>
              <w:rPr>
                <w:sz w:val="10"/>
                <w:szCs w:val="10"/>
                <w:color w:val="auto"/>
              </w:rPr>
            </w:pPr>
          </w:p>
        </w:tc>
      </w:tr>
      <w:tr>
        <w:trPr>
          <w:trHeight w:val="126"/>
        </w:trPr>
        <w:tc>
          <w:tcPr>
            <w:tcW w:w="3920" w:type="dxa"/>
            <w:vAlign w:val="bottom"/>
          </w:tcPr>
          <w:p>
            <w:pPr>
              <w:ind w:left="100"/>
              <w:spacing w:after="0"/>
              <w:rPr>
                <w:sz w:val="20"/>
                <w:szCs w:val="20"/>
                <w:color w:val="auto"/>
              </w:rPr>
            </w:pPr>
            <w:r>
              <w:rPr>
                <w:rFonts w:ascii="Arial" w:cs="Arial" w:eastAsia="Arial" w:hAnsi="Arial"/>
                <w:sz w:val="11"/>
                <w:szCs w:val="11"/>
                <w:color w:val="auto"/>
              </w:rPr>
              <w:t>R&amp;D credit</w:t>
            </w:r>
          </w:p>
        </w:tc>
        <w:tc>
          <w:tcPr>
            <w:tcW w:w="2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jc w:val="right"/>
              <w:spacing w:after="0"/>
              <w:rPr>
                <w:sz w:val="20"/>
                <w:szCs w:val="20"/>
                <w:color w:val="auto"/>
              </w:rPr>
            </w:pPr>
            <w:r>
              <w:rPr>
                <w:rFonts w:ascii="Arial" w:cs="Arial" w:eastAsia="Arial" w:hAnsi="Arial"/>
                <w:sz w:val="11"/>
                <w:szCs w:val="11"/>
                <w:color w:val="auto"/>
              </w:rPr>
              <w:t>2.8</w:t>
            </w: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jc w:val="right"/>
              <w:spacing w:after="0"/>
              <w:rPr>
                <w:sz w:val="20"/>
                <w:szCs w:val="20"/>
                <w:color w:val="auto"/>
              </w:rPr>
            </w:pPr>
            <w:r>
              <w:rPr>
                <w:rFonts w:ascii="Arial" w:cs="Arial" w:eastAsia="Arial" w:hAnsi="Arial"/>
                <w:sz w:val="11"/>
                <w:szCs w:val="11"/>
                <w:color w:val="auto"/>
              </w:rPr>
              <w:t>7.7</w:t>
            </w:r>
          </w:p>
        </w:tc>
        <w:tc>
          <w:tcPr>
            <w:tcW w:w="80" w:type="dxa"/>
            <w:vAlign w:val="bottom"/>
          </w:tcPr>
          <w:p>
            <w:pPr>
              <w:spacing w:after="0"/>
              <w:rPr>
                <w:sz w:val="10"/>
                <w:szCs w:val="10"/>
                <w:color w:val="auto"/>
              </w:rPr>
            </w:pPr>
          </w:p>
        </w:tc>
      </w:tr>
      <w:tr>
        <w:trPr>
          <w:trHeight w:val="126"/>
        </w:trPr>
        <w:tc>
          <w:tcPr>
            <w:tcW w:w="3920" w:type="dxa"/>
            <w:vAlign w:val="bottom"/>
            <w:shd w:val="clear" w:color="auto" w:fill="CCEEFF"/>
          </w:tcPr>
          <w:p>
            <w:pPr>
              <w:ind w:left="100"/>
              <w:spacing w:after="0"/>
              <w:rPr>
                <w:sz w:val="20"/>
                <w:szCs w:val="20"/>
                <w:color w:val="auto"/>
              </w:rPr>
            </w:pPr>
            <w:r>
              <w:rPr>
                <w:rFonts w:ascii="Arial" w:cs="Arial" w:eastAsia="Arial" w:hAnsi="Arial"/>
                <w:sz w:val="11"/>
                <w:szCs w:val="11"/>
                <w:color w:val="auto"/>
              </w:rPr>
              <w:t>Accrued legal and professional fees</w:t>
            </w:r>
          </w:p>
        </w:tc>
        <w:tc>
          <w:tcPr>
            <w:tcW w:w="2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4.0</w:t>
            </w:r>
          </w:p>
        </w:tc>
        <w:tc>
          <w:tcPr>
            <w:tcW w:w="1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4.8</w:t>
            </w:r>
          </w:p>
        </w:tc>
        <w:tc>
          <w:tcPr>
            <w:tcW w:w="80" w:type="dxa"/>
            <w:vAlign w:val="bottom"/>
            <w:shd w:val="clear" w:color="auto" w:fill="CCEEFF"/>
          </w:tcPr>
          <w:p>
            <w:pPr>
              <w:spacing w:after="0"/>
              <w:rPr>
                <w:sz w:val="10"/>
                <w:szCs w:val="10"/>
                <w:color w:val="auto"/>
              </w:rPr>
            </w:pPr>
          </w:p>
        </w:tc>
      </w:tr>
      <w:tr>
        <w:trPr>
          <w:trHeight w:val="126"/>
        </w:trPr>
        <w:tc>
          <w:tcPr>
            <w:tcW w:w="3920" w:type="dxa"/>
            <w:vAlign w:val="bottom"/>
          </w:tcPr>
          <w:p>
            <w:pPr>
              <w:ind w:left="100"/>
              <w:spacing w:after="0"/>
              <w:rPr>
                <w:sz w:val="20"/>
                <w:szCs w:val="20"/>
                <w:color w:val="auto"/>
              </w:rPr>
            </w:pPr>
            <w:r>
              <w:rPr>
                <w:rFonts w:ascii="Arial" w:cs="Arial" w:eastAsia="Arial" w:hAnsi="Arial"/>
                <w:sz w:val="11"/>
                <w:szCs w:val="11"/>
                <w:color w:val="auto"/>
              </w:rPr>
              <w:t>Non-qualified stock options</w:t>
            </w:r>
          </w:p>
        </w:tc>
        <w:tc>
          <w:tcPr>
            <w:tcW w:w="2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jc w:val="right"/>
              <w:spacing w:after="0"/>
              <w:rPr>
                <w:sz w:val="20"/>
                <w:szCs w:val="20"/>
                <w:color w:val="auto"/>
              </w:rPr>
            </w:pPr>
            <w:r>
              <w:rPr>
                <w:rFonts w:ascii="Arial" w:cs="Arial" w:eastAsia="Arial" w:hAnsi="Arial"/>
                <w:sz w:val="11"/>
                <w:szCs w:val="11"/>
                <w:color w:val="auto"/>
              </w:rPr>
              <w:t>1.4</w:t>
            </w: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jc w:val="right"/>
              <w:spacing w:after="0"/>
              <w:rPr>
                <w:sz w:val="20"/>
                <w:szCs w:val="20"/>
                <w:color w:val="auto"/>
              </w:rPr>
            </w:pPr>
            <w:r>
              <w:rPr>
                <w:rFonts w:ascii="Arial" w:cs="Arial" w:eastAsia="Arial" w:hAnsi="Arial"/>
                <w:sz w:val="11"/>
                <w:szCs w:val="11"/>
                <w:color w:val="auto"/>
              </w:rPr>
              <w:t>8.8</w:t>
            </w:r>
          </w:p>
        </w:tc>
        <w:tc>
          <w:tcPr>
            <w:tcW w:w="80" w:type="dxa"/>
            <w:vAlign w:val="bottom"/>
          </w:tcPr>
          <w:p>
            <w:pPr>
              <w:spacing w:after="0"/>
              <w:rPr>
                <w:sz w:val="10"/>
                <w:szCs w:val="10"/>
                <w:color w:val="auto"/>
              </w:rPr>
            </w:pPr>
          </w:p>
        </w:tc>
      </w:tr>
      <w:tr>
        <w:trPr>
          <w:trHeight w:val="126"/>
        </w:trPr>
        <w:tc>
          <w:tcPr>
            <w:tcW w:w="3920" w:type="dxa"/>
            <w:vAlign w:val="bottom"/>
            <w:shd w:val="clear" w:color="auto" w:fill="CCEEFF"/>
          </w:tcPr>
          <w:p>
            <w:pPr>
              <w:ind w:left="100"/>
              <w:spacing w:after="0"/>
              <w:rPr>
                <w:sz w:val="20"/>
                <w:szCs w:val="20"/>
                <w:color w:val="auto"/>
              </w:rPr>
            </w:pPr>
            <w:r>
              <w:rPr>
                <w:rFonts w:ascii="Arial" w:cs="Arial" w:eastAsia="Arial" w:hAnsi="Arial"/>
                <w:sz w:val="11"/>
                <w:szCs w:val="11"/>
                <w:color w:val="auto"/>
              </w:rPr>
              <w:t>Deferred rent</w:t>
            </w:r>
          </w:p>
        </w:tc>
        <w:tc>
          <w:tcPr>
            <w:tcW w:w="2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1.3</w:t>
            </w:r>
          </w:p>
        </w:tc>
        <w:tc>
          <w:tcPr>
            <w:tcW w:w="1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2.9</w:t>
            </w:r>
          </w:p>
        </w:tc>
        <w:tc>
          <w:tcPr>
            <w:tcW w:w="80" w:type="dxa"/>
            <w:vAlign w:val="bottom"/>
            <w:shd w:val="clear" w:color="auto" w:fill="CCEEFF"/>
          </w:tcPr>
          <w:p>
            <w:pPr>
              <w:spacing w:after="0"/>
              <w:rPr>
                <w:sz w:val="10"/>
                <w:szCs w:val="10"/>
                <w:color w:val="auto"/>
              </w:rPr>
            </w:pPr>
          </w:p>
        </w:tc>
      </w:tr>
      <w:tr>
        <w:trPr>
          <w:trHeight w:val="126"/>
        </w:trPr>
        <w:tc>
          <w:tcPr>
            <w:tcW w:w="3920" w:type="dxa"/>
            <w:vAlign w:val="bottom"/>
          </w:tcPr>
          <w:p>
            <w:pPr>
              <w:ind w:left="100"/>
              <w:spacing w:after="0"/>
              <w:rPr>
                <w:sz w:val="20"/>
                <w:szCs w:val="20"/>
                <w:color w:val="auto"/>
              </w:rPr>
            </w:pPr>
            <w:r>
              <w:rPr>
                <w:rFonts w:ascii="Arial" w:cs="Arial" w:eastAsia="Arial" w:hAnsi="Arial"/>
                <w:sz w:val="11"/>
                <w:szCs w:val="11"/>
                <w:color w:val="auto"/>
              </w:rPr>
              <w:t>Property and equipment</w:t>
            </w:r>
          </w:p>
        </w:tc>
        <w:tc>
          <w:tcPr>
            <w:tcW w:w="2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jc w:val="right"/>
              <w:spacing w:after="0"/>
              <w:rPr>
                <w:sz w:val="20"/>
                <w:szCs w:val="20"/>
                <w:color w:val="auto"/>
              </w:rPr>
            </w:pPr>
            <w:r>
              <w:rPr>
                <w:rFonts w:ascii="Arial" w:cs="Arial" w:eastAsia="Arial" w:hAnsi="Arial"/>
                <w:sz w:val="11"/>
                <w:szCs w:val="11"/>
                <w:color w:val="auto"/>
              </w:rPr>
              <w:t>0.9</w:t>
            </w: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jc w:val="right"/>
              <w:spacing w:after="0"/>
              <w:rPr>
                <w:sz w:val="20"/>
                <w:szCs w:val="20"/>
                <w:color w:val="auto"/>
              </w:rPr>
            </w:pPr>
            <w:r>
              <w:rPr>
                <w:rFonts w:ascii="Arial" w:cs="Arial" w:eastAsia="Arial" w:hAnsi="Arial"/>
                <w:sz w:val="11"/>
                <w:szCs w:val="11"/>
                <w:color w:val="auto"/>
              </w:rPr>
              <w:t>0.2</w:t>
            </w:r>
          </w:p>
        </w:tc>
        <w:tc>
          <w:tcPr>
            <w:tcW w:w="80" w:type="dxa"/>
            <w:vAlign w:val="bottom"/>
          </w:tcPr>
          <w:p>
            <w:pPr>
              <w:spacing w:after="0"/>
              <w:rPr>
                <w:sz w:val="10"/>
                <w:szCs w:val="10"/>
                <w:color w:val="auto"/>
              </w:rPr>
            </w:pPr>
          </w:p>
        </w:tc>
      </w:tr>
      <w:tr>
        <w:trPr>
          <w:trHeight w:val="126"/>
        </w:trPr>
        <w:tc>
          <w:tcPr>
            <w:tcW w:w="3920" w:type="dxa"/>
            <w:vAlign w:val="bottom"/>
            <w:shd w:val="clear" w:color="auto" w:fill="CCEEFF"/>
          </w:tcPr>
          <w:p>
            <w:pPr>
              <w:ind w:left="100"/>
              <w:spacing w:after="0"/>
              <w:rPr>
                <w:sz w:val="20"/>
                <w:szCs w:val="20"/>
                <w:color w:val="auto"/>
              </w:rPr>
            </w:pPr>
            <w:r>
              <w:rPr>
                <w:rFonts w:ascii="Arial" w:cs="Arial" w:eastAsia="Arial" w:hAnsi="Arial"/>
                <w:sz w:val="11"/>
                <w:szCs w:val="11"/>
                <w:color w:val="auto"/>
              </w:rPr>
              <w:t>Intangible Amortization</w:t>
            </w:r>
          </w:p>
        </w:tc>
        <w:tc>
          <w:tcPr>
            <w:tcW w:w="2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0.9</w:t>
            </w:r>
          </w:p>
        </w:tc>
        <w:tc>
          <w:tcPr>
            <w:tcW w:w="80" w:type="dxa"/>
            <w:vAlign w:val="bottom"/>
            <w:shd w:val="clear" w:color="auto" w:fill="CCEEFF"/>
          </w:tcPr>
          <w:p>
            <w:pPr>
              <w:spacing w:after="0"/>
              <w:rPr>
                <w:sz w:val="10"/>
                <w:szCs w:val="10"/>
                <w:color w:val="auto"/>
              </w:rPr>
            </w:pPr>
          </w:p>
        </w:tc>
      </w:tr>
      <w:tr>
        <w:trPr>
          <w:trHeight w:val="126"/>
        </w:trPr>
        <w:tc>
          <w:tcPr>
            <w:tcW w:w="3920" w:type="dxa"/>
            <w:vAlign w:val="bottom"/>
          </w:tcPr>
          <w:p>
            <w:pPr>
              <w:ind w:left="100"/>
              <w:spacing w:after="0"/>
              <w:rPr>
                <w:sz w:val="20"/>
                <w:szCs w:val="20"/>
                <w:color w:val="auto"/>
              </w:rPr>
            </w:pPr>
            <w:r>
              <w:rPr>
                <w:rFonts w:ascii="Arial" w:cs="Arial" w:eastAsia="Arial" w:hAnsi="Arial"/>
                <w:sz w:val="11"/>
                <w:szCs w:val="11"/>
                <w:color w:val="auto"/>
              </w:rPr>
              <w:t>Inventory capitalization</w:t>
            </w:r>
          </w:p>
        </w:tc>
        <w:tc>
          <w:tcPr>
            <w:tcW w:w="2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jc w:val="right"/>
              <w:spacing w:after="0"/>
              <w:rPr>
                <w:sz w:val="20"/>
                <w:szCs w:val="20"/>
                <w:color w:val="auto"/>
              </w:rPr>
            </w:pPr>
            <w:r>
              <w:rPr>
                <w:rFonts w:ascii="Arial" w:cs="Arial" w:eastAsia="Arial" w:hAnsi="Arial"/>
                <w:sz w:val="11"/>
                <w:szCs w:val="11"/>
                <w:color w:val="auto"/>
              </w:rPr>
              <w:t>0.8</w:t>
            </w: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jc w:val="right"/>
              <w:spacing w:after="0"/>
              <w:rPr>
                <w:sz w:val="20"/>
                <w:szCs w:val="20"/>
                <w:color w:val="auto"/>
              </w:rPr>
            </w:pPr>
            <w:r>
              <w:rPr>
                <w:rFonts w:ascii="Arial" w:cs="Arial" w:eastAsia="Arial" w:hAnsi="Arial"/>
                <w:sz w:val="11"/>
                <w:szCs w:val="11"/>
                <w:color w:val="auto"/>
              </w:rPr>
              <w:t>5.0</w:t>
            </w:r>
          </w:p>
        </w:tc>
        <w:tc>
          <w:tcPr>
            <w:tcW w:w="80" w:type="dxa"/>
            <w:vAlign w:val="bottom"/>
          </w:tcPr>
          <w:p>
            <w:pPr>
              <w:spacing w:after="0"/>
              <w:rPr>
                <w:sz w:val="10"/>
                <w:szCs w:val="10"/>
                <w:color w:val="auto"/>
              </w:rPr>
            </w:pPr>
          </w:p>
        </w:tc>
      </w:tr>
      <w:tr>
        <w:trPr>
          <w:trHeight w:val="126"/>
        </w:trPr>
        <w:tc>
          <w:tcPr>
            <w:tcW w:w="3920" w:type="dxa"/>
            <w:vAlign w:val="bottom"/>
            <w:shd w:val="clear" w:color="auto" w:fill="CCEEFF"/>
          </w:tcPr>
          <w:p>
            <w:pPr>
              <w:ind w:left="100"/>
              <w:spacing w:after="0"/>
              <w:rPr>
                <w:sz w:val="20"/>
                <w:szCs w:val="20"/>
                <w:color w:val="auto"/>
              </w:rPr>
            </w:pPr>
            <w:r>
              <w:rPr>
                <w:rFonts w:ascii="Arial" w:cs="Arial" w:eastAsia="Arial" w:hAnsi="Arial"/>
                <w:sz w:val="11"/>
                <w:szCs w:val="11"/>
                <w:color w:val="auto"/>
              </w:rPr>
              <w:t>Deferred revenue</w:t>
            </w:r>
          </w:p>
        </w:tc>
        <w:tc>
          <w:tcPr>
            <w:tcW w:w="2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1.0</w:t>
            </w:r>
          </w:p>
        </w:tc>
        <w:tc>
          <w:tcPr>
            <w:tcW w:w="1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10.4</w:t>
            </w:r>
          </w:p>
        </w:tc>
        <w:tc>
          <w:tcPr>
            <w:tcW w:w="80" w:type="dxa"/>
            <w:vAlign w:val="bottom"/>
            <w:shd w:val="clear" w:color="auto" w:fill="CCEEFF"/>
          </w:tcPr>
          <w:p>
            <w:pPr>
              <w:spacing w:after="0"/>
              <w:rPr>
                <w:sz w:val="10"/>
                <w:szCs w:val="10"/>
                <w:color w:val="auto"/>
              </w:rPr>
            </w:pPr>
          </w:p>
        </w:tc>
      </w:tr>
      <w:tr>
        <w:trPr>
          <w:trHeight w:val="126"/>
        </w:trPr>
        <w:tc>
          <w:tcPr>
            <w:tcW w:w="3920" w:type="dxa"/>
            <w:vAlign w:val="bottom"/>
          </w:tcPr>
          <w:p>
            <w:pPr>
              <w:ind w:left="100"/>
              <w:spacing w:after="0"/>
              <w:rPr>
                <w:sz w:val="20"/>
                <w:szCs w:val="20"/>
                <w:color w:val="auto"/>
              </w:rPr>
            </w:pPr>
            <w:r>
              <w:rPr>
                <w:rFonts w:ascii="Arial" w:cs="Arial" w:eastAsia="Arial" w:hAnsi="Arial"/>
                <w:sz w:val="11"/>
                <w:szCs w:val="11"/>
                <w:color w:val="auto"/>
              </w:rPr>
              <w:t>Tenant improvement allowance</w:t>
            </w:r>
          </w:p>
        </w:tc>
        <w:tc>
          <w:tcPr>
            <w:tcW w:w="2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jc w:val="right"/>
              <w:spacing w:after="0"/>
              <w:rPr>
                <w:sz w:val="20"/>
                <w:szCs w:val="20"/>
                <w:color w:val="auto"/>
              </w:rPr>
            </w:pPr>
            <w:r>
              <w:rPr>
                <w:rFonts w:ascii="Arial" w:cs="Arial" w:eastAsia="Arial" w:hAnsi="Arial"/>
                <w:sz w:val="11"/>
                <w:szCs w:val="11"/>
                <w:color w:val="auto"/>
              </w:rPr>
              <w:t>2.9</w:t>
            </w:r>
          </w:p>
        </w:tc>
        <w:tc>
          <w:tcPr>
            <w:tcW w:w="80" w:type="dxa"/>
            <w:vAlign w:val="bottom"/>
          </w:tcPr>
          <w:p>
            <w:pPr>
              <w:spacing w:after="0"/>
              <w:rPr>
                <w:sz w:val="10"/>
                <w:szCs w:val="10"/>
                <w:color w:val="auto"/>
              </w:rPr>
            </w:pPr>
          </w:p>
        </w:tc>
      </w:tr>
      <w:tr>
        <w:trPr>
          <w:trHeight w:val="126"/>
        </w:trPr>
        <w:tc>
          <w:tcPr>
            <w:tcW w:w="3920" w:type="dxa"/>
            <w:vAlign w:val="bottom"/>
            <w:shd w:val="clear" w:color="auto" w:fill="CCEEFF"/>
          </w:tcPr>
          <w:p>
            <w:pPr>
              <w:ind w:left="100"/>
              <w:spacing w:after="0"/>
              <w:rPr>
                <w:sz w:val="20"/>
                <w:szCs w:val="20"/>
                <w:color w:val="auto"/>
              </w:rPr>
            </w:pPr>
            <w:r>
              <w:rPr>
                <w:rFonts w:ascii="Arial" w:cs="Arial" w:eastAsia="Arial" w:hAnsi="Arial"/>
                <w:sz w:val="11"/>
                <w:szCs w:val="11"/>
                <w:color w:val="auto"/>
              </w:rPr>
              <w:t>Other</w:t>
            </w:r>
          </w:p>
        </w:tc>
        <w:tc>
          <w:tcPr>
            <w:tcW w:w="2100" w:type="dxa"/>
            <w:vAlign w:val="bottom"/>
            <w:shd w:val="clear" w:color="auto" w:fill="CCEEFF"/>
          </w:tcPr>
          <w:p>
            <w:pPr>
              <w:spacing w:after="0"/>
              <w:rPr>
                <w:sz w:val="10"/>
                <w:szCs w:val="10"/>
                <w:color w:val="auto"/>
              </w:rPr>
            </w:pPr>
          </w:p>
        </w:tc>
        <w:tc>
          <w:tcPr>
            <w:tcW w:w="80" w:type="dxa"/>
            <w:vAlign w:val="bottom"/>
            <w:tcBorders>
              <w:bottom w:val="single" w:sz="8" w:color="auto"/>
            </w:tcBorders>
            <w:shd w:val="clear" w:color="auto" w:fill="CCEEFF"/>
          </w:tcPr>
          <w:p>
            <w:pPr>
              <w:spacing w:after="0"/>
              <w:rPr>
                <w:sz w:val="10"/>
                <w:szCs w:val="10"/>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0.5</w:t>
            </w:r>
          </w:p>
        </w:tc>
        <w:tc>
          <w:tcPr>
            <w:tcW w:w="1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tcBorders>
              <w:bottom w:val="single" w:sz="8" w:color="auto"/>
            </w:tcBorders>
            <w:shd w:val="clear" w:color="auto" w:fill="CCEEFF"/>
          </w:tcPr>
          <w:p>
            <w:pPr>
              <w:spacing w:after="0"/>
              <w:rPr>
                <w:sz w:val="10"/>
                <w:szCs w:val="10"/>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0.6</w:t>
            </w:r>
          </w:p>
        </w:tc>
        <w:tc>
          <w:tcPr>
            <w:tcW w:w="80" w:type="dxa"/>
            <w:vAlign w:val="bottom"/>
            <w:shd w:val="clear" w:color="auto" w:fill="CCEEFF"/>
          </w:tcPr>
          <w:p>
            <w:pPr>
              <w:spacing w:after="0"/>
              <w:rPr>
                <w:sz w:val="10"/>
                <w:szCs w:val="10"/>
                <w:color w:val="auto"/>
              </w:rPr>
            </w:pPr>
          </w:p>
        </w:tc>
      </w:tr>
      <w:tr>
        <w:trPr>
          <w:trHeight w:val="124"/>
        </w:trPr>
        <w:tc>
          <w:tcPr>
            <w:tcW w:w="3920" w:type="dxa"/>
            <w:vAlign w:val="bottom"/>
          </w:tcPr>
          <w:p>
            <w:pPr>
              <w:spacing w:after="0" w:line="124" w:lineRule="exact"/>
              <w:rPr>
                <w:sz w:val="20"/>
                <w:szCs w:val="20"/>
                <w:color w:val="auto"/>
              </w:rPr>
            </w:pPr>
            <w:r>
              <w:rPr>
                <w:rFonts w:ascii="Arial" w:cs="Arial" w:eastAsia="Arial" w:hAnsi="Arial"/>
                <w:sz w:val="11"/>
                <w:szCs w:val="11"/>
                <w:color w:val="auto"/>
              </w:rPr>
              <w:t>Total deferred tax assets</w:t>
            </w:r>
          </w:p>
        </w:tc>
        <w:tc>
          <w:tcPr>
            <w:tcW w:w="2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jc w:val="right"/>
              <w:spacing w:after="0" w:line="124" w:lineRule="exact"/>
              <w:rPr>
                <w:sz w:val="20"/>
                <w:szCs w:val="20"/>
                <w:color w:val="auto"/>
              </w:rPr>
            </w:pPr>
            <w:r>
              <w:rPr>
                <w:rFonts w:ascii="Arial" w:cs="Arial" w:eastAsia="Arial" w:hAnsi="Arial"/>
                <w:sz w:val="11"/>
                <w:szCs w:val="11"/>
                <w:color w:val="auto"/>
              </w:rPr>
              <w:t>45.9</w:t>
            </w: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jc w:val="right"/>
              <w:spacing w:after="0" w:line="124" w:lineRule="exact"/>
              <w:rPr>
                <w:sz w:val="20"/>
                <w:szCs w:val="20"/>
                <w:color w:val="auto"/>
              </w:rPr>
            </w:pPr>
            <w:r>
              <w:rPr>
                <w:rFonts w:ascii="Arial" w:cs="Arial" w:eastAsia="Arial" w:hAnsi="Arial"/>
                <w:sz w:val="11"/>
                <w:szCs w:val="11"/>
                <w:color w:val="auto"/>
              </w:rPr>
              <w:t>88.5</w:t>
            </w:r>
          </w:p>
        </w:tc>
        <w:tc>
          <w:tcPr>
            <w:tcW w:w="80" w:type="dxa"/>
            <w:vAlign w:val="bottom"/>
          </w:tcPr>
          <w:p>
            <w:pPr>
              <w:spacing w:after="0"/>
              <w:rPr>
                <w:sz w:val="10"/>
                <w:szCs w:val="10"/>
                <w:color w:val="auto"/>
              </w:rPr>
            </w:pPr>
          </w:p>
        </w:tc>
      </w:tr>
      <w:tr>
        <w:trPr>
          <w:trHeight w:val="126"/>
        </w:trPr>
        <w:tc>
          <w:tcPr>
            <w:tcW w:w="3920" w:type="dxa"/>
            <w:vAlign w:val="bottom"/>
            <w:shd w:val="clear" w:color="auto" w:fill="CCEEFF"/>
          </w:tcPr>
          <w:p>
            <w:pPr>
              <w:spacing w:after="0"/>
              <w:rPr>
                <w:sz w:val="20"/>
                <w:szCs w:val="20"/>
                <w:color w:val="auto"/>
              </w:rPr>
            </w:pPr>
            <w:r>
              <w:rPr>
                <w:rFonts w:ascii="Arial" w:cs="Arial" w:eastAsia="Arial" w:hAnsi="Arial"/>
                <w:sz w:val="11"/>
                <w:szCs w:val="11"/>
                <w:color w:val="auto"/>
              </w:rPr>
              <w:t>Valuation allowance</w:t>
            </w:r>
          </w:p>
        </w:tc>
        <w:tc>
          <w:tcPr>
            <w:tcW w:w="2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(45.9)</w:t>
            </w: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(86.9)</w:t>
            </w:r>
          </w:p>
        </w:tc>
      </w:tr>
      <w:tr>
        <w:trPr>
          <w:trHeight w:val="124"/>
        </w:trPr>
        <w:tc>
          <w:tcPr>
            <w:tcW w:w="3920" w:type="dxa"/>
            <w:vAlign w:val="bottom"/>
          </w:tcPr>
          <w:p>
            <w:pPr>
              <w:spacing w:after="0" w:line="124" w:lineRule="exact"/>
              <w:rPr>
                <w:sz w:val="20"/>
                <w:szCs w:val="20"/>
                <w:color w:val="auto"/>
              </w:rPr>
            </w:pPr>
            <w:r>
              <w:rPr>
                <w:rFonts w:ascii="Arial" w:cs="Arial" w:eastAsia="Arial" w:hAnsi="Arial"/>
                <w:sz w:val="11"/>
                <w:szCs w:val="11"/>
                <w:color w:val="auto"/>
              </w:rPr>
              <w:t>Deferred tax liabilities:</w:t>
            </w:r>
          </w:p>
        </w:tc>
        <w:tc>
          <w:tcPr>
            <w:tcW w:w="210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40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40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r>
      <w:tr>
        <w:trPr>
          <w:trHeight w:val="126"/>
        </w:trPr>
        <w:tc>
          <w:tcPr>
            <w:tcW w:w="3920" w:type="dxa"/>
            <w:vAlign w:val="bottom"/>
            <w:shd w:val="clear" w:color="auto" w:fill="CCEEFF"/>
          </w:tcPr>
          <w:p>
            <w:pPr>
              <w:ind w:left="100"/>
              <w:spacing w:after="0"/>
              <w:rPr>
                <w:sz w:val="20"/>
                <w:szCs w:val="20"/>
                <w:color w:val="auto"/>
              </w:rPr>
            </w:pPr>
            <w:r>
              <w:rPr>
                <w:rFonts w:ascii="Arial" w:cs="Arial" w:eastAsia="Arial" w:hAnsi="Arial"/>
                <w:sz w:val="11"/>
                <w:szCs w:val="11"/>
                <w:color w:val="auto"/>
              </w:rPr>
              <w:t>Prepaid expenses</w:t>
            </w:r>
          </w:p>
        </w:tc>
        <w:tc>
          <w:tcPr>
            <w:tcW w:w="2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(1.4)</w:t>
            </w:r>
          </w:p>
        </w:tc>
      </w:tr>
      <w:tr>
        <w:trPr>
          <w:trHeight w:val="20"/>
        </w:trPr>
        <w:tc>
          <w:tcPr>
            <w:tcW w:w="39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24"/>
        </w:trPr>
        <w:tc>
          <w:tcPr>
            <w:tcW w:w="3920" w:type="dxa"/>
            <w:vAlign w:val="bottom"/>
          </w:tcPr>
          <w:p>
            <w:pPr>
              <w:spacing w:after="0" w:line="124" w:lineRule="exact"/>
              <w:rPr>
                <w:sz w:val="20"/>
                <w:szCs w:val="20"/>
                <w:color w:val="auto"/>
              </w:rPr>
            </w:pPr>
            <w:r>
              <w:rPr>
                <w:rFonts w:ascii="Arial" w:cs="Arial" w:eastAsia="Arial" w:hAnsi="Arial"/>
                <w:sz w:val="11"/>
                <w:szCs w:val="11"/>
                <w:color w:val="auto"/>
              </w:rPr>
              <w:t>Total deferred tax liabilities</w:t>
            </w:r>
          </w:p>
        </w:tc>
        <w:tc>
          <w:tcPr>
            <w:tcW w:w="2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gridSpan w:val="2"/>
          </w:tcPr>
          <w:p>
            <w:pPr>
              <w:jc w:val="right"/>
              <w:ind w:right="160"/>
              <w:spacing w:after="0" w:line="124" w:lineRule="exact"/>
              <w:rPr>
                <w:sz w:val="20"/>
                <w:szCs w:val="20"/>
                <w:color w:val="auto"/>
              </w:rPr>
            </w:pPr>
            <w:r>
              <w:rPr>
                <w:rFonts w:ascii="Arial" w:cs="Arial" w:eastAsia="Arial" w:hAnsi="Arial"/>
                <w:sz w:val="11"/>
                <w:szCs w:val="11"/>
                <w:color w:val="auto"/>
              </w:rPr>
              <w:t>—</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gridSpan w:val="2"/>
          </w:tcPr>
          <w:p>
            <w:pPr>
              <w:jc w:val="right"/>
              <w:ind w:right="40"/>
              <w:spacing w:after="0" w:line="124" w:lineRule="exact"/>
              <w:rPr>
                <w:sz w:val="20"/>
                <w:szCs w:val="20"/>
                <w:color w:val="auto"/>
              </w:rPr>
            </w:pPr>
            <w:r>
              <w:rPr>
                <w:rFonts w:ascii="Arial" w:cs="Arial" w:eastAsia="Arial" w:hAnsi="Arial"/>
                <w:sz w:val="11"/>
                <w:szCs w:val="11"/>
                <w:color w:val="auto"/>
              </w:rPr>
              <w:t>(1.4)</w:t>
            </w:r>
          </w:p>
        </w:tc>
      </w:tr>
      <w:tr>
        <w:trPr>
          <w:trHeight w:val="20"/>
        </w:trPr>
        <w:tc>
          <w:tcPr>
            <w:tcW w:w="39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24"/>
        </w:trPr>
        <w:tc>
          <w:tcPr>
            <w:tcW w:w="3920" w:type="dxa"/>
            <w:vAlign w:val="bottom"/>
            <w:shd w:val="clear" w:color="auto" w:fill="CCEEFF"/>
          </w:tcPr>
          <w:p>
            <w:pPr>
              <w:spacing w:after="0" w:line="124" w:lineRule="exact"/>
              <w:rPr>
                <w:sz w:val="20"/>
                <w:szCs w:val="20"/>
                <w:color w:val="auto"/>
              </w:rPr>
            </w:pPr>
            <w:r>
              <w:rPr>
                <w:rFonts w:ascii="Arial" w:cs="Arial" w:eastAsia="Arial" w:hAnsi="Arial"/>
                <w:sz w:val="11"/>
                <w:szCs w:val="11"/>
                <w:color w:val="auto"/>
              </w:rPr>
              <w:t>Deferred tax assets, net</w:t>
            </w:r>
          </w:p>
        </w:tc>
        <w:tc>
          <w:tcPr>
            <w:tcW w:w="2180" w:type="dxa"/>
            <w:vAlign w:val="bottom"/>
            <w:gridSpan w:val="2"/>
            <w:shd w:val="clear" w:color="auto" w:fill="CCEEFF"/>
          </w:tcPr>
          <w:p>
            <w:pPr>
              <w:jc w:val="right"/>
              <w:ind w:right="20"/>
              <w:spacing w:after="0" w:line="124" w:lineRule="exact"/>
              <w:rPr>
                <w:sz w:val="20"/>
                <w:szCs w:val="20"/>
                <w:color w:val="auto"/>
              </w:rPr>
            </w:pPr>
            <w:r>
              <w:rPr>
                <w:rFonts w:ascii="Arial" w:cs="Arial" w:eastAsia="Arial" w:hAnsi="Arial"/>
                <w:sz w:val="11"/>
                <w:szCs w:val="11"/>
                <w:color w:val="auto"/>
              </w:rPr>
              <w:t>$</w:t>
            </w:r>
          </w:p>
        </w:tc>
        <w:tc>
          <w:tcPr>
            <w:tcW w:w="560" w:type="dxa"/>
            <w:vAlign w:val="bottom"/>
            <w:gridSpan w:val="2"/>
            <w:shd w:val="clear" w:color="auto" w:fill="CCEEFF"/>
          </w:tcPr>
          <w:p>
            <w:pPr>
              <w:jc w:val="right"/>
              <w:ind w:right="160"/>
              <w:spacing w:after="0" w:line="124" w:lineRule="exact"/>
              <w:rPr>
                <w:sz w:val="20"/>
                <w:szCs w:val="20"/>
                <w:color w:val="auto"/>
              </w:rPr>
            </w:pPr>
            <w:r>
              <w:rPr>
                <w:rFonts w:ascii="Arial" w:cs="Arial" w:eastAsia="Arial" w:hAnsi="Arial"/>
                <w:sz w:val="11"/>
                <w:szCs w:val="11"/>
                <w:color w:val="auto"/>
              </w:rPr>
              <w:t>—</w:t>
            </w:r>
          </w:p>
        </w:tc>
        <w:tc>
          <w:tcPr>
            <w:tcW w:w="220" w:type="dxa"/>
            <w:vAlign w:val="bottom"/>
            <w:gridSpan w:val="2"/>
            <w:shd w:val="clear" w:color="auto" w:fill="CCEEFF"/>
          </w:tcPr>
          <w:p>
            <w:pPr>
              <w:jc w:val="right"/>
              <w:ind w:right="20"/>
              <w:spacing w:after="0" w:line="124" w:lineRule="exact"/>
              <w:rPr>
                <w:sz w:val="20"/>
                <w:szCs w:val="20"/>
                <w:color w:val="auto"/>
              </w:rPr>
            </w:pPr>
            <w:r>
              <w:rPr>
                <w:rFonts w:ascii="Arial" w:cs="Arial" w:eastAsia="Arial" w:hAnsi="Arial"/>
                <w:sz w:val="11"/>
                <w:szCs w:val="11"/>
                <w:color w:val="auto"/>
              </w:rPr>
              <w:t>$</w:t>
            </w:r>
          </w:p>
        </w:tc>
        <w:tc>
          <w:tcPr>
            <w:tcW w:w="400" w:type="dxa"/>
            <w:vAlign w:val="bottom"/>
            <w:shd w:val="clear" w:color="auto" w:fill="CCEEFF"/>
          </w:tcPr>
          <w:p>
            <w:pPr>
              <w:jc w:val="right"/>
              <w:spacing w:after="0" w:line="124" w:lineRule="exact"/>
              <w:rPr>
                <w:sz w:val="20"/>
                <w:szCs w:val="20"/>
                <w:color w:val="auto"/>
              </w:rPr>
            </w:pPr>
            <w:r>
              <w:rPr>
                <w:rFonts w:ascii="Arial" w:cs="Arial" w:eastAsia="Arial" w:hAnsi="Arial"/>
                <w:sz w:val="11"/>
                <w:szCs w:val="11"/>
                <w:color w:val="auto"/>
              </w:rPr>
              <w:t>0.3</w:t>
            </w:r>
          </w:p>
        </w:tc>
        <w:tc>
          <w:tcPr>
            <w:tcW w:w="80" w:type="dxa"/>
            <w:vAlign w:val="bottom"/>
            <w:shd w:val="clear" w:color="auto" w:fill="CCEEFF"/>
          </w:tcPr>
          <w:p>
            <w:pPr>
              <w:spacing w:after="0"/>
              <w:rPr>
                <w:sz w:val="10"/>
                <w:szCs w:val="10"/>
                <w:color w:val="auto"/>
              </w:rPr>
            </w:pPr>
          </w:p>
        </w:tc>
      </w:tr>
      <w:tr>
        <w:trPr>
          <w:trHeight w:val="27"/>
        </w:trPr>
        <w:tc>
          <w:tcPr>
            <w:tcW w:w="3920" w:type="dxa"/>
            <w:vAlign w:val="bottom"/>
          </w:tcPr>
          <w:p>
            <w:pPr>
              <w:spacing w:after="0"/>
              <w:rPr>
                <w:sz w:val="2"/>
                <w:szCs w:val="2"/>
                <w:color w:val="auto"/>
              </w:rPr>
            </w:pPr>
          </w:p>
        </w:tc>
        <w:tc>
          <w:tcPr>
            <w:tcW w:w="2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bl>
    <w:p>
      <w:pPr>
        <w:spacing w:after="0" w:line="154" w:lineRule="exact"/>
        <w:rPr>
          <w:sz w:val="20"/>
          <w:szCs w:val="20"/>
          <w:color w:val="auto"/>
        </w:rPr>
      </w:pPr>
    </w:p>
    <w:p>
      <w:pPr>
        <w:jc w:val="both"/>
        <w:ind w:left="2060" w:right="839"/>
        <w:spacing w:after="0"/>
        <w:rPr>
          <w:sz w:val="20"/>
          <w:szCs w:val="20"/>
          <w:color w:val="auto"/>
        </w:rPr>
      </w:pPr>
      <w:r>
        <w:rPr>
          <w:rFonts w:ascii="Arial" w:cs="Arial" w:eastAsia="Arial" w:hAnsi="Arial"/>
          <w:sz w:val="11"/>
          <w:szCs w:val="11"/>
          <w:color w:val="auto"/>
        </w:rPr>
        <w:t>As of June 30, 2018 and 2019, the Company had federal NOLs of approximately $110.0 million and $112.6 million, respectively, of which $59.3 million will begin to expire in 2036 and the remainder will be carried forward indefinitely. The Company has undergone two ownership changes on November 30, 2015 and April 18, 2017 and its NOLs are subject to a Section 382 limitation. The total NOLs subject to a 382 limitation are $72,338 as of June 30, 2018 and June 30, 2019. The resulting Section 382 limitations are large enough to avail the Section 382 limited NOLs by June 30, 2022. As of June 30, 2018 and 2019, the Company had state NOLs of approximately $94.0 million and $95.8 million, respectively, which will begin to expire at various dates beginning in 2021 if not utilized. As of June 30, 2018 and 2019, the Company had foreign NOLs of zero and approximately $26.7 million, respectively, generated from its operations in the United Kingdom, which will be carried forward indefinitely. As of June 30, 2018 and 2019, the Company had $2.8 million and $7.7 million, respectively, of U.S. research and development credit carryovers that will begin to expire in 2036.</w:t>
      </w:r>
    </w:p>
    <w:p>
      <w:pPr>
        <w:spacing w:after="0" w:line="141" w:lineRule="exact"/>
        <w:rPr>
          <w:sz w:val="20"/>
          <w:szCs w:val="20"/>
          <w:color w:val="auto"/>
        </w:rPr>
      </w:pPr>
    </w:p>
    <w:p>
      <w:pPr>
        <w:jc w:val="both"/>
        <w:ind w:left="2060" w:right="839"/>
        <w:spacing w:after="0" w:line="242" w:lineRule="auto"/>
        <w:rPr>
          <w:sz w:val="20"/>
          <w:szCs w:val="20"/>
          <w:color w:val="auto"/>
        </w:rPr>
      </w:pPr>
      <w:r>
        <w:rPr>
          <w:rFonts w:ascii="Arial" w:cs="Arial" w:eastAsia="Arial" w:hAnsi="Arial"/>
          <w:sz w:val="11"/>
          <w:szCs w:val="11"/>
          <w:color w:val="auto"/>
        </w:rPr>
        <w:t>As of June 30, 2019, the Company did not have material undistributed foreign earnings. The Company has not recorded a deferred tax liability for foreign withholding or other foreign local tax on the undistributed earnings from the Company’s international subsidiaries as such earnings are considered to be indefinitely reinvested.</w:t>
      </w:r>
    </w:p>
    <w:p>
      <w:pPr>
        <w:spacing w:after="0" w:line="140" w:lineRule="exact"/>
        <w:rPr>
          <w:sz w:val="20"/>
          <w:szCs w:val="20"/>
          <w:color w:val="auto"/>
        </w:rPr>
      </w:pPr>
    </w:p>
    <w:p>
      <w:pPr>
        <w:jc w:val="both"/>
        <w:ind w:left="2060" w:right="839"/>
        <w:spacing w:after="0"/>
        <w:rPr>
          <w:sz w:val="20"/>
          <w:szCs w:val="20"/>
          <w:color w:val="auto"/>
        </w:rPr>
      </w:pPr>
      <w:r>
        <w:rPr>
          <w:rFonts w:ascii="Arial" w:cs="Arial" w:eastAsia="Arial" w:hAnsi="Arial"/>
          <w:sz w:val="11"/>
          <w:szCs w:val="11"/>
          <w:color w:val="auto"/>
        </w:rPr>
        <w:t>The Company accounts for uncertainty in income taxes using a recognition threshold and a measurement attribute for the financial statement recognition and measurement of tax positions taken or expected to be taken in a tax return. For benefits to be recognized, a tax position must be more likely than not to be sustained upon examination by the taxing authorities. The amount recognized is measured as the largest amount of benefit that has a greater than 50% likelihood of being realized upon ultimate audit settlement. As of June 30, 2018 and 2019, the Company has not recognized any uncertain tax positions.</w:t>
      </w:r>
    </w:p>
    <w:p>
      <w:pPr>
        <w:spacing w:after="0" w:line="142" w:lineRule="exact"/>
        <w:rPr>
          <w:sz w:val="20"/>
          <w:szCs w:val="20"/>
          <w:color w:val="auto"/>
        </w:rPr>
      </w:pPr>
    </w:p>
    <w:p>
      <w:pPr>
        <w:jc w:val="both"/>
        <w:ind w:left="2060" w:right="839"/>
        <w:spacing w:after="0" w:line="245" w:lineRule="auto"/>
        <w:rPr>
          <w:sz w:val="20"/>
          <w:szCs w:val="20"/>
          <w:color w:val="auto"/>
        </w:rPr>
      </w:pPr>
      <w:r>
        <w:rPr>
          <w:rFonts w:ascii="Arial" w:cs="Arial" w:eastAsia="Arial" w:hAnsi="Arial"/>
          <w:sz w:val="11"/>
          <w:szCs w:val="11"/>
          <w:color w:val="auto"/>
        </w:rPr>
        <w:t>The Company is subject to taxation in the United States, various state and local jurisdictions, Germany, Canada, and the United Kingdom. The tax years ended June 30, 2018, February 25, 2018, February 26, 2017 and February 29, 2016 remain subject to examination by tax authorities.</w:t>
      </w:r>
    </w:p>
    <w:p>
      <w:pPr>
        <w:spacing w:after="0" w:line="93" w:lineRule="exact"/>
        <w:rPr>
          <w:sz w:val="20"/>
          <w:szCs w:val="20"/>
          <w:color w:val="auto"/>
        </w:rPr>
      </w:pPr>
    </w:p>
    <w:p>
      <w:pPr>
        <w:ind w:left="5620"/>
        <w:spacing w:after="0"/>
        <w:rPr>
          <w:sz w:val="20"/>
          <w:szCs w:val="20"/>
          <w:color w:val="auto"/>
        </w:rPr>
      </w:pPr>
      <w:r>
        <w:rPr>
          <w:rFonts w:ascii="Arial" w:cs="Arial" w:eastAsia="Arial" w:hAnsi="Arial"/>
          <w:sz w:val="11"/>
          <w:szCs w:val="11"/>
          <w:color w:val="auto"/>
        </w:rPr>
        <w:t>F-33</w:t>
      </w:r>
    </w:p>
    <w:p>
      <w:pPr>
        <w:sectPr>
          <w:pgSz w:w="11900" w:h="16838" w:orient="portrait"/>
          <w:cols w:equalWidth="0" w:num="1">
            <w:col w:w="10239"/>
          </w:cols>
          <w:pgMar w:left="220" w:top="354" w:right="1440" w:bottom="1440" w:gutter="0" w:footer="0" w:header="0"/>
        </w:sectPr>
      </w:pPr>
    </w:p>
    <w:bookmarkStart w:id="197" w:name="page198"/>
    <w:bookmarkEnd w:id="197"/>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hyperlink w:anchor="page5">
        <w:r>
          <w:rPr>
            <w:rFonts w:ascii="Arial" w:cs="Arial" w:eastAsia="Arial" w:hAnsi="Arial"/>
            <w:sz w:val="12"/>
            <w:szCs w:val="12"/>
            <w:b w:val="1"/>
            <w:bCs w:val="1"/>
            <w:u w:val="single" w:color="auto"/>
            <w:color w:val="0000EE"/>
          </w:rPr>
          <w:t>Table of Contents</w:t>
        </w:r>
      </w:hyperlink>
    </w:p>
    <w:p>
      <w:pPr>
        <w:spacing w:after="0" w:line="200" w:lineRule="exact"/>
        <w:rPr>
          <w:sz w:val="20"/>
          <w:szCs w:val="20"/>
          <w:color w:val="auto"/>
        </w:rPr>
      </w:pPr>
    </w:p>
    <w:p>
      <w:pPr>
        <w:jc w:val="center"/>
        <w:ind w:right="-1220"/>
        <w:spacing w:after="0"/>
        <w:rPr>
          <w:sz w:val="20"/>
          <w:szCs w:val="20"/>
          <w:color w:val="auto"/>
        </w:rPr>
      </w:pPr>
      <w:r>
        <w:rPr>
          <w:rFonts w:ascii="Arial" w:cs="Arial" w:eastAsia="Arial" w:hAnsi="Arial"/>
          <w:sz w:val="12"/>
          <w:szCs w:val="12"/>
          <w:b w:val="1"/>
          <w:bCs w:val="1"/>
          <w:color w:val="auto"/>
        </w:rPr>
        <w:t>PELOTON INTERACTIVE, INC.</w:t>
      </w:r>
    </w:p>
    <w:p>
      <w:pPr>
        <w:spacing w:after="0" w:line="11" w:lineRule="exact"/>
        <w:rPr>
          <w:sz w:val="20"/>
          <w:szCs w:val="20"/>
          <w:color w:val="auto"/>
        </w:rPr>
      </w:pPr>
    </w:p>
    <w:p>
      <w:pPr>
        <w:jc w:val="center"/>
        <w:ind w:right="-1220"/>
        <w:spacing w:after="0"/>
        <w:rPr>
          <w:sz w:val="20"/>
          <w:szCs w:val="20"/>
          <w:color w:val="auto"/>
        </w:rPr>
      </w:pPr>
      <w:r>
        <w:rPr>
          <w:rFonts w:ascii="Arial" w:cs="Arial" w:eastAsia="Arial" w:hAnsi="Arial"/>
          <w:sz w:val="12"/>
          <w:szCs w:val="12"/>
          <w:b w:val="1"/>
          <w:bCs w:val="1"/>
          <w:color w:val="auto"/>
        </w:rPr>
        <w:t>NOTES TO CONSOLIDATED FINANCIAL STATEMENTS</w:t>
      </w:r>
    </w:p>
    <w:p>
      <w:pPr>
        <w:spacing w:after="0" w:line="68" w:lineRule="exact"/>
        <w:rPr>
          <w:sz w:val="20"/>
          <w:szCs w:val="20"/>
          <w:color w:val="auto"/>
        </w:rPr>
      </w:pPr>
    </w:p>
    <w:p>
      <w:pPr>
        <w:ind w:left="2060"/>
        <w:spacing w:after="0"/>
        <w:rPr>
          <w:sz w:val="20"/>
          <w:szCs w:val="20"/>
          <w:color w:val="auto"/>
        </w:rPr>
      </w:pPr>
      <w:r>
        <w:rPr>
          <w:rFonts w:ascii="Arial" w:cs="Arial" w:eastAsia="Arial" w:hAnsi="Arial"/>
          <w:sz w:val="11"/>
          <w:szCs w:val="11"/>
          <w:b w:val="1"/>
          <w:bCs w:val="1"/>
          <w:color w:val="auto"/>
        </w:rPr>
        <w:t>16. Loss Per Share</w:t>
      </w:r>
    </w:p>
    <w:p>
      <w:pPr>
        <w:spacing w:after="0" w:line="84" w:lineRule="exact"/>
        <w:rPr>
          <w:sz w:val="20"/>
          <w:szCs w:val="20"/>
          <w:color w:val="auto"/>
        </w:rPr>
      </w:pPr>
    </w:p>
    <w:p>
      <w:pPr>
        <w:ind w:left="2060"/>
        <w:spacing w:after="0"/>
        <w:rPr>
          <w:sz w:val="20"/>
          <w:szCs w:val="20"/>
          <w:color w:val="auto"/>
        </w:rPr>
      </w:pPr>
      <w:r>
        <w:rPr>
          <w:rFonts w:ascii="Arial" w:cs="Arial" w:eastAsia="Arial" w:hAnsi="Arial"/>
          <w:sz w:val="11"/>
          <w:szCs w:val="11"/>
          <w:color w:val="auto"/>
        </w:rPr>
        <w:t>The computation of loss per share is as follows:</w:t>
      </w:r>
    </w:p>
    <w:p>
      <w:pPr>
        <w:spacing w:after="0" w:line="150" w:lineRule="exact"/>
        <w:rPr>
          <w:sz w:val="20"/>
          <w:szCs w:val="20"/>
          <w:color w:val="auto"/>
        </w:rPr>
      </w:pPr>
    </w:p>
    <w:tbl>
      <w:tblPr>
        <w:tblLayout w:type="fixed"/>
        <w:tblInd w:w="2060" w:type="dxa"/>
        <w:tblCellMar>
          <w:top w:w="0" w:type="dxa"/>
          <w:left w:w="0" w:type="dxa"/>
          <w:bottom w:w="0" w:type="dxa"/>
          <w:right w:w="0" w:type="dxa"/>
        </w:tblCellMar>
      </w:tblPr>
      <w:tr>
        <w:trPr>
          <w:trHeight w:val="137"/>
        </w:trPr>
        <w:tc>
          <w:tcPr>
            <w:tcW w:w="38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920" w:type="dxa"/>
            <w:vAlign w:val="bottom"/>
            <w:tcBorders>
              <w:bottom w:val="single" w:sz="8" w:color="auto"/>
            </w:tcBorders>
            <w:gridSpan w:val="6"/>
          </w:tcPr>
          <w:p>
            <w:pPr>
              <w:jc w:val="center"/>
              <w:ind w:left="486"/>
              <w:spacing w:after="0"/>
              <w:rPr>
                <w:sz w:val="20"/>
                <w:szCs w:val="20"/>
                <w:color w:val="auto"/>
              </w:rPr>
            </w:pPr>
            <w:r>
              <w:rPr>
                <w:rFonts w:ascii="Arial" w:cs="Arial" w:eastAsia="Arial" w:hAnsi="Arial"/>
                <w:sz w:val="11"/>
                <w:szCs w:val="11"/>
                <w:b w:val="1"/>
                <w:bCs w:val="1"/>
                <w:color w:val="auto"/>
                <w:w w:val="97"/>
              </w:rPr>
              <w:t>Fiscal Year Ended June 30,</w:t>
            </w:r>
          </w:p>
        </w:tc>
        <w:tc>
          <w:tcPr>
            <w:tcW w:w="8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r>
      <w:tr>
        <w:trPr>
          <w:trHeight w:val="115"/>
        </w:trPr>
        <w:tc>
          <w:tcPr>
            <w:tcW w:w="38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jc w:val="right"/>
              <w:ind w:right="126"/>
              <w:spacing w:after="0" w:line="115" w:lineRule="exact"/>
              <w:rPr>
                <w:sz w:val="20"/>
                <w:szCs w:val="20"/>
                <w:color w:val="auto"/>
              </w:rPr>
            </w:pPr>
            <w:r>
              <w:rPr>
                <w:rFonts w:ascii="Arial" w:cs="Arial" w:eastAsia="Arial" w:hAnsi="Arial"/>
                <w:sz w:val="11"/>
                <w:szCs w:val="11"/>
                <w:b w:val="1"/>
                <w:bCs w:val="1"/>
                <w:color w:val="auto"/>
              </w:rPr>
              <w:t>2017</w:t>
            </w:r>
          </w:p>
        </w:tc>
        <w:tc>
          <w:tcPr>
            <w:tcW w:w="4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jc w:val="center"/>
              <w:ind w:right="6"/>
              <w:spacing w:after="0" w:line="115" w:lineRule="exact"/>
              <w:rPr>
                <w:sz w:val="20"/>
                <w:szCs w:val="20"/>
                <w:color w:val="auto"/>
              </w:rPr>
            </w:pPr>
            <w:r>
              <w:rPr>
                <w:rFonts w:ascii="Arial" w:cs="Arial" w:eastAsia="Arial" w:hAnsi="Arial"/>
                <w:sz w:val="11"/>
                <w:szCs w:val="11"/>
                <w:b w:val="1"/>
                <w:bCs w:val="1"/>
                <w:color w:val="auto"/>
                <w:w w:val="97"/>
              </w:rPr>
              <w:t>2018</w:t>
            </w:r>
          </w:p>
        </w:tc>
        <w:tc>
          <w:tcPr>
            <w:tcW w:w="38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jc w:val="right"/>
              <w:ind w:right="126"/>
              <w:spacing w:after="0" w:line="115" w:lineRule="exact"/>
              <w:rPr>
                <w:sz w:val="20"/>
                <w:szCs w:val="20"/>
                <w:color w:val="auto"/>
              </w:rPr>
            </w:pPr>
            <w:r>
              <w:rPr>
                <w:rFonts w:ascii="Arial" w:cs="Arial" w:eastAsia="Arial" w:hAnsi="Arial"/>
                <w:sz w:val="11"/>
                <w:szCs w:val="11"/>
                <w:b w:val="1"/>
                <w:bCs w:val="1"/>
                <w:color w:val="auto"/>
              </w:rPr>
              <w:t>2019</w:t>
            </w:r>
          </w:p>
        </w:tc>
        <w:tc>
          <w:tcPr>
            <w:tcW w:w="80" w:type="dxa"/>
            <w:vAlign w:val="bottom"/>
          </w:tcPr>
          <w:p>
            <w:pPr>
              <w:spacing w:after="0"/>
              <w:rPr>
                <w:sz w:val="10"/>
                <w:szCs w:val="10"/>
                <w:color w:val="auto"/>
              </w:rPr>
            </w:pPr>
          </w:p>
        </w:tc>
      </w:tr>
      <w:tr>
        <w:trPr>
          <w:trHeight w:val="104"/>
        </w:trPr>
        <w:tc>
          <w:tcPr>
            <w:tcW w:w="3880" w:type="dxa"/>
            <w:vAlign w:val="bottom"/>
          </w:tcPr>
          <w:p>
            <w:pPr>
              <w:spacing w:after="0"/>
              <w:rPr>
                <w:sz w:val="9"/>
                <w:szCs w:val="9"/>
                <w:color w:val="auto"/>
              </w:rPr>
            </w:pPr>
          </w:p>
        </w:tc>
        <w:tc>
          <w:tcPr>
            <w:tcW w:w="78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40" w:type="dxa"/>
            <w:vAlign w:val="bottom"/>
          </w:tcPr>
          <w:p>
            <w:pPr>
              <w:spacing w:after="0"/>
              <w:rPr>
                <w:sz w:val="9"/>
                <w:szCs w:val="9"/>
                <w:color w:val="auto"/>
              </w:rPr>
            </w:pPr>
          </w:p>
        </w:tc>
        <w:tc>
          <w:tcPr>
            <w:tcW w:w="1340" w:type="dxa"/>
            <w:vAlign w:val="bottom"/>
            <w:gridSpan w:val="4"/>
          </w:tcPr>
          <w:p>
            <w:pPr>
              <w:jc w:val="center"/>
              <w:ind w:right="40"/>
              <w:spacing w:after="0" w:line="105" w:lineRule="exact"/>
              <w:rPr>
                <w:sz w:val="20"/>
                <w:szCs w:val="20"/>
                <w:color w:val="auto"/>
              </w:rPr>
            </w:pPr>
            <w:r>
              <w:rPr>
                <w:rFonts w:ascii="Arial" w:cs="Arial" w:eastAsia="Arial" w:hAnsi="Arial"/>
                <w:sz w:val="11"/>
                <w:szCs w:val="11"/>
                <w:b w:val="1"/>
                <w:bCs w:val="1"/>
                <w:color w:val="auto"/>
                <w:w w:val="98"/>
              </w:rPr>
              <w:t>(in millions, except share</w:t>
            </w: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r>
      <w:tr>
        <w:trPr>
          <w:trHeight w:val="137"/>
        </w:trPr>
        <w:tc>
          <w:tcPr>
            <w:tcW w:w="38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340" w:type="dxa"/>
            <w:vAlign w:val="bottom"/>
            <w:gridSpan w:val="4"/>
          </w:tcPr>
          <w:p>
            <w:pPr>
              <w:jc w:val="center"/>
              <w:ind w:right="40"/>
              <w:spacing w:after="0"/>
              <w:rPr>
                <w:sz w:val="20"/>
                <w:szCs w:val="20"/>
                <w:color w:val="auto"/>
              </w:rPr>
            </w:pPr>
            <w:r>
              <w:rPr>
                <w:rFonts w:ascii="Arial" w:cs="Arial" w:eastAsia="Arial" w:hAnsi="Arial"/>
                <w:sz w:val="11"/>
                <w:szCs w:val="11"/>
                <w:b w:val="1"/>
                <w:bCs w:val="1"/>
                <w:color w:val="auto"/>
                <w:w w:val="97"/>
              </w:rPr>
              <w:t>and per share amounts)</w:t>
            </w: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126"/>
        </w:trPr>
        <w:tc>
          <w:tcPr>
            <w:tcW w:w="3880" w:type="dxa"/>
            <w:vAlign w:val="bottom"/>
            <w:shd w:val="clear" w:color="auto" w:fill="CCEEFF"/>
          </w:tcPr>
          <w:p>
            <w:pPr>
              <w:spacing w:after="0"/>
              <w:rPr>
                <w:sz w:val="20"/>
                <w:szCs w:val="20"/>
                <w:color w:val="auto"/>
              </w:rPr>
            </w:pPr>
            <w:r>
              <w:rPr>
                <w:rFonts w:ascii="Arial" w:cs="Arial" w:eastAsia="Arial" w:hAnsi="Arial"/>
                <w:sz w:val="11"/>
                <w:szCs w:val="11"/>
                <w:color w:val="auto"/>
              </w:rPr>
              <w:t>Basic loss per share:</w:t>
            </w:r>
          </w:p>
        </w:tc>
        <w:tc>
          <w:tcPr>
            <w:tcW w:w="7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r>
      <w:tr>
        <w:trPr>
          <w:trHeight w:val="126"/>
        </w:trPr>
        <w:tc>
          <w:tcPr>
            <w:tcW w:w="3880" w:type="dxa"/>
            <w:vAlign w:val="bottom"/>
          </w:tcPr>
          <w:p>
            <w:pPr>
              <w:ind w:left="220"/>
              <w:spacing w:after="0"/>
              <w:rPr>
                <w:sz w:val="20"/>
                <w:szCs w:val="20"/>
                <w:color w:val="auto"/>
              </w:rPr>
            </w:pPr>
            <w:r>
              <w:rPr>
                <w:rFonts w:ascii="Arial" w:cs="Arial" w:eastAsia="Arial" w:hAnsi="Arial"/>
                <w:sz w:val="11"/>
                <w:szCs w:val="11"/>
                <w:color w:val="auto"/>
              </w:rPr>
              <w:t>Net loss</w:t>
            </w:r>
          </w:p>
        </w:tc>
        <w:tc>
          <w:tcPr>
            <w:tcW w:w="86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580" w:type="dxa"/>
            <w:vAlign w:val="bottom"/>
            <w:gridSpan w:val="2"/>
          </w:tcPr>
          <w:p>
            <w:pPr>
              <w:jc w:val="right"/>
              <w:spacing w:after="0"/>
              <w:rPr>
                <w:sz w:val="20"/>
                <w:szCs w:val="20"/>
                <w:color w:val="auto"/>
              </w:rPr>
            </w:pPr>
            <w:r>
              <w:rPr>
                <w:rFonts w:ascii="Arial" w:cs="Arial" w:eastAsia="Arial" w:hAnsi="Arial"/>
                <w:sz w:val="11"/>
                <w:szCs w:val="11"/>
                <w:color w:val="auto"/>
              </w:rPr>
              <w:t>(71.1)</w:t>
            </w:r>
          </w:p>
        </w:tc>
        <w:tc>
          <w:tcPr>
            <w:tcW w:w="420" w:type="dxa"/>
            <w:vAlign w:val="bottom"/>
            <w:gridSpan w:val="2"/>
          </w:tcPr>
          <w:p>
            <w:pPr>
              <w:jc w:val="right"/>
              <w:ind w:right="20"/>
              <w:spacing w:after="0"/>
              <w:rPr>
                <w:sz w:val="20"/>
                <w:szCs w:val="20"/>
                <w:color w:val="auto"/>
              </w:rPr>
            </w:pPr>
            <w:r>
              <w:rPr>
                <w:rFonts w:ascii="Arial" w:cs="Arial" w:eastAsia="Arial" w:hAnsi="Arial"/>
                <w:sz w:val="11"/>
                <w:szCs w:val="11"/>
                <w:color w:val="auto"/>
              </w:rPr>
              <w:t>$</w:t>
            </w:r>
          </w:p>
        </w:tc>
        <w:tc>
          <w:tcPr>
            <w:tcW w:w="920" w:type="dxa"/>
            <w:vAlign w:val="bottom"/>
            <w:gridSpan w:val="2"/>
          </w:tcPr>
          <w:p>
            <w:pPr>
              <w:jc w:val="right"/>
              <w:ind w:right="340"/>
              <w:spacing w:after="0"/>
              <w:rPr>
                <w:sz w:val="20"/>
                <w:szCs w:val="20"/>
                <w:color w:val="auto"/>
              </w:rPr>
            </w:pPr>
            <w:r>
              <w:rPr>
                <w:rFonts w:ascii="Arial" w:cs="Arial" w:eastAsia="Arial" w:hAnsi="Arial"/>
                <w:sz w:val="11"/>
                <w:szCs w:val="11"/>
                <w:color w:val="auto"/>
              </w:rPr>
              <w:t>(47.9)</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gridSpan w:val="2"/>
          </w:tcPr>
          <w:p>
            <w:pPr>
              <w:jc w:val="right"/>
              <w:ind w:right="40"/>
              <w:spacing w:after="0"/>
              <w:rPr>
                <w:sz w:val="20"/>
                <w:szCs w:val="20"/>
                <w:color w:val="auto"/>
              </w:rPr>
            </w:pPr>
            <w:r>
              <w:rPr>
                <w:rFonts w:ascii="Arial" w:cs="Arial" w:eastAsia="Arial" w:hAnsi="Arial"/>
                <w:sz w:val="11"/>
                <w:szCs w:val="11"/>
                <w:color w:val="auto"/>
              </w:rPr>
              <w:t>(195.6)</w:t>
            </w:r>
          </w:p>
        </w:tc>
      </w:tr>
      <w:tr>
        <w:trPr>
          <w:trHeight w:val="126"/>
        </w:trPr>
        <w:tc>
          <w:tcPr>
            <w:tcW w:w="3880" w:type="dxa"/>
            <w:vAlign w:val="bottom"/>
            <w:shd w:val="clear" w:color="auto" w:fill="CCEEFF"/>
          </w:tcPr>
          <w:p>
            <w:pPr>
              <w:ind w:left="220"/>
              <w:spacing w:after="0"/>
              <w:rPr>
                <w:sz w:val="20"/>
                <w:szCs w:val="20"/>
                <w:color w:val="auto"/>
              </w:rPr>
            </w:pPr>
            <w:r>
              <w:rPr>
                <w:rFonts w:ascii="Arial" w:cs="Arial" w:eastAsia="Arial" w:hAnsi="Arial"/>
                <w:sz w:val="11"/>
                <w:szCs w:val="11"/>
                <w:color w:val="auto"/>
              </w:rPr>
              <w:t>Less: Premium on repurchase of convertible preferred stock</w:t>
            </w:r>
          </w:p>
        </w:tc>
        <w:tc>
          <w:tcPr>
            <w:tcW w:w="7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(92.3)</w:t>
            </w:r>
          </w:p>
        </w:tc>
        <w:tc>
          <w:tcPr>
            <w:tcW w:w="3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20" w:type="dxa"/>
            <w:vAlign w:val="bottom"/>
            <w:gridSpan w:val="2"/>
            <w:shd w:val="clear" w:color="auto" w:fill="CCEEFF"/>
          </w:tcPr>
          <w:p>
            <w:pPr>
              <w:jc w:val="right"/>
              <w:ind w:right="38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0"/>
                <w:szCs w:val="10"/>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(50.1)</w:t>
            </w:r>
          </w:p>
        </w:tc>
      </w:tr>
      <w:tr>
        <w:trPr>
          <w:trHeight w:val="20"/>
        </w:trPr>
        <w:tc>
          <w:tcPr>
            <w:tcW w:w="38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36"/>
        </w:trPr>
        <w:tc>
          <w:tcPr>
            <w:tcW w:w="3880" w:type="dxa"/>
            <w:vAlign w:val="bottom"/>
          </w:tcPr>
          <w:p>
            <w:pPr>
              <w:ind w:left="220"/>
              <w:spacing w:after="0" w:line="124" w:lineRule="exact"/>
              <w:rPr>
                <w:sz w:val="20"/>
                <w:szCs w:val="20"/>
                <w:color w:val="auto"/>
              </w:rPr>
            </w:pPr>
            <w:r>
              <w:rPr>
                <w:rFonts w:ascii="Arial" w:cs="Arial" w:eastAsia="Arial" w:hAnsi="Arial"/>
                <w:sz w:val="11"/>
                <w:szCs w:val="11"/>
                <w:color w:val="auto"/>
              </w:rPr>
              <w:t>Net loss attributable to common stockholders</w:t>
            </w:r>
          </w:p>
        </w:tc>
        <w:tc>
          <w:tcPr>
            <w:tcW w:w="780" w:type="dxa"/>
            <w:vAlign w:val="bottom"/>
          </w:tcPr>
          <w:p>
            <w:pPr>
              <w:spacing w:after="0"/>
              <w:rPr>
                <w:sz w:val="11"/>
                <w:szCs w:val="11"/>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gridSpan w:val="2"/>
          </w:tcPr>
          <w:p>
            <w:pPr>
              <w:jc w:val="right"/>
              <w:spacing w:after="0" w:line="124" w:lineRule="exact"/>
              <w:rPr>
                <w:sz w:val="20"/>
                <w:szCs w:val="20"/>
                <w:color w:val="auto"/>
              </w:rPr>
            </w:pPr>
            <w:r>
              <w:rPr>
                <w:rFonts w:ascii="Arial" w:cs="Arial" w:eastAsia="Arial" w:hAnsi="Arial"/>
                <w:sz w:val="11"/>
                <w:szCs w:val="11"/>
                <w:color w:val="auto"/>
              </w:rPr>
              <w:t>(163.4)</w:t>
            </w:r>
          </w:p>
        </w:tc>
        <w:tc>
          <w:tcPr>
            <w:tcW w:w="420" w:type="dxa"/>
            <w:vAlign w:val="bottom"/>
            <w:gridSpan w:val="2"/>
          </w:tcPr>
          <w:p>
            <w:pPr>
              <w:jc w:val="right"/>
              <w:ind w:right="20"/>
              <w:spacing w:after="0" w:line="124" w:lineRule="exact"/>
              <w:rPr>
                <w:sz w:val="20"/>
                <w:szCs w:val="20"/>
                <w:color w:val="auto"/>
              </w:rPr>
            </w:pPr>
            <w:r>
              <w:rPr>
                <w:rFonts w:ascii="Arial" w:cs="Arial" w:eastAsia="Arial" w:hAnsi="Arial"/>
                <w:sz w:val="11"/>
                <w:szCs w:val="11"/>
                <w:color w:val="auto"/>
              </w:rPr>
              <w:t>$</w:t>
            </w:r>
          </w:p>
        </w:tc>
        <w:tc>
          <w:tcPr>
            <w:tcW w:w="920" w:type="dxa"/>
            <w:vAlign w:val="bottom"/>
            <w:gridSpan w:val="2"/>
          </w:tcPr>
          <w:p>
            <w:pPr>
              <w:jc w:val="right"/>
              <w:ind w:right="340"/>
              <w:spacing w:after="0" w:line="124" w:lineRule="exact"/>
              <w:rPr>
                <w:sz w:val="20"/>
                <w:szCs w:val="20"/>
                <w:color w:val="auto"/>
              </w:rPr>
            </w:pPr>
            <w:r>
              <w:rPr>
                <w:rFonts w:ascii="Arial" w:cs="Arial" w:eastAsia="Arial" w:hAnsi="Arial"/>
                <w:sz w:val="11"/>
                <w:szCs w:val="11"/>
                <w:color w:val="auto"/>
              </w:rPr>
              <w:t>(47.9)</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gridSpan w:val="2"/>
          </w:tcPr>
          <w:p>
            <w:pPr>
              <w:jc w:val="right"/>
              <w:ind w:right="40"/>
              <w:spacing w:after="0" w:line="124" w:lineRule="exact"/>
              <w:rPr>
                <w:sz w:val="20"/>
                <w:szCs w:val="20"/>
                <w:color w:val="auto"/>
              </w:rPr>
            </w:pPr>
            <w:r>
              <w:rPr>
                <w:rFonts w:ascii="Arial" w:cs="Arial" w:eastAsia="Arial" w:hAnsi="Arial"/>
                <w:sz w:val="11"/>
                <w:szCs w:val="11"/>
                <w:color w:val="auto"/>
              </w:rPr>
              <w:t>(245.7)</w:t>
            </w:r>
          </w:p>
        </w:tc>
      </w:tr>
      <w:tr>
        <w:trPr>
          <w:trHeight w:val="131"/>
        </w:trPr>
        <w:tc>
          <w:tcPr>
            <w:tcW w:w="3880" w:type="dxa"/>
            <w:vAlign w:val="bottom"/>
            <w:shd w:val="clear" w:color="auto" w:fill="CCEEFF"/>
          </w:tcPr>
          <w:p>
            <w:pPr>
              <w:spacing w:after="0"/>
              <w:rPr>
                <w:sz w:val="20"/>
                <w:szCs w:val="20"/>
                <w:color w:val="auto"/>
              </w:rPr>
            </w:pPr>
            <w:r>
              <w:rPr>
                <w:rFonts w:ascii="Arial" w:cs="Arial" w:eastAsia="Arial" w:hAnsi="Arial"/>
                <w:sz w:val="11"/>
                <w:szCs w:val="11"/>
                <w:color w:val="auto"/>
              </w:rPr>
              <w:t>Shares used in computation:</w:t>
            </w:r>
          </w:p>
        </w:tc>
        <w:tc>
          <w:tcPr>
            <w:tcW w:w="780" w:type="dxa"/>
            <w:vAlign w:val="bottom"/>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540" w:type="dxa"/>
            <w:vAlign w:val="bottom"/>
            <w:tcBorders>
              <w:top w:val="single" w:sz="8" w:color="auto"/>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540" w:type="dxa"/>
            <w:vAlign w:val="bottom"/>
            <w:tcBorders>
              <w:top w:val="single" w:sz="8" w:color="auto"/>
            </w:tcBorders>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54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r>
      <w:tr>
        <w:trPr>
          <w:trHeight w:val="138"/>
        </w:trPr>
        <w:tc>
          <w:tcPr>
            <w:tcW w:w="3880" w:type="dxa"/>
            <w:vAlign w:val="bottom"/>
          </w:tcPr>
          <w:p>
            <w:pPr>
              <w:ind w:left="220"/>
              <w:spacing w:after="0"/>
              <w:rPr>
                <w:sz w:val="20"/>
                <w:szCs w:val="20"/>
                <w:color w:val="auto"/>
              </w:rPr>
            </w:pPr>
            <w:r>
              <w:rPr>
                <w:rFonts w:ascii="Arial" w:cs="Arial" w:eastAsia="Arial" w:hAnsi="Arial"/>
                <w:sz w:val="11"/>
                <w:szCs w:val="11"/>
                <w:color w:val="auto"/>
              </w:rPr>
              <w:t>Weighted-average common shares outstanding</w:t>
            </w:r>
          </w:p>
        </w:tc>
        <w:tc>
          <w:tcPr>
            <w:tcW w:w="78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w w:val="94"/>
              </w:rPr>
              <w:t>27,379,789</w:t>
            </w:r>
          </w:p>
        </w:tc>
        <w:tc>
          <w:tcPr>
            <w:tcW w:w="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w w:val="94"/>
              </w:rPr>
              <w:t>21,934,228</w:t>
            </w:r>
          </w:p>
        </w:tc>
        <w:tc>
          <w:tcPr>
            <w:tcW w:w="38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w w:val="94"/>
              </w:rPr>
              <w:t>22,911,764</w:t>
            </w:r>
          </w:p>
        </w:tc>
        <w:tc>
          <w:tcPr>
            <w:tcW w:w="80" w:type="dxa"/>
            <w:vAlign w:val="bottom"/>
          </w:tcPr>
          <w:p>
            <w:pPr>
              <w:spacing w:after="0"/>
              <w:rPr>
                <w:sz w:val="11"/>
                <w:szCs w:val="11"/>
                <w:color w:val="auto"/>
              </w:rPr>
            </w:pPr>
          </w:p>
        </w:tc>
      </w:tr>
      <w:tr>
        <w:trPr>
          <w:trHeight w:val="131"/>
        </w:trPr>
        <w:tc>
          <w:tcPr>
            <w:tcW w:w="3880" w:type="dxa"/>
            <w:vAlign w:val="bottom"/>
            <w:shd w:val="clear" w:color="auto" w:fill="CCEEFF"/>
          </w:tcPr>
          <w:p>
            <w:pPr>
              <w:ind w:left="220"/>
              <w:spacing w:after="0"/>
              <w:rPr>
                <w:sz w:val="20"/>
                <w:szCs w:val="20"/>
                <w:color w:val="auto"/>
              </w:rPr>
            </w:pPr>
            <w:r>
              <w:rPr>
                <w:rFonts w:ascii="Arial" w:cs="Arial" w:eastAsia="Arial" w:hAnsi="Arial"/>
                <w:sz w:val="11"/>
                <w:szCs w:val="11"/>
                <w:color w:val="auto"/>
              </w:rPr>
              <w:t>Basic and diluted loss per share</w:t>
            </w:r>
          </w:p>
        </w:tc>
        <w:tc>
          <w:tcPr>
            <w:tcW w:w="780" w:type="dxa"/>
            <w:vAlign w:val="bottom"/>
            <w:shd w:val="clear" w:color="auto" w:fill="CCEEFF"/>
          </w:tcPr>
          <w:p>
            <w:pPr>
              <w:spacing w:after="0"/>
              <w:rPr>
                <w:sz w:val="11"/>
                <w:szCs w:val="11"/>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(5.97)</w:t>
            </w: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1"/>
                <w:szCs w:val="11"/>
                <w:color w:val="auto"/>
              </w:rPr>
              <w:t>$</w:t>
            </w: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1"/>
                <w:szCs w:val="11"/>
                <w:color w:val="auto"/>
              </w:rPr>
              <w:t>(2.18)</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(10.72)</w:t>
            </w:r>
          </w:p>
        </w:tc>
      </w:tr>
      <w:tr>
        <w:trPr>
          <w:trHeight w:val="27"/>
        </w:trPr>
        <w:tc>
          <w:tcPr>
            <w:tcW w:w="388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bl>
    <w:p>
      <w:pPr>
        <w:spacing w:after="0" w:line="154" w:lineRule="exact"/>
        <w:rPr>
          <w:sz w:val="20"/>
          <w:szCs w:val="20"/>
          <w:color w:val="auto"/>
        </w:rPr>
      </w:pPr>
    </w:p>
    <w:p>
      <w:pPr>
        <w:ind w:left="2060"/>
        <w:spacing w:after="0"/>
        <w:rPr>
          <w:sz w:val="20"/>
          <w:szCs w:val="20"/>
          <w:color w:val="auto"/>
        </w:rPr>
      </w:pPr>
      <w:r>
        <w:rPr>
          <w:rFonts w:ascii="Arial" w:cs="Arial" w:eastAsia="Arial" w:hAnsi="Arial"/>
          <w:sz w:val="11"/>
          <w:szCs w:val="11"/>
          <w:color w:val="auto"/>
        </w:rPr>
        <w:t>The following potentially dilutive shares were not included in the calculation of diluted shares outstanding as the effect would have been anti-dilutive:</w:t>
      </w:r>
    </w:p>
    <w:p>
      <w:pPr>
        <w:spacing w:after="0" w:line="150" w:lineRule="exact"/>
        <w:rPr>
          <w:sz w:val="20"/>
          <w:szCs w:val="20"/>
          <w:color w:val="auto"/>
        </w:rPr>
      </w:pPr>
    </w:p>
    <w:tbl>
      <w:tblPr>
        <w:tblLayout w:type="fixed"/>
        <w:tblInd w:w="2060" w:type="dxa"/>
        <w:tblCellMar>
          <w:top w:w="0" w:type="dxa"/>
          <w:left w:w="0" w:type="dxa"/>
          <w:bottom w:w="0" w:type="dxa"/>
          <w:right w:w="0" w:type="dxa"/>
        </w:tblCellMar>
      </w:tblPr>
      <w:tr>
        <w:trPr>
          <w:trHeight w:val="137"/>
        </w:trPr>
        <w:tc>
          <w:tcPr>
            <w:tcW w:w="4920" w:type="dxa"/>
            <w:vAlign w:val="bottom"/>
          </w:tcPr>
          <w:p>
            <w:pPr>
              <w:spacing w:after="0"/>
              <w:rPr>
                <w:sz w:val="11"/>
                <w:szCs w:val="11"/>
                <w:color w:val="auto"/>
              </w:rPr>
            </w:pPr>
          </w:p>
        </w:tc>
        <w:tc>
          <w:tcPr>
            <w:tcW w:w="2440" w:type="dxa"/>
            <w:vAlign w:val="bottom"/>
            <w:gridSpan w:val="6"/>
          </w:tcPr>
          <w:p>
            <w:pPr>
              <w:ind w:left="480"/>
              <w:spacing w:after="0"/>
              <w:rPr>
                <w:sz w:val="20"/>
                <w:szCs w:val="20"/>
                <w:color w:val="auto"/>
              </w:rPr>
            </w:pPr>
            <w:r>
              <w:rPr>
                <w:rFonts w:ascii="Arial" w:cs="Arial" w:eastAsia="Arial" w:hAnsi="Arial"/>
                <w:sz w:val="11"/>
                <w:szCs w:val="11"/>
                <w:b w:val="1"/>
                <w:bCs w:val="1"/>
                <w:color w:val="auto"/>
              </w:rPr>
              <w:t>Fiscal Year Ended June 30,</w:t>
            </w:r>
          </w:p>
        </w:tc>
      </w:tr>
      <w:tr>
        <w:trPr>
          <w:trHeight w:val="115"/>
        </w:trPr>
        <w:tc>
          <w:tcPr>
            <w:tcW w:w="4920" w:type="dxa"/>
            <w:vAlign w:val="bottom"/>
            <w:tcBorders>
              <w:bottom w:val="single" w:sz="8" w:color="CCEEFF"/>
            </w:tcBorders>
          </w:tcPr>
          <w:p>
            <w:pPr>
              <w:spacing w:after="0"/>
              <w:rPr>
                <w:sz w:val="10"/>
                <w:szCs w:val="10"/>
                <w:color w:val="auto"/>
              </w:rPr>
            </w:pPr>
          </w:p>
        </w:tc>
        <w:tc>
          <w:tcPr>
            <w:tcW w:w="700" w:type="dxa"/>
            <w:vAlign w:val="bottom"/>
            <w:tcBorders>
              <w:top w:val="single" w:sz="8" w:color="auto"/>
              <w:bottom w:val="single" w:sz="8" w:color="auto"/>
            </w:tcBorders>
          </w:tcPr>
          <w:p>
            <w:pPr>
              <w:jc w:val="right"/>
              <w:ind w:right="186"/>
              <w:spacing w:after="0" w:line="115" w:lineRule="exact"/>
              <w:rPr>
                <w:sz w:val="20"/>
                <w:szCs w:val="20"/>
                <w:color w:val="auto"/>
              </w:rPr>
            </w:pPr>
            <w:r>
              <w:rPr>
                <w:rFonts w:ascii="Arial" w:cs="Arial" w:eastAsia="Arial" w:hAnsi="Arial"/>
                <w:sz w:val="11"/>
                <w:szCs w:val="11"/>
                <w:b w:val="1"/>
                <w:bCs w:val="1"/>
                <w:color w:val="auto"/>
              </w:rPr>
              <w:t>2017</w:t>
            </w:r>
          </w:p>
        </w:tc>
        <w:tc>
          <w:tcPr>
            <w:tcW w:w="100" w:type="dxa"/>
            <w:vAlign w:val="bottom"/>
            <w:tcBorders>
              <w:top w:val="single" w:sz="8" w:color="auto"/>
              <w:bottom w:val="single" w:sz="8" w:color="CCEEFF"/>
            </w:tcBorders>
          </w:tcPr>
          <w:p>
            <w:pPr>
              <w:spacing w:after="0"/>
              <w:rPr>
                <w:sz w:val="10"/>
                <w:szCs w:val="10"/>
                <w:color w:val="auto"/>
              </w:rPr>
            </w:pPr>
          </w:p>
        </w:tc>
        <w:tc>
          <w:tcPr>
            <w:tcW w:w="700" w:type="dxa"/>
            <w:vAlign w:val="bottom"/>
            <w:tcBorders>
              <w:top w:val="single" w:sz="8" w:color="auto"/>
              <w:bottom w:val="single" w:sz="8" w:color="auto"/>
            </w:tcBorders>
          </w:tcPr>
          <w:p>
            <w:pPr>
              <w:jc w:val="right"/>
              <w:ind w:right="186"/>
              <w:spacing w:after="0" w:line="115" w:lineRule="exact"/>
              <w:rPr>
                <w:sz w:val="20"/>
                <w:szCs w:val="20"/>
                <w:color w:val="auto"/>
              </w:rPr>
            </w:pPr>
            <w:r>
              <w:rPr>
                <w:rFonts w:ascii="Arial" w:cs="Arial" w:eastAsia="Arial" w:hAnsi="Arial"/>
                <w:sz w:val="11"/>
                <w:szCs w:val="11"/>
                <w:b w:val="1"/>
                <w:bCs w:val="1"/>
                <w:color w:val="auto"/>
              </w:rPr>
              <w:t>2018</w:t>
            </w:r>
          </w:p>
        </w:tc>
        <w:tc>
          <w:tcPr>
            <w:tcW w:w="140" w:type="dxa"/>
            <w:vAlign w:val="bottom"/>
            <w:tcBorders>
              <w:top w:val="single" w:sz="8" w:color="auto"/>
              <w:bottom w:val="single" w:sz="8" w:color="CCEEFF"/>
            </w:tcBorders>
          </w:tcPr>
          <w:p>
            <w:pPr>
              <w:spacing w:after="0"/>
              <w:rPr>
                <w:sz w:val="10"/>
                <w:szCs w:val="10"/>
                <w:color w:val="auto"/>
              </w:rPr>
            </w:pPr>
          </w:p>
        </w:tc>
        <w:tc>
          <w:tcPr>
            <w:tcW w:w="720" w:type="dxa"/>
            <w:vAlign w:val="bottom"/>
            <w:tcBorders>
              <w:top w:val="single" w:sz="8" w:color="auto"/>
              <w:bottom w:val="single" w:sz="8" w:color="auto"/>
            </w:tcBorders>
          </w:tcPr>
          <w:p>
            <w:pPr>
              <w:jc w:val="right"/>
              <w:ind w:right="186"/>
              <w:spacing w:after="0" w:line="115" w:lineRule="exact"/>
              <w:rPr>
                <w:sz w:val="20"/>
                <w:szCs w:val="20"/>
                <w:color w:val="auto"/>
              </w:rPr>
            </w:pPr>
            <w:r>
              <w:rPr>
                <w:rFonts w:ascii="Arial" w:cs="Arial" w:eastAsia="Arial" w:hAnsi="Arial"/>
                <w:sz w:val="11"/>
                <w:szCs w:val="11"/>
                <w:b w:val="1"/>
                <w:bCs w:val="1"/>
                <w:color w:val="auto"/>
              </w:rPr>
              <w:t>2019</w:t>
            </w:r>
          </w:p>
        </w:tc>
        <w:tc>
          <w:tcPr>
            <w:tcW w:w="80" w:type="dxa"/>
            <w:vAlign w:val="bottom"/>
            <w:tcBorders>
              <w:bottom w:val="single" w:sz="8" w:color="CCEEFF"/>
            </w:tcBorders>
          </w:tcPr>
          <w:p>
            <w:pPr>
              <w:spacing w:after="0"/>
              <w:rPr>
                <w:sz w:val="10"/>
                <w:szCs w:val="10"/>
                <w:color w:val="auto"/>
              </w:rPr>
            </w:pPr>
          </w:p>
        </w:tc>
      </w:tr>
      <w:tr>
        <w:trPr>
          <w:trHeight w:val="115"/>
        </w:trPr>
        <w:tc>
          <w:tcPr>
            <w:tcW w:w="4920" w:type="dxa"/>
            <w:vAlign w:val="bottom"/>
            <w:shd w:val="clear" w:color="auto" w:fill="CCEEFF"/>
          </w:tcPr>
          <w:p>
            <w:pPr>
              <w:spacing w:after="0" w:line="111" w:lineRule="exact"/>
              <w:rPr>
                <w:sz w:val="20"/>
                <w:szCs w:val="20"/>
                <w:color w:val="auto"/>
              </w:rPr>
            </w:pPr>
            <w:r>
              <w:rPr>
                <w:rFonts w:ascii="Arial" w:cs="Arial" w:eastAsia="Arial" w:hAnsi="Arial"/>
                <w:sz w:val="11"/>
                <w:szCs w:val="11"/>
                <w:color w:val="auto"/>
              </w:rPr>
              <w:t>Employee stock options</w:t>
            </w:r>
          </w:p>
        </w:tc>
        <w:tc>
          <w:tcPr>
            <w:tcW w:w="700" w:type="dxa"/>
            <w:vAlign w:val="bottom"/>
            <w:shd w:val="clear" w:color="auto" w:fill="CCEEFF"/>
          </w:tcPr>
          <w:p>
            <w:pPr>
              <w:jc w:val="right"/>
              <w:spacing w:after="0" w:line="115" w:lineRule="exact"/>
              <w:rPr>
                <w:sz w:val="20"/>
                <w:szCs w:val="20"/>
                <w:color w:val="auto"/>
              </w:rPr>
            </w:pPr>
            <w:r>
              <w:rPr>
                <w:rFonts w:ascii="Arial" w:cs="Arial" w:eastAsia="Arial" w:hAnsi="Arial"/>
                <w:sz w:val="11"/>
                <w:szCs w:val="11"/>
                <w:color w:val="auto"/>
              </w:rPr>
              <w:t>8,451,783</w:t>
            </w:r>
          </w:p>
        </w:tc>
        <w:tc>
          <w:tcPr>
            <w:tcW w:w="100" w:type="dxa"/>
            <w:vAlign w:val="bottom"/>
            <w:shd w:val="clear" w:color="auto" w:fill="CCEEFF"/>
          </w:tcPr>
          <w:p>
            <w:pPr>
              <w:spacing w:after="0"/>
              <w:rPr>
                <w:sz w:val="10"/>
                <w:szCs w:val="10"/>
                <w:color w:val="auto"/>
              </w:rPr>
            </w:pPr>
          </w:p>
        </w:tc>
        <w:tc>
          <w:tcPr>
            <w:tcW w:w="700" w:type="dxa"/>
            <w:vAlign w:val="bottom"/>
            <w:shd w:val="clear" w:color="auto" w:fill="CCEEFF"/>
          </w:tcPr>
          <w:p>
            <w:pPr>
              <w:jc w:val="right"/>
              <w:spacing w:after="0" w:line="115" w:lineRule="exact"/>
              <w:rPr>
                <w:sz w:val="20"/>
                <w:szCs w:val="20"/>
                <w:color w:val="auto"/>
              </w:rPr>
            </w:pPr>
            <w:r>
              <w:rPr>
                <w:rFonts w:ascii="Arial" w:cs="Arial" w:eastAsia="Arial" w:hAnsi="Arial"/>
                <w:sz w:val="11"/>
                <w:szCs w:val="11"/>
                <w:color w:val="auto"/>
              </w:rPr>
              <w:t>12,890,826</w:t>
            </w:r>
          </w:p>
        </w:tc>
        <w:tc>
          <w:tcPr>
            <w:tcW w:w="140" w:type="dxa"/>
            <w:vAlign w:val="bottom"/>
            <w:shd w:val="clear" w:color="auto" w:fill="CCEEFF"/>
          </w:tcPr>
          <w:p>
            <w:pPr>
              <w:spacing w:after="0"/>
              <w:rPr>
                <w:sz w:val="10"/>
                <w:szCs w:val="10"/>
                <w:color w:val="auto"/>
              </w:rPr>
            </w:pPr>
          </w:p>
        </w:tc>
        <w:tc>
          <w:tcPr>
            <w:tcW w:w="720" w:type="dxa"/>
            <w:vAlign w:val="bottom"/>
            <w:shd w:val="clear" w:color="auto" w:fill="CCEEFF"/>
          </w:tcPr>
          <w:p>
            <w:pPr>
              <w:jc w:val="right"/>
              <w:spacing w:after="0" w:line="115" w:lineRule="exact"/>
              <w:rPr>
                <w:sz w:val="20"/>
                <w:szCs w:val="20"/>
                <w:color w:val="auto"/>
              </w:rPr>
            </w:pPr>
            <w:r>
              <w:rPr>
                <w:rFonts w:ascii="Arial" w:cs="Arial" w:eastAsia="Arial" w:hAnsi="Arial"/>
                <w:sz w:val="11"/>
                <w:szCs w:val="11"/>
                <w:color w:val="auto"/>
              </w:rPr>
              <w:t>20,609,654</w:t>
            </w:r>
          </w:p>
        </w:tc>
        <w:tc>
          <w:tcPr>
            <w:tcW w:w="80" w:type="dxa"/>
            <w:vAlign w:val="bottom"/>
            <w:shd w:val="clear" w:color="auto" w:fill="CCEEFF"/>
          </w:tcPr>
          <w:p>
            <w:pPr>
              <w:spacing w:after="0"/>
              <w:rPr>
                <w:sz w:val="10"/>
                <w:szCs w:val="10"/>
                <w:color w:val="auto"/>
              </w:rPr>
            </w:pPr>
          </w:p>
        </w:tc>
      </w:tr>
      <w:tr>
        <w:trPr>
          <w:trHeight w:val="126"/>
        </w:trPr>
        <w:tc>
          <w:tcPr>
            <w:tcW w:w="4920" w:type="dxa"/>
            <w:vAlign w:val="bottom"/>
          </w:tcPr>
          <w:p>
            <w:pPr>
              <w:spacing w:after="0"/>
              <w:rPr>
                <w:sz w:val="20"/>
                <w:szCs w:val="20"/>
                <w:color w:val="auto"/>
              </w:rPr>
            </w:pPr>
            <w:r>
              <w:rPr>
                <w:rFonts w:ascii="Arial" w:cs="Arial" w:eastAsia="Arial" w:hAnsi="Arial"/>
                <w:sz w:val="11"/>
                <w:szCs w:val="11"/>
                <w:color w:val="auto"/>
              </w:rPr>
              <w:t>Warrants</w:t>
            </w:r>
          </w:p>
        </w:tc>
        <w:tc>
          <w:tcPr>
            <w:tcW w:w="700" w:type="dxa"/>
            <w:vAlign w:val="bottom"/>
          </w:tcPr>
          <w:p>
            <w:pPr>
              <w:jc w:val="right"/>
              <w:spacing w:after="0"/>
              <w:rPr>
                <w:sz w:val="20"/>
                <w:szCs w:val="20"/>
                <w:color w:val="auto"/>
              </w:rPr>
            </w:pPr>
            <w:r>
              <w:rPr>
                <w:rFonts w:ascii="Arial" w:cs="Arial" w:eastAsia="Arial" w:hAnsi="Arial"/>
                <w:sz w:val="11"/>
                <w:szCs w:val="11"/>
                <w:color w:val="auto"/>
              </w:rPr>
              <w:t>196,264</w:t>
            </w:r>
          </w:p>
        </w:tc>
        <w:tc>
          <w:tcPr>
            <w:tcW w:w="100" w:type="dxa"/>
            <w:vAlign w:val="bottom"/>
          </w:tcPr>
          <w:p>
            <w:pPr>
              <w:spacing w:after="0"/>
              <w:rPr>
                <w:sz w:val="10"/>
                <w:szCs w:val="10"/>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224,903</w:t>
            </w:r>
          </w:p>
        </w:tc>
        <w:tc>
          <w:tcPr>
            <w:tcW w:w="140" w:type="dxa"/>
            <w:vAlign w:val="bottom"/>
          </w:tcPr>
          <w:p>
            <w:pPr>
              <w:spacing w:after="0"/>
              <w:rPr>
                <w:sz w:val="10"/>
                <w:szCs w:val="10"/>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234,527</w:t>
            </w:r>
          </w:p>
        </w:tc>
        <w:tc>
          <w:tcPr>
            <w:tcW w:w="80" w:type="dxa"/>
            <w:vAlign w:val="bottom"/>
          </w:tcPr>
          <w:p>
            <w:pPr>
              <w:spacing w:after="0"/>
              <w:rPr>
                <w:sz w:val="10"/>
                <w:szCs w:val="10"/>
                <w:color w:val="auto"/>
              </w:rPr>
            </w:pPr>
          </w:p>
        </w:tc>
      </w:tr>
      <w:tr>
        <w:trPr>
          <w:trHeight w:val="126"/>
        </w:trPr>
        <w:tc>
          <w:tcPr>
            <w:tcW w:w="4920" w:type="dxa"/>
            <w:vAlign w:val="bottom"/>
            <w:shd w:val="clear" w:color="auto" w:fill="CCEEFF"/>
          </w:tcPr>
          <w:p>
            <w:pPr>
              <w:spacing w:after="0"/>
              <w:rPr>
                <w:sz w:val="20"/>
                <w:szCs w:val="20"/>
                <w:color w:val="auto"/>
              </w:rPr>
            </w:pPr>
            <w:r>
              <w:rPr>
                <w:rFonts w:ascii="Arial" w:cs="Arial" w:eastAsia="Arial" w:hAnsi="Arial"/>
                <w:sz w:val="11"/>
                <w:szCs w:val="11"/>
                <w:color w:val="auto"/>
              </w:rPr>
              <w:t>Redeemable convertible preferred stock</w:t>
            </w:r>
          </w:p>
        </w:tc>
        <w:tc>
          <w:tcPr>
            <w:tcW w:w="7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134,633,504</w:t>
            </w:r>
          </w:p>
        </w:tc>
        <w:tc>
          <w:tcPr>
            <w:tcW w:w="100" w:type="dxa"/>
            <w:vAlign w:val="bottom"/>
            <w:shd w:val="clear" w:color="auto" w:fill="CCEEFF"/>
          </w:tcPr>
          <w:p>
            <w:pPr>
              <w:spacing w:after="0"/>
              <w:rPr>
                <w:sz w:val="10"/>
                <w:szCs w:val="10"/>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176,313,468</w:t>
            </w:r>
          </w:p>
        </w:tc>
        <w:tc>
          <w:tcPr>
            <w:tcW w:w="140" w:type="dxa"/>
            <w:vAlign w:val="bottom"/>
            <w:shd w:val="clear" w:color="auto" w:fill="CCEEFF"/>
          </w:tcPr>
          <w:p>
            <w:pPr>
              <w:spacing w:after="0"/>
              <w:rPr>
                <w:sz w:val="10"/>
                <w:szCs w:val="10"/>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210,640,629</w:t>
            </w:r>
          </w:p>
        </w:tc>
        <w:tc>
          <w:tcPr>
            <w:tcW w:w="80" w:type="dxa"/>
            <w:vAlign w:val="bottom"/>
            <w:shd w:val="clear" w:color="auto" w:fill="CCEEFF"/>
          </w:tcPr>
          <w:p>
            <w:pPr>
              <w:spacing w:after="0"/>
              <w:rPr>
                <w:sz w:val="10"/>
                <w:szCs w:val="10"/>
                <w:color w:val="auto"/>
              </w:rPr>
            </w:pPr>
          </w:p>
        </w:tc>
      </w:tr>
    </w:tbl>
    <w:p>
      <w:pPr>
        <w:spacing w:after="0" w:line="205" w:lineRule="exact"/>
        <w:rPr>
          <w:sz w:val="20"/>
          <w:szCs w:val="20"/>
          <w:color w:val="auto"/>
        </w:rPr>
      </w:pPr>
    </w:p>
    <w:p>
      <w:pPr>
        <w:ind w:left="2060"/>
        <w:spacing w:after="0"/>
        <w:rPr>
          <w:sz w:val="20"/>
          <w:szCs w:val="20"/>
          <w:color w:val="auto"/>
        </w:rPr>
      </w:pPr>
      <w:r>
        <w:rPr>
          <w:rFonts w:ascii="Arial" w:cs="Arial" w:eastAsia="Arial" w:hAnsi="Arial"/>
          <w:sz w:val="11"/>
          <w:szCs w:val="11"/>
          <w:b w:val="1"/>
          <w:bCs w:val="1"/>
          <w:i w:val="1"/>
          <w:iCs w:val="1"/>
          <w:color w:val="auto"/>
        </w:rPr>
        <w:t>Unaudited Pro Forma Net Loss Per Share</w:t>
      </w:r>
    </w:p>
    <w:p>
      <w:pPr>
        <w:spacing w:after="0" w:line="84" w:lineRule="exact"/>
        <w:rPr>
          <w:sz w:val="20"/>
          <w:szCs w:val="20"/>
          <w:color w:val="auto"/>
        </w:rPr>
      </w:pPr>
    </w:p>
    <w:p>
      <w:pPr>
        <w:jc w:val="both"/>
        <w:ind w:left="2060" w:right="839"/>
        <w:spacing w:after="0" w:line="242" w:lineRule="auto"/>
        <w:rPr>
          <w:sz w:val="20"/>
          <w:szCs w:val="20"/>
          <w:color w:val="auto"/>
        </w:rPr>
      </w:pPr>
      <w:r>
        <w:rPr>
          <w:rFonts w:ascii="Arial" w:cs="Arial" w:eastAsia="Arial" w:hAnsi="Arial"/>
          <w:sz w:val="11"/>
          <w:szCs w:val="11"/>
          <w:color w:val="auto"/>
        </w:rPr>
        <w:t>The unaudited pro forma basic and diluted net loss per share attributable to common stockholders has been computed to give effect to the assumed automatic conversion of the redeemable convertible preferred stock into shares of common stock using the if converted method upon the completion of a qualifying IPO as though the conversion had occurred as of the beginning of the period, or original date of issuance if later.</w:t>
      </w:r>
    </w:p>
    <w:p>
      <w:pPr>
        <w:spacing w:after="0" w:line="140" w:lineRule="exact"/>
        <w:rPr>
          <w:sz w:val="20"/>
          <w:szCs w:val="20"/>
          <w:color w:val="auto"/>
        </w:rPr>
      </w:pPr>
    </w:p>
    <w:p>
      <w:pPr>
        <w:jc w:val="both"/>
        <w:ind w:left="2060" w:right="839"/>
        <w:spacing w:after="0" w:line="245" w:lineRule="auto"/>
        <w:rPr>
          <w:sz w:val="20"/>
          <w:szCs w:val="20"/>
          <w:color w:val="auto"/>
        </w:rPr>
      </w:pPr>
      <w:r>
        <w:rPr>
          <w:rFonts w:ascii="Arial" w:cs="Arial" w:eastAsia="Arial" w:hAnsi="Arial"/>
          <w:sz w:val="11"/>
          <w:szCs w:val="11"/>
          <w:color w:val="auto"/>
        </w:rPr>
        <w:t>The following table sets forth the computation of the Company’s unaudited pro forma basic and diluted net loss per share attributable to common stockholders for the period indicated:</w:t>
      </w:r>
    </w:p>
    <w:p>
      <w:pPr>
        <w:spacing w:after="0" w:line="144" w:lineRule="exact"/>
        <w:rPr>
          <w:sz w:val="20"/>
          <w:szCs w:val="20"/>
          <w:color w:val="auto"/>
        </w:rPr>
      </w:pPr>
    </w:p>
    <w:tbl>
      <w:tblPr>
        <w:tblLayout w:type="fixed"/>
        <w:tblInd w:w="2060" w:type="dxa"/>
        <w:tblCellMar>
          <w:top w:w="0" w:type="dxa"/>
          <w:left w:w="0" w:type="dxa"/>
          <w:bottom w:w="0" w:type="dxa"/>
          <w:right w:w="0" w:type="dxa"/>
        </w:tblCellMar>
      </w:tblPr>
      <w:tr>
        <w:trPr>
          <w:trHeight w:val="126"/>
        </w:trPr>
        <w:tc>
          <w:tcPr>
            <w:tcW w:w="58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60" w:type="dxa"/>
            <w:vAlign w:val="bottom"/>
            <w:gridSpan w:val="3"/>
          </w:tcPr>
          <w:p>
            <w:pPr>
              <w:jc w:val="center"/>
              <w:ind w:right="100"/>
              <w:spacing w:after="0"/>
              <w:rPr>
                <w:sz w:val="20"/>
                <w:szCs w:val="20"/>
                <w:color w:val="auto"/>
              </w:rPr>
            </w:pPr>
            <w:r>
              <w:rPr>
                <w:rFonts w:ascii="Arial" w:cs="Arial" w:eastAsia="Arial" w:hAnsi="Arial"/>
                <w:sz w:val="11"/>
                <w:szCs w:val="11"/>
                <w:b w:val="1"/>
                <w:bCs w:val="1"/>
                <w:color w:val="auto"/>
                <w:w w:val="97"/>
              </w:rPr>
              <w:t>Fiscal Year Ended</w:t>
            </w:r>
          </w:p>
        </w:tc>
      </w:tr>
      <w:tr>
        <w:trPr>
          <w:trHeight w:val="137"/>
        </w:trPr>
        <w:tc>
          <w:tcPr>
            <w:tcW w:w="5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0" w:type="dxa"/>
            <w:vAlign w:val="bottom"/>
            <w:gridSpan w:val="2"/>
          </w:tcPr>
          <w:p>
            <w:pPr>
              <w:jc w:val="center"/>
              <w:ind w:right="140"/>
              <w:spacing w:after="0"/>
              <w:rPr>
                <w:sz w:val="20"/>
                <w:szCs w:val="20"/>
                <w:color w:val="auto"/>
              </w:rPr>
            </w:pPr>
            <w:r>
              <w:rPr>
                <w:rFonts w:ascii="Arial" w:cs="Arial" w:eastAsia="Arial" w:hAnsi="Arial"/>
                <w:sz w:val="11"/>
                <w:szCs w:val="11"/>
                <w:b w:val="1"/>
                <w:bCs w:val="1"/>
                <w:color w:val="auto"/>
                <w:w w:val="97"/>
              </w:rPr>
              <w:t>June 30, 2019</w:t>
            </w:r>
          </w:p>
        </w:tc>
      </w:tr>
      <w:tr>
        <w:trPr>
          <w:trHeight w:val="104"/>
        </w:trPr>
        <w:tc>
          <w:tcPr>
            <w:tcW w:w="5800" w:type="dxa"/>
            <w:vAlign w:val="bottom"/>
          </w:tcPr>
          <w:p>
            <w:pPr>
              <w:spacing w:after="0"/>
              <w:rPr>
                <w:sz w:val="9"/>
                <w:szCs w:val="9"/>
                <w:color w:val="auto"/>
              </w:rPr>
            </w:pPr>
          </w:p>
        </w:tc>
        <w:tc>
          <w:tcPr>
            <w:tcW w:w="500" w:type="dxa"/>
            <w:vAlign w:val="bottom"/>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920" w:type="dxa"/>
            <w:vAlign w:val="bottom"/>
            <w:tcBorders>
              <w:top w:val="single" w:sz="8" w:color="auto"/>
            </w:tcBorders>
          </w:tcPr>
          <w:p>
            <w:pPr>
              <w:jc w:val="center"/>
              <w:ind w:right="6"/>
              <w:spacing w:after="0" w:line="105" w:lineRule="exact"/>
              <w:rPr>
                <w:sz w:val="20"/>
                <w:szCs w:val="20"/>
                <w:color w:val="auto"/>
              </w:rPr>
            </w:pPr>
            <w:r>
              <w:rPr>
                <w:rFonts w:ascii="Arial" w:cs="Arial" w:eastAsia="Arial" w:hAnsi="Arial"/>
                <w:sz w:val="11"/>
                <w:szCs w:val="11"/>
                <w:b w:val="1"/>
                <w:bCs w:val="1"/>
                <w:color w:val="auto"/>
                <w:w w:val="96"/>
              </w:rPr>
              <w:t>(unaudited)</w:t>
            </w:r>
          </w:p>
        </w:tc>
        <w:tc>
          <w:tcPr>
            <w:tcW w:w="80" w:type="dxa"/>
            <w:vAlign w:val="bottom"/>
          </w:tcPr>
          <w:p>
            <w:pPr>
              <w:spacing w:after="0"/>
              <w:rPr>
                <w:sz w:val="9"/>
                <w:szCs w:val="9"/>
                <w:color w:val="auto"/>
              </w:rPr>
            </w:pPr>
          </w:p>
        </w:tc>
      </w:tr>
      <w:tr>
        <w:trPr>
          <w:trHeight w:val="126"/>
        </w:trPr>
        <w:tc>
          <w:tcPr>
            <w:tcW w:w="5800" w:type="dxa"/>
            <w:vAlign w:val="bottom"/>
          </w:tcPr>
          <w:p>
            <w:pPr>
              <w:spacing w:after="0"/>
              <w:rPr>
                <w:sz w:val="10"/>
                <w:szCs w:val="10"/>
                <w:color w:val="auto"/>
              </w:rPr>
            </w:pPr>
          </w:p>
        </w:tc>
        <w:tc>
          <w:tcPr>
            <w:tcW w:w="1560" w:type="dxa"/>
            <w:vAlign w:val="bottom"/>
            <w:gridSpan w:val="4"/>
          </w:tcPr>
          <w:p>
            <w:pPr>
              <w:jc w:val="center"/>
              <w:ind w:left="366"/>
              <w:spacing w:after="0"/>
              <w:rPr>
                <w:sz w:val="20"/>
                <w:szCs w:val="20"/>
                <w:color w:val="auto"/>
              </w:rPr>
            </w:pPr>
            <w:r>
              <w:rPr>
                <w:rFonts w:ascii="Arial" w:cs="Arial" w:eastAsia="Arial" w:hAnsi="Arial"/>
                <w:sz w:val="11"/>
                <w:szCs w:val="11"/>
                <w:b w:val="1"/>
                <w:bCs w:val="1"/>
                <w:color w:val="auto"/>
                <w:w w:val="98"/>
              </w:rPr>
              <w:t>(in millions, except</w:t>
            </w:r>
          </w:p>
        </w:tc>
      </w:tr>
      <w:tr>
        <w:trPr>
          <w:trHeight w:val="126"/>
        </w:trPr>
        <w:tc>
          <w:tcPr>
            <w:tcW w:w="58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0" w:type="dxa"/>
            <w:vAlign w:val="bottom"/>
            <w:gridSpan w:val="2"/>
          </w:tcPr>
          <w:p>
            <w:pPr>
              <w:jc w:val="center"/>
              <w:ind w:right="140"/>
              <w:spacing w:after="0"/>
              <w:rPr>
                <w:sz w:val="20"/>
                <w:szCs w:val="20"/>
                <w:color w:val="auto"/>
              </w:rPr>
            </w:pPr>
            <w:r>
              <w:rPr>
                <w:rFonts w:ascii="Arial" w:cs="Arial" w:eastAsia="Arial" w:hAnsi="Arial"/>
                <w:sz w:val="11"/>
                <w:szCs w:val="11"/>
                <w:b w:val="1"/>
                <w:bCs w:val="1"/>
                <w:color w:val="auto"/>
                <w:w w:val="96"/>
              </w:rPr>
              <w:t>share and per</w:t>
            </w:r>
          </w:p>
        </w:tc>
      </w:tr>
      <w:tr>
        <w:trPr>
          <w:trHeight w:val="137"/>
        </w:trPr>
        <w:tc>
          <w:tcPr>
            <w:tcW w:w="5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0" w:type="dxa"/>
            <w:vAlign w:val="bottom"/>
            <w:gridSpan w:val="2"/>
          </w:tcPr>
          <w:p>
            <w:pPr>
              <w:jc w:val="center"/>
              <w:ind w:right="160"/>
              <w:spacing w:after="0"/>
              <w:rPr>
                <w:sz w:val="20"/>
                <w:szCs w:val="20"/>
                <w:color w:val="auto"/>
              </w:rPr>
            </w:pPr>
            <w:r>
              <w:rPr>
                <w:rFonts w:ascii="Arial" w:cs="Arial" w:eastAsia="Arial" w:hAnsi="Arial"/>
                <w:sz w:val="11"/>
                <w:szCs w:val="11"/>
                <w:b w:val="1"/>
                <w:bCs w:val="1"/>
                <w:color w:val="auto"/>
                <w:w w:val="97"/>
              </w:rPr>
              <w:t>share amounts)</w:t>
            </w:r>
          </w:p>
        </w:tc>
      </w:tr>
      <w:tr>
        <w:trPr>
          <w:trHeight w:val="126"/>
        </w:trPr>
        <w:tc>
          <w:tcPr>
            <w:tcW w:w="5800" w:type="dxa"/>
            <w:vAlign w:val="bottom"/>
            <w:shd w:val="clear" w:color="auto" w:fill="CCEEFF"/>
          </w:tcPr>
          <w:p>
            <w:pPr>
              <w:spacing w:after="0"/>
              <w:rPr>
                <w:sz w:val="20"/>
                <w:szCs w:val="20"/>
                <w:color w:val="auto"/>
              </w:rPr>
            </w:pPr>
            <w:r>
              <w:rPr>
                <w:rFonts w:ascii="Arial" w:cs="Arial" w:eastAsia="Arial" w:hAnsi="Arial"/>
                <w:sz w:val="11"/>
                <w:szCs w:val="11"/>
                <w:b w:val="1"/>
                <w:bCs w:val="1"/>
                <w:color w:val="auto"/>
              </w:rPr>
              <w:t>Numerator:</w:t>
            </w:r>
          </w:p>
        </w:tc>
        <w:tc>
          <w:tcPr>
            <w:tcW w:w="5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r>
      <w:tr>
        <w:trPr>
          <w:trHeight w:val="126"/>
        </w:trPr>
        <w:tc>
          <w:tcPr>
            <w:tcW w:w="5800" w:type="dxa"/>
            <w:vAlign w:val="bottom"/>
          </w:tcPr>
          <w:p>
            <w:pPr>
              <w:spacing w:after="0"/>
              <w:rPr>
                <w:sz w:val="20"/>
                <w:szCs w:val="20"/>
                <w:color w:val="auto"/>
              </w:rPr>
            </w:pPr>
            <w:r>
              <w:rPr>
                <w:rFonts w:ascii="Arial" w:cs="Arial" w:eastAsia="Arial" w:hAnsi="Arial"/>
                <w:sz w:val="11"/>
                <w:szCs w:val="11"/>
                <w:color w:val="auto"/>
              </w:rPr>
              <w:t>Pro forma net loss attributable to common stockholders, basic and diluted</w:t>
            </w:r>
          </w:p>
        </w:tc>
        <w:tc>
          <w:tcPr>
            <w:tcW w:w="56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1000" w:type="dxa"/>
            <w:vAlign w:val="bottom"/>
            <w:gridSpan w:val="2"/>
          </w:tcPr>
          <w:p>
            <w:pPr>
              <w:jc w:val="right"/>
              <w:ind w:right="40"/>
              <w:spacing w:after="0"/>
              <w:rPr>
                <w:sz w:val="20"/>
                <w:szCs w:val="20"/>
                <w:color w:val="auto"/>
              </w:rPr>
            </w:pPr>
            <w:r>
              <w:rPr>
                <w:rFonts w:ascii="Arial" w:cs="Arial" w:eastAsia="Arial" w:hAnsi="Arial"/>
                <w:sz w:val="11"/>
                <w:szCs w:val="11"/>
                <w:color w:val="auto"/>
              </w:rPr>
              <w:t>(195.6)</w:t>
            </w:r>
          </w:p>
        </w:tc>
      </w:tr>
      <w:tr>
        <w:trPr>
          <w:trHeight w:val="126"/>
        </w:trPr>
        <w:tc>
          <w:tcPr>
            <w:tcW w:w="5800" w:type="dxa"/>
            <w:vAlign w:val="bottom"/>
            <w:shd w:val="clear" w:color="auto" w:fill="CCEEFF"/>
          </w:tcPr>
          <w:p>
            <w:pPr>
              <w:spacing w:after="0"/>
              <w:rPr>
                <w:sz w:val="20"/>
                <w:szCs w:val="20"/>
                <w:color w:val="auto"/>
              </w:rPr>
            </w:pPr>
            <w:r>
              <w:rPr>
                <w:rFonts w:ascii="Arial" w:cs="Arial" w:eastAsia="Arial" w:hAnsi="Arial"/>
                <w:sz w:val="11"/>
                <w:szCs w:val="11"/>
                <w:b w:val="1"/>
                <w:bCs w:val="1"/>
                <w:color w:val="auto"/>
              </w:rPr>
              <w:t>Denominator:</w:t>
            </w:r>
          </w:p>
        </w:tc>
        <w:tc>
          <w:tcPr>
            <w:tcW w:w="5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r>
      <w:tr>
        <w:trPr>
          <w:trHeight w:val="127"/>
        </w:trPr>
        <w:tc>
          <w:tcPr>
            <w:tcW w:w="5800" w:type="dxa"/>
            <w:vAlign w:val="bottom"/>
          </w:tcPr>
          <w:p>
            <w:pPr>
              <w:spacing w:after="0"/>
              <w:rPr>
                <w:sz w:val="20"/>
                <w:szCs w:val="20"/>
                <w:color w:val="auto"/>
              </w:rPr>
            </w:pPr>
            <w:r>
              <w:rPr>
                <w:rFonts w:ascii="Arial" w:cs="Arial" w:eastAsia="Arial" w:hAnsi="Arial"/>
                <w:sz w:val="11"/>
                <w:szCs w:val="11"/>
                <w:color w:val="auto"/>
              </w:rPr>
              <w:t>Weighted-average shares used in computing net loss per share attributable to common stockholders, basic and</w:t>
            </w: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125"/>
        </w:trPr>
        <w:tc>
          <w:tcPr>
            <w:tcW w:w="5800" w:type="dxa"/>
            <w:vAlign w:val="bottom"/>
          </w:tcPr>
          <w:p>
            <w:pPr>
              <w:ind w:left="100"/>
              <w:spacing w:after="0" w:line="125" w:lineRule="exact"/>
              <w:rPr>
                <w:sz w:val="20"/>
                <w:szCs w:val="20"/>
                <w:color w:val="auto"/>
              </w:rPr>
            </w:pPr>
            <w:r>
              <w:rPr>
                <w:rFonts w:ascii="Arial" w:cs="Arial" w:eastAsia="Arial" w:hAnsi="Arial"/>
                <w:sz w:val="11"/>
                <w:szCs w:val="11"/>
                <w:color w:val="auto"/>
              </w:rPr>
              <w:t>diluted</w:t>
            </w: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20" w:type="dxa"/>
            <w:vAlign w:val="bottom"/>
          </w:tcPr>
          <w:p>
            <w:pPr>
              <w:jc w:val="right"/>
              <w:spacing w:after="0" w:line="125" w:lineRule="exact"/>
              <w:rPr>
                <w:sz w:val="20"/>
                <w:szCs w:val="20"/>
                <w:color w:val="auto"/>
              </w:rPr>
            </w:pPr>
            <w:r>
              <w:rPr>
                <w:rFonts w:ascii="Arial" w:cs="Arial" w:eastAsia="Arial" w:hAnsi="Arial"/>
                <w:sz w:val="11"/>
                <w:szCs w:val="11"/>
                <w:color w:val="auto"/>
              </w:rPr>
              <w:t>22,911,764</w:t>
            </w:r>
          </w:p>
        </w:tc>
        <w:tc>
          <w:tcPr>
            <w:tcW w:w="80" w:type="dxa"/>
            <w:vAlign w:val="bottom"/>
          </w:tcPr>
          <w:p>
            <w:pPr>
              <w:spacing w:after="0"/>
              <w:rPr>
                <w:sz w:val="10"/>
                <w:szCs w:val="10"/>
                <w:color w:val="auto"/>
              </w:rPr>
            </w:pPr>
          </w:p>
        </w:tc>
      </w:tr>
      <w:tr>
        <w:trPr>
          <w:trHeight w:val="126"/>
        </w:trPr>
        <w:tc>
          <w:tcPr>
            <w:tcW w:w="5800" w:type="dxa"/>
            <w:vAlign w:val="bottom"/>
            <w:shd w:val="clear" w:color="auto" w:fill="CCEEFF"/>
          </w:tcPr>
          <w:p>
            <w:pPr>
              <w:spacing w:after="0"/>
              <w:rPr>
                <w:sz w:val="20"/>
                <w:szCs w:val="20"/>
                <w:color w:val="auto"/>
              </w:rPr>
            </w:pPr>
            <w:r>
              <w:rPr>
                <w:rFonts w:ascii="Arial" w:cs="Arial" w:eastAsia="Arial" w:hAnsi="Arial"/>
                <w:sz w:val="11"/>
                <w:szCs w:val="11"/>
                <w:color w:val="auto"/>
              </w:rPr>
              <w:t>Pro forma adjustment to reflect assumed conversion of convertible preferred stock into common stock</w:t>
            </w:r>
          </w:p>
        </w:tc>
        <w:tc>
          <w:tcPr>
            <w:tcW w:w="500" w:type="dxa"/>
            <w:vAlign w:val="bottom"/>
            <w:shd w:val="clear" w:color="auto" w:fill="CCEEFF"/>
          </w:tcPr>
          <w:p>
            <w:pPr>
              <w:spacing w:after="0"/>
              <w:rPr>
                <w:sz w:val="10"/>
                <w:szCs w:val="10"/>
                <w:color w:val="auto"/>
              </w:rPr>
            </w:pPr>
          </w:p>
        </w:tc>
        <w:tc>
          <w:tcPr>
            <w:tcW w:w="60" w:type="dxa"/>
            <w:vAlign w:val="bottom"/>
            <w:tcBorders>
              <w:bottom w:val="single" w:sz="8" w:color="auto"/>
            </w:tcBorders>
            <w:shd w:val="clear" w:color="auto" w:fill="CCEEFF"/>
          </w:tcPr>
          <w:p>
            <w:pPr>
              <w:spacing w:after="0"/>
              <w:rPr>
                <w:sz w:val="10"/>
                <w:szCs w:val="1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210,640,629</w:t>
            </w:r>
          </w:p>
        </w:tc>
        <w:tc>
          <w:tcPr>
            <w:tcW w:w="80" w:type="dxa"/>
            <w:vAlign w:val="bottom"/>
            <w:shd w:val="clear" w:color="auto" w:fill="CCEEFF"/>
          </w:tcPr>
          <w:p>
            <w:pPr>
              <w:spacing w:after="0"/>
              <w:rPr>
                <w:sz w:val="10"/>
                <w:szCs w:val="10"/>
                <w:color w:val="auto"/>
              </w:rPr>
            </w:pPr>
          </w:p>
        </w:tc>
      </w:tr>
      <w:tr>
        <w:trPr>
          <w:trHeight w:val="125"/>
        </w:trPr>
        <w:tc>
          <w:tcPr>
            <w:tcW w:w="5800" w:type="dxa"/>
            <w:vAlign w:val="bottom"/>
          </w:tcPr>
          <w:p>
            <w:pPr>
              <w:spacing w:after="0" w:line="125" w:lineRule="exact"/>
              <w:rPr>
                <w:sz w:val="20"/>
                <w:szCs w:val="20"/>
                <w:color w:val="auto"/>
              </w:rPr>
            </w:pPr>
            <w:r>
              <w:rPr>
                <w:rFonts w:ascii="Arial" w:cs="Arial" w:eastAsia="Arial" w:hAnsi="Arial"/>
                <w:sz w:val="11"/>
                <w:szCs w:val="11"/>
                <w:color w:val="auto"/>
              </w:rPr>
              <w:t>Weighted-average shares used in computing pro forma net loss per share attributable to common stockholders,</w:t>
            </w: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80" w:type="dxa"/>
            <w:vAlign w:val="bottom"/>
          </w:tcPr>
          <w:p>
            <w:pPr>
              <w:spacing w:after="0"/>
              <w:rPr>
                <w:sz w:val="10"/>
                <w:szCs w:val="10"/>
                <w:color w:val="auto"/>
              </w:rPr>
            </w:pPr>
          </w:p>
        </w:tc>
      </w:tr>
      <w:tr>
        <w:trPr>
          <w:trHeight w:val="125"/>
        </w:trPr>
        <w:tc>
          <w:tcPr>
            <w:tcW w:w="5800" w:type="dxa"/>
            <w:vAlign w:val="bottom"/>
          </w:tcPr>
          <w:p>
            <w:pPr>
              <w:ind w:left="100"/>
              <w:spacing w:after="0" w:line="125" w:lineRule="exact"/>
              <w:rPr>
                <w:sz w:val="20"/>
                <w:szCs w:val="20"/>
                <w:color w:val="auto"/>
              </w:rPr>
            </w:pPr>
            <w:r>
              <w:rPr>
                <w:rFonts w:ascii="Arial" w:cs="Arial" w:eastAsia="Arial" w:hAnsi="Arial"/>
                <w:sz w:val="11"/>
                <w:szCs w:val="11"/>
                <w:color w:val="auto"/>
              </w:rPr>
              <w:t>basic and diluted</w:t>
            </w:r>
          </w:p>
        </w:tc>
        <w:tc>
          <w:tcPr>
            <w:tcW w:w="500" w:type="dxa"/>
            <w:vAlign w:val="bottom"/>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jc w:val="right"/>
              <w:spacing w:after="0" w:line="125" w:lineRule="exact"/>
              <w:rPr>
                <w:sz w:val="20"/>
                <w:szCs w:val="20"/>
                <w:color w:val="auto"/>
              </w:rPr>
            </w:pPr>
            <w:r>
              <w:rPr>
                <w:rFonts w:ascii="Arial" w:cs="Arial" w:eastAsia="Arial" w:hAnsi="Arial"/>
                <w:sz w:val="11"/>
                <w:szCs w:val="11"/>
                <w:color w:val="auto"/>
              </w:rPr>
              <w:t>233,552,393</w:t>
            </w:r>
          </w:p>
        </w:tc>
        <w:tc>
          <w:tcPr>
            <w:tcW w:w="80" w:type="dxa"/>
            <w:vAlign w:val="bottom"/>
          </w:tcPr>
          <w:p>
            <w:pPr>
              <w:spacing w:after="0"/>
              <w:rPr>
                <w:sz w:val="10"/>
                <w:szCs w:val="10"/>
                <w:color w:val="auto"/>
              </w:rPr>
            </w:pPr>
          </w:p>
        </w:tc>
      </w:tr>
      <w:tr>
        <w:trPr>
          <w:trHeight w:val="131"/>
        </w:trPr>
        <w:tc>
          <w:tcPr>
            <w:tcW w:w="5800" w:type="dxa"/>
            <w:vAlign w:val="bottom"/>
            <w:shd w:val="clear" w:color="auto" w:fill="CCEEFF"/>
          </w:tcPr>
          <w:p>
            <w:pPr>
              <w:spacing w:after="0" w:line="124" w:lineRule="exact"/>
              <w:rPr>
                <w:sz w:val="20"/>
                <w:szCs w:val="20"/>
                <w:color w:val="auto"/>
              </w:rPr>
            </w:pPr>
            <w:r>
              <w:rPr>
                <w:rFonts w:ascii="Arial" w:cs="Arial" w:eastAsia="Arial" w:hAnsi="Arial"/>
                <w:sz w:val="11"/>
                <w:szCs w:val="11"/>
                <w:color w:val="auto"/>
              </w:rPr>
              <w:t>Pro forma net loss per share attributable to common stockholders, basic and diluted</w:t>
            </w:r>
          </w:p>
        </w:tc>
        <w:tc>
          <w:tcPr>
            <w:tcW w:w="560" w:type="dxa"/>
            <w:vAlign w:val="bottom"/>
            <w:gridSpan w:val="2"/>
            <w:shd w:val="clear" w:color="auto" w:fill="CCEEFF"/>
          </w:tcPr>
          <w:p>
            <w:pPr>
              <w:jc w:val="right"/>
              <w:spacing w:after="0" w:line="124" w:lineRule="exact"/>
              <w:rPr>
                <w:sz w:val="20"/>
                <w:szCs w:val="20"/>
                <w:color w:val="auto"/>
              </w:rPr>
            </w:pPr>
            <w:r>
              <w:rPr>
                <w:rFonts w:ascii="Arial" w:cs="Arial" w:eastAsia="Arial" w:hAnsi="Arial"/>
                <w:sz w:val="11"/>
                <w:szCs w:val="11"/>
                <w:color w:val="auto"/>
              </w:rPr>
              <w:t>$</w:t>
            </w:r>
          </w:p>
        </w:tc>
        <w:tc>
          <w:tcPr>
            <w:tcW w:w="1000" w:type="dxa"/>
            <w:vAlign w:val="bottom"/>
            <w:gridSpan w:val="2"/>
            <w:shd w:val="clear" w:color="auto" w:fill="CCEEFF"/>
          </w:tcPr>
          <w:p>
            <w:pPr>
              <w:jc w:val="right"/>
              <w:ind w:right="40"/>
              <w:spacing w:after="0" w:line="124" w:lineRule="exact"/>
              <w:rPr>
                <w:sz w:val="20"/>
                <w:szCs w:val="20"/>
                <w:color w:val="auto"/>
              </w:rPr>
            </w:pPr>
            <w:r>
              <w:rPr>
                <w:rFonts w:ascii="Arial" w:cs="Arial" w:eastAsia="Arial" w:hAnsi="Arial"/>
                <w:sz w:val="11"/>
                <w:szCs w:val="11"/>
                <w:color w:val="auto"/>
              </w:rPr>
              <w:t>(0.84)</w:t>
            </w:r>
          </w:p>
        </w:tc>
      </w:tr>
      <w:tr>
        <w:trPr>
          <w:trHeight w:val="239"/>
        </w:trPr>
        <w:tc>
          <w:tcPr>
            <w:tcW w:w="5800" w:type="dxa"/>
            <w:vAlign w:val="bottom"/>
          </w:tcPr>
          <w:p>
            <w:pPr>
              <w:ind w:left="3560"/>
              <w:spacing w:after="0"/>
              <w:rPr>
                <w:sz w:val="20"/>
                <w:szCs w:val="20"/>
                <w:color w:val="auto"/>
              </w:rPr>
            </w:pPr>
            <w:r>
              <w:rPr>
                <w:rFonts w:ascii="Arial" w:cs="Arial" w:eastAsia="Arial" w:hAnsi="Arial"/>
                <w:sz w:val="11"/>
                <w:szCs w:val="11"/>
                <w:color w:val="auto"/>
              </w:rPr>
              <w:t>F-34</w:t>
            </w:r>
          </w:p>
        </w:tc>
        <w:tc>
          <w:tcPr>
            <w:tcW w:w="500" w:type="dxa"/>
            <w:vAlign w:val="bottom"/>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r>
    </w:tbl>
    <w:p>
      <w:pPr>
        <w:sectPr>
          <w:pgSz w:w="11900" w:h="16838" w:orient="portrait"/>
          <w:cols w:equalWidth="0" w:num="1">
            <w:col w:w="10239"/>
          </w:cols>
          <w:pgMar w:left="220" w:top="354" w:right="1440" w:bottom="1440" w:gutter="0" w:footer="0" w:header="0"/>
        </w:sectPr>
      </w:pPr>
    </w:p>
    <w:bookmarkStart w:id="198" w:name="page199"/>
    <w:bookmarkEnd w:id="198"/>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hyperlink w:anchor="page5">
        <w:r>
          <w:rPr>
            <w:rFonts w:ascii="Arial" w:cs="Arial" w:eastAsia="Arial" w:hAnsi="Arial"/>
            <w:sz w:val="12"/>
            <w:szCs w:val="12"/>
            <w:b w:val="1"/>
            <w:bCs w:val="1"/>
            <w:u w:val="single" w:color="auto"/>
            <w:color w:val="0000EE"/>
          </w:rPr>
          <w:t>Table of Contents</w:t>
        </w:r>
      </w:hyperlink>
    </w:p>
    <w:p>
      <w:pPr>
        <w:spacing w:after="0" w:line="200" w:lineRule="exact"/>
        <w:rPr>
          <w:sz w:val="20"/>
          <w:szCs w:val="20"/>
          <w:color w:val="auto"/>
        </w:rPr>
      </w:pPr>
    </w:p>
    <w:p>
      <w:pPr>
        <w:jc w:val="center"/>
        <w:ind w:right="-1220"/>
        <w:spacing w:after="0"/>
        <w:rPr>
          <w:sz w:val="20"/>
          <w:szCs w:val="20"/>
          <w:color w:val="auto"/>
        </w:rPr>
      </w:pPr>
      <w:r>
        <w:rPr>
          <w:rFonts w:ascii="Arial" w:cs="Arial" w:eastAsia="Arial" w:hAnsi="Arial"/>
          <w:sz w:val="12"/>
          <w:szCs w:val="12"/>
          <w:b w:val="1"/>
          <w:bCs w:val="1"/>
          <w:color w:val="auto"/>
        </w:rPr>
        <w:t>PELOTON INTERACTIVE, INC.</w:t>
      </w:r>
    </w:p>
    <w:p>
      <w:pPr>
        <w:spacing w:after="0" w:line="11" w:lineRule="exact"/>
        <w:rPr>
          <w:sz w:val="20"/>
          <w:szCs w:val="20"/>
          <w:color w:val="auto"/>
        </w:rPr>
      </w:pPr>
    </w:p>
    <w:p>
      <w:pPr>
        <w:jc w:val="center"/>
        <w:ind w:right="-1220"/>
        <w:spacing w:after="0"/>
        <w:rPr>
          <w:sz w:val="20"/>
          <w:szCs w:val="20"/>
          <w:color w:val="auto"/>
        </w:rPr>
      </w:pPr>
      <w:r>
        <w:rPr>
          <w:rFonts w:ascii="Arial" w:cs="Arial" w:eastAsia="Arial" w:hAnsi="Arial"/>
          <w:sz w:val="12"/>
          <w:szCs w:val="12"/>
          <w:b w:val="1"/>
          <w:bCs w:val="1"/>
          <w:color w:val="auto"/>
        </w:rPr>
        <w:t>NOTES TO CONSOLIDATED FINANCIAL STATEMENTS</w:t>
      </w:r>
    </w:p>
    <w:p>
      <w:pPr>
        <w:spacing w:after="0" w:line="68" w:lineRule="exact"/>
        <w:rPr>
          <w:sz w:val="20"/>
          <w:szCs w:val="20"/>
          <w:color w:val="auto"/>
        </w:rPr>
      </w:pPr>
    </w:p>
    <w:p>
      <w:pPr>
        <w:ind w:left="2060"/>
        <w:spacing w:after="0"/>
        <w:rPr>
          <w:sz w:val="20"/>
          <w:szCs w:val="20"/>
          <w:color w:val="auto"/>
        </w:rPr>
      </w:pPr>
      <w:r>
        <w:rPr>
          <w:rFonts w:ascii="Arial" w:cs="Arial" w:eastAsia="Arial" w:hAnsi="Arial"/>
          <w:sz w:val="11"/>
          <w:szCs w:val="11"/>
          <w:b w:val="1"/>
          <w:bCs w:val="1"/>
          <w:color w:val="auto"/>
        </w:rPr>
        <w:t>17. Segment Information</w:t>
      </w:r>
    </w:p>
    <w:p>
      <w:pPr>
        <w:spacing w:after="0" w:line="74" w:lineRule="exact"/>
        <w:rPr>
          <w:sz w:val="20"/>
          <w:szCs w:val="20"/>
          <w:color w:val="auto"/>
        </w:rPr>
      </w:pPr>
    </w:p>
    <w:p>
      <w:pPr>
        <w:jc w:val="both"/>
        <w:ind w:left="2060" w:right="839"/>
        <w:spacing w:after="0" w:line="243" w:lineRule="auto"/>
        <w:rPr>
          <w:sz w:val="20"/>
          <w:szCs w:val="20"/>
          <w:color w:val="auto"/>
        </w:rPr>
      </w:pPr>
      <w:r>
        <w:rPr>
          <w:rFonts w:ascii="Arial" w:cs="Arial" w:eastAsia="Arial" w:hAnsi="Arial"/>
          <w:sz w:val="11"/>
          <w:szCs w:val="11"/>
          <w:color w:val="auto"/>
        </w:rPr>
        <w:t xml:space="preserve">The Company applies ASC Topic 280, </w:t>
      </w:r>
      <w:r>
        <w:rPr>
          <w:rFonts w:ascii="Arial" w:cs="Arial" w:eastAsia="Arial" w:hAnsi="Arial"/>
          <w:sz w:val="11"/>
          <w:szCs w:val="11"/>
          <w:i w:val="1"/>
          <w:iCs w:val="1"/>
          <w:color w:val="auto"/>
        </w:rPr>
        <w:t>Segment Reporting</w:t>
      </w:r>
      <w:r>
        <w:rPr>
          <w:rFonts w:ascii="Arial" w:cs="Arial" w:eastAsia="Arial" w:hAnsi="Arial"/>
          <w:sz w:val="11"/>
          <w:szCs w:val="11"/>
          <w:color w:val="auto"/>
        </w:rPr>
        <w:t>, in determining reportable segments for its financial statement disclosure. The Company has three reportable segments: Connected Fitness Products, Subscription, and Other. Segment information is presented in the same manner that the Company’s Chief Operating Decision Maker (“CODM”) reviews the operating results in assessing performance and allocating resources. The CODM reviews revenue and gross profit for each of the reportable segments. Gross profit is defined as revenue less cost of revenue incurred by the segment. No operating segments have been aggregated to form the reportable segments. The Company does not allocate assets at the reportable segment level as these are managed on an entity wide group basis. As of June 30, 2019, the Company did not have material assets located outside of the United States.</w:t>
      </w:r>
    </w:p>
    <w:p>
      <w:pPr>
        <w:spacing w:after="0" w:line="68" w:lineRule="exact"/>
        <w:rPr>
          <w:sz w:val="20"/>
          <w:szCs w:val="20"/>
          <w:color w:val="auto"/>
        </w:rPr>
      </w:pPr>
    </w:p>
    <w:p>
      <w:pPr>
        <w:jc w:val="both"/>
        <w:ind w:left="2060" w:right="839"/>
        <w:spacing w:after="0" w:line="241" w:lineRule="auto"/>
        <w:rPr>
          <w:sz w:val="20"/>
          <w:szCs w:val="20"/>
          <w:color w:val="auto"/>
        </w:rPr>
      </w:pPr>
      <w:r>
        <w:rPr>
          <w:rFonts w:ascii="Arial" w:cs="Arial" w:eastAsia="Arial" w:hAnsi="Arial"/>
          <w:sz w:val="11"/>
          <w:szCs w:val="11"/>
          <w:color w:val="auto"/>
        </w:rPr>
        <w:t>The Connected Fitness Product segment derives revenue from sale of the Bike, Tread, and related accessories, and associated fees for delivery and installation and extended warranty agreements. The Subscription segment derives revenue from monthly Subscription fees as well as credits from live studio classes. The Other segment primarily consists of boutique and apparel sales. There are no internal revenue transactions between the Company’s segments.</w:t>
      </w:r>
    </w:p>
    <w:p>
      <w:pPr>
        <w:spacing w:after="0" w:line="68" w:lineRule="exact"/>
        <w:rPr>
          <w:sz w:val="20"/>
          <w:szCs w:val="20"/>
          <w:color w:val="auto"/>
        </w:rPr>
      </w:pPr>
    </w:p>
    <w:p>
      <w:pPr>
        <w:ind w:left="2060"/>
        <w:spacing w:after="0"/>
        <w:rPr>
          <w:sz w:val="20"/>
          <w:szCs w:val="20"/>
          <w:color w:val="auto"/>
        </w:rPr>
      </w:pPr>
      <w:r>
        <w:rPr>
          <w:rFonts w:ascii="Arial" w:cs="Arial" w:eastAsia="Arial" w:hAnsi="Arial"/>
          <w:sz w:val="11"/>
          <w:szCs w:val="11"/>
          <w:color w:val="auto"/>
        </w:rPr>
        <w:t>Key financial performance measures of the segments including revenue, cost of revenue, and gross profit are as follows:</w:t>
      </w:r>
    </w:p>
    <w:p>
      <w:pPr>
        <w:spacing w:after="0" w:line="150" w:lineRule="exact"/>
        <w:rPr>
          <w:sz w:val="20"/>
          <w:szCs w:val="20"/>
          <w:color w:val="auto"/>
        </w:rPr>
      </w:pPr>
    </w:p>
    <w:tbl>
      <w:tblPr>
        <w:tblLayout w:type="fixed"/>
        <w:tblInd w:w="2060" w:type="dxa"/>
        <w:tblCellMar>
          <w:top w:w="0" w:type="dxa"/>
          <w:left w:w="0" w:type="dxa"/>
          <w:bottom w:w="0" w:type="dxa"/>
          <w:right w:w="0" w:type="dxa"/>
        </w:tblCellMar>
      </w:tblPr>
      <w:tr>
        <w:trPr>
          <w:trHeight w:val="137"/>
        </w:trPr>
        <w:tc>
          <w:tcPr>
            <w:tcW w:w="5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140" w:type="dxa"/>
            <w:vAlign w:val="bottom"/>
            <w:gridSpan w:val="9"/>
          </w:tcPr>
          <w:p>
            <w:pPr>
              <w:jc w:val="center"/>
              <w:ind w:right="160"/>
              <w:spacing w:after="0"/>
              <w:rPr>
                <w:sz w:val="20"/>
                <w:szCs w:val="20"/>
                <w:color w:val="auto"/>
              </w:rPr>
            </w:pPr>
            <w:r>
              <w:rPr>
                <w:rFonts w:ascii="Arial" w:cs="Arial" w:eastAsia="Arial" w:hAnsi="Arial"/>
                <w:sz w:val="11"/>
                <w:szCs w:val="11"/>
                <w:b w:val="1"/>
                <w:bCs w:val="1"/>
                <w:color w:val="auto"/>
                <w:w w:val="97"/>
              </w:rPr>
              <w:t>Fiscal Year Ended June 30,</w:t>
            </w:r>
          </w:p>
        </w:tc>
      </w:tr>
      <w:tr>
        <w:trPr>
          <w:trHeight w:val="115"/>
        </w:trPr>
        <w:tc>
          <w:tcPr>
            <w:tcW w:w="5140" w:type="dxa"/>
            <w:vAlign w:val="bottom"/>
          </w:tcPr>
          <w:p>
            <w:pPr>
              <w:spacing w:after="0"/>
              <w:rPr>
                <w:sz w:val="10"/>
                <w:szCs w:val="10"/>
                <w:color w:val="auto"/>
              </w:rPr>
            </w:pPr>
          </w:p>
        </w:tc>
        <w:tc>
          <w:tcPr>
            <w:tcW w:w="80" w:type="dxa"/>
            <w:vAlign w:val="bottom"/>
            <w:tcBorders>
              <w:top w:val="single" w:sz="8" w:color="auto"/>
              <w:bottom w:val="single" w:sz="8" w:color="auto"/>
            </w:tcBorders>
          </w:tcPr>
          <w:p>
            <w:pPr>
              <w:spacing w:after="0"/>
              <w:rPr>
                <w:sz w:val="10"/>
                <w:szCs w:val="10"/>
                <w:color w:val="auto"/>
              </w:rPr>
            </w:pPr>
          </w:p>
        </w:tc>
        <w:tc>
          <w:tcPr>
            <w:tcW w:w="400" w:type="dxa"/>
            <w:vAlign w:val="bottom"/>
            <w:tcBorders>
              <w:top w:val="single" w:sz="8" w:color="auto"/>
              <w:bottom w:val="single" w:sz="8" w:color="auto"/>
            </w:tcBorders>
          </w:tcPr>
          <w:p>
            <w:pPr>
              <w:jc w:val="right"/>
              <w:ind w:right="66"/>
              <w:spacing w:after="0" w:line="115" w:lineRule="exact"/>
              <w:rPr>
                <w:sz w:val="20"/>
                <w:szCs w:val="20"/>
                <w:color w:val="auto"/>
              </w:rPr>
            </w:pPr>
            <w:r>
              <w:rPr>
                <w:rFonts w:ascii="Arial" w:cs="Arial" w:eastAsia="Arial" w:hAnsi="Arial"/>
                <w:sz w:val="11"/>
                <w:szCs w:val="11"/>
                <w:b w:val="1"/>
                <w:bCs w:val="1"/>
                <w:color w:val="auto"/>
              </w:rPr>
              <w:t>2017</w:t>
            </w:r>
          </w:p>
        </w:tc>
        <w:tc>
          <w:tcPr>
            <w:tcW w:w="320" w:type="dxa"/>
            <w:vAlign w:val="bottom"/>
            <w:tcBorders>
              <w:top w:val="single" w:sz="8" w:color="auto"/>
              <w:bottom w:val="single" w:sz="8" w:color="auto"/>
            </w:tcBorders>
          </w:tcPr>
          <w:p>
            <w:pPr>
              <w:spacing w:after="0"/>
              <w:rPr>
                <w:sz w:val="10"/>
                <w:szCs w:val="10"/>
                <w:color w:val="auto"/>
              </w:rPr>
            </w:pPr>
          </w:p>
        </w:tc>
        <w:tc>
          <w:tcPr>
            <w:tcW w:w="100" w:type="dxa"/>
            <w:vAlign w:val="bottom"/>
            <w:tcBorders>
              <w:top w:val="single" w:sz="8" w:color="auto"/>
              <w:bottom w:val="single" w:sz="8" w:color="auto"/>
            </w:tcBorders>
          </w:tcPr>
          <w:p>
            <w:pPr>
              <w:spacing w:after="0"/>
              <w:rPr>
                <w:sz w:val="10"/>
                <w:szCs w:val="10"/>
                <w:color w:val="auto"/>
              </w:rPr>
            </w:pPr>
          </w:p>
        </w:tc>
        <w:tc>
          <w:tcPr>
            <w:tcW w:w="400" w:type="dxa"/>
            <w:vAlign w:val="bottom"/>
            <w:tcBorders>
              <w:top w:val="single" w:sz="8" w:color="auto"/>
              <w:bottom w:val="single" w:sz="8" w:color="auto"/>
            </w:tcBorders>
          </w:tcPr>
          <w:p>
            <w:pPr>
              <w:jc w:val="right"/>
              <w:ind w:right="86"/>
              <w:spacing w:after="0" w:line="115" w:lineRule="exact"/>
              <w:rPr>
                <w:sz w:val="20"/>
                <w:szCs w:val="20"/>
                <w:color w:val="auto"/>
              </w:rPr>
            </w:pPr>
            <w:r>
              <w:rPr>
                <w:rFonts w:ascii="Arial" w:cs="Arial" w:eastAsia="Arial" w:hAnsi="Arial"/>
                <w:sz w:val="11"/>
                <w:szCs w:val="11"/>
                <w:b w:val="1"/>
                <w:bCs w:val="1"/>
                <w:color w:val="auto"/>
                <w:w w:val="97"/>
              </w:rPr>
              <w:t>2018</w:t>
            </w:r>
          </w:p>
        </w:tc>
        <w:tc>
          <w:tcPr>
            <w:tcW w:w="200" w:type="dxa"/>
            <w:vAlign w:val="bottom"/>
            <w:tcBorders>
              <w:top w:val="single" w:sz="8" w:color="auto"/>
              <w:bottom w:val="single" w:sz="8" w:color="auto"/>
            </w:tcBorders>
          </w:tcPr>
          <w:p>
            <w:pPr>
              <w:spacing w:after="0"/>
              <w:rPr>
                <w:sz w:val="10"/>
                <w:szCs w:val="10"/>
                <w:color w:val="auto"/>
              </w:rPr>
            </w:pPr>
          </w:p>
        </w:tc>
        <w:tc>
          <w:tcPr>
            <w:tcW w:w="120" w:type="dxa"/>
            <w:vAlign w:val="bottom"/>
            <w:tcBorders>
              <w:top w:val="single" w:sz="8" w:color="auto"/>
              <w:bottom w:val="single" w:sz="8" w:color="auto"/>
            </w:tcBorders>
          </w:tcPr>
          <w:p>
            <w:pPr>
              <w:spacing w:after="0"/>
              <w:rPr>
                <w:sz w:val="10"/>
                <w:szCs w:val="10"/>
                <w:color w:val="auto"/>
              </w:rPr>
            </w:pPr>
          </w:p>
        </w:tc>
        <w:tc>
          <w:tcPr>
            <w:tcW w:w="100" w:type="dxa"/>
            <w:vAlign w:val="bottom"/>
            <w:tcBorders>
              <w:top w:val="single" w:sz="8" w:color="auto"/>
              <w:bottom w:val="single" w:sz="8" w:color="auto"/>
            </w:tcBorders>
          </w:tcPr>
          <w:p>
            <w:pPr>
              <w:spacing w:after="0"/>
              <w:rPr>
                <w:sz w:val="10"/>
                <w:szCs w:val="10"/>
                <w:color w:val="auto"/>
              </w:rPr>
            </w:pPr>
          </w:p>
        </w:tc>
        <w:tc>
          <w:tcPr>
            <w:tcW w:w="420" w:type="dxa"/>
            <w:vAlign w:val="bottom"/>
            <w:tcBorders>
              <w:top w:val="single" w:sz="8" w:color="auto"/>
              <w:bottom w:val="single" w:sz="8" w:color="auto"/>
            </w:tcBorders>
          </w:tcPr>
          <w:p>
            <w:pPr>
              <w:jc w:val="right"/>
              <w:ind w:right="86"/>
              <w:spacing w:after="0" w:line="115" w:lineRule="exact"/>
              <w:rPr>
                <w:sz w:val="20"/>
                <w:szCs w:val="20"/>
                <w:color w:val="auto"/>
              </w:rPr>
            </w:pPr>
            <w:r>
              <w:rPr>
                <w:rFonts w:ascii="Arial" w:cs="Arial" w:eastAsia="Arial" w:hAnsi="Arial"/>
                <w:sz w:val="11"/>
                <w:szCs w:val="11"/>
                <w:b w:val="1"/>
                <w:bCs w:val="1"/>
                <w:color w:val="auto"/>
              </w:rPr>
              <w:t>2019</w:t>
            </w:r>
          </w:p>
        </w:tc>
        <w:tc>
          <w:tcPr>
            <w:tcW w:w="80" w:type="dxa"/>
            <w:vAlign w:val="bottom"/>
          </w:tcPr>
          <w:p>
            <w:pPr>
              <w:spacing w:after="0"/>
              <w:rPr>
                <w:sz w:val="10"/>
                <w:szCs w:val="10"/>
                <w:color w:val="auto"/>
              </w:rPr>
            </w:pPr>
          </w:p>
        </w:tc>
      </w:tr>
      <w:tr>
        <w:trPr>
          <w:trHeight w:val="115"/>
        </w:trPr>
        <w:tc>
          <w:tcPr>
            <w:tcW w:w="5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20" w:type="dxa"/>
            <w:vAlign w:val="bottom"/>
            <w:gridSpan w:val="4"/>
          </w:tcPr>
          <w:p>
            <w:pPr>
              <w:jc w:val="center"/>
              <w:ind w:left="86"/>
              <w:spacing w:after="0" w:line="115" w:lineRule="exact"/>
              <w:rPr>
                <w:sz w:val="20"/>
                <w:szCs w:val="20"/>
                <w:color w:val="auto"/>
              </w:rPr>
            </w:pPr>
            <w:r>
              <w:rPr>
                <w:rFonts w:ascii="Arial" w:cs="Arial" w:eastAsia="Arial" w:hAnsi="Arial"/>
                <w:sz w:val="11"/>
                <w:szCs w:val="11"/>
                <w:b w:val="1"/>
                <w:bCs w:val="1"/>
                <w:color w:val="auto"/>
                <w:w w:val="97"/>
              </w:rPr>
              <w:t>(in millions)</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r>
      <w:tr>
        <w:trPr>
          <w:trHeight w:val="126"/>
        </w:trPr>
        <w:tc>
          <w:tcPr>
            <w:tcW w:w="5140" w:type="dxa"/>
            <w:vAlign w:val="bottom"/>
            <w:shd w:val="clear" w:color="auto" w:fill="CCEEFF"/>
          </w:tcPr>
          <w:p>
            <w:pPr>
              <w:spacing w:after="0"/>
              <w:rPr>
                <w:sz w:val="20"/>
                <w:szCs w:val="20"/>
                <w:color w:val="auto"/>
              </w:rPr>
            </w:pPr>
            <w:r>
              <w:rPr>
                <w:rFonts w:ascii="Arial" w:cs="Arial" w:eastAsia="Arial" w:hAnsi="Arial"/>
                <w:sz w:val="11"/>
                <w:szCs w:val="11"/>
                <w:color w:val="auto"/>
              </w:rPr>
              <w:t>Connected Fitness Products:</w:t>
            </w: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r>
      <w:tr>
        <w:trPr>
          <w:trHeight w:val="126"/>
        </w:trPr>
        <w:tc>
          <w:tcPr>
            <w:tcW w:w="5140" w:type="dxa"/>
            <w:vAlign w:val="bottom"/>
          </w:tcPr>
          <w:p>
            <w:pPr>
              <w:ind w:left="220"/>
              <w:spacing w:after="0"/>
              <w:rPr>
                <w:sz w:val="20"/>
                <w:szCs w:val="20"/>
                <w:color w:val="auto"/>
              </w:rPr>
            </w:pPr>
            <w:r>
              <w:rPr>
                <w:rFonts w:ascii="Arial" w:cs="Arial" w:eastAsia="Arial" w:hAnsi="Arial"/>
                <w:sz w:val="11"/>
                <w:szCs w:val="11"/>
                <w:color w:val="auto"/>
              </w:rPr>
              <w:t>Revenue</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tcPr>
          <w:p>
            <w:pPr>
              <w:jc w:val="right"/>
              <w:spacing w:after="0"/>
              <w:rPr>
                <w:sz w:val="20"/>
                <w:szCs w:val="20"/>
                <w:color w:val="auto"/>
              </w:rPr>
            </w:pPr>
            <w:r>
              <w:rPr>
                <w:rFonts w:ascii="Arial" w:cs="Arial" w:eastAsia="Arial" w:hAnsi="Arial"/>
                <w:sz w:val="11"/>
                <w:szCs w:val="11"/>
                <w:color w:val="auto"/>
              </w:rPr>
              <w:t>183.5</w:t>
            </w:r>
          </w:p>
        </w:tc>
        <w:tc>
          <w:tcPr>
            <w:tcW w:w="42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400" w:type="dxa"/>
            <w:vAlign w:val="bottom"/>
          </w:tcPr>
          <w:p>
            <w:pPr>
              <w:jc w:val="right"/>
              <w:spacing w:after="0"/>
              <w:rPr>
                <w:sz w:val="20"/>
                <w:szCs w:val="20"/>
                <w:color w:val="auto"/>
              </w:rPr>
            </w:pPr>
            <w:r>
              <w:rPr>
                <w:rFonts w:ascii="Arial" w:cs="Arial" w:eastAsia="Arial" w:hAnsi="Arial"/>
                <w:sz w:val="11"/>
                <w:szCs w:val="11"/>
                <w:color w:val="auto"/>
              </w:rPr>
              <w:t>348.6</w:t>
            </w:r>
          </w:p>
        </w:tc>
        <w:tc>
          <w:tcPr>
            <w:tcW w:w="200" w:type="dxa"/>
            <w:vAlign w:val="bottom"/>
          </w:tcPr>
          <w:p>
            <w:pPr>
              <w:spacing w:after="0"/>
              <w:rPr>
                <w:sz w:val="10"/>
                <w:szCs w:val="10"/>
                <w:color w:val="auto"/>
              </w:rPr>
            </w:pPr>
          </w:p>
        </w:tc>
        <w:tc>
          <w:tcPr>
            <w:tcW w:w="220" w:type="dxa"/>
            <w:vAlign w:val="bottom"/>
            <w:gridSpan w:val="2"/>
          </w:tcPr>
          <w:p>
            <w:pPr>
              <w:jc w:val="right"/>
              <w:ind w:right="40"/>
              <w:spacing w:after="0"/>
              <w:rPr>
                <w:sz w:val="20"/>
                <w:szCs w:val="20"/>
                <w:color w:val="auto"/>
              </w:rPr>
            </w:pPr>
            <w:r>
              <w:rPr>
                <w:rFonts w:ascii="Arial" w:cs="Arial" w:eastAsia="Arial" w:hAnsi="Arial"/>
                <w:sz w:val="11"/>
                <w:szCs w:val="11"/>
                <w:color w:val="auto"/>
              </w:rPr>
              <w:t>$</w:t>
            </w:r>
          </w:p>
        </w:tc>
        <w:tc>
          <w:tcPr>
            <w:tcW w:w="420" w:type="dxa"/>
            <w:vAlign w:val="bottom"/>
          </w:tcPr>
          <w:p>
            <w:pPr>
              <w:jc w:val="right"/>
              <w:spacing w:after="0"/>
              <w:rPr>
                <w:sz w:val="20"/>
                <w:szCs w:val="20"/>
                <w:color w:val="auto"/>
              </w:rPr>
            </w:pPr>
            <w:r>
              <w:rPr>
                <w:rFonts w:ascii="Arial" w:cs="Arial" w:eastAsia="Arial" w:hAnsi="Arial"/>
                <w:sz w:val="11"/>
                <w:szCs w:val="11"/>
                <w:color w:val="auto"/>
              </w:rPr>
              <w:t>719.2</w:t>
            </w:r>
          </w:p>
        </w:tc>
        <w:tc>
          <w:tcPr>
            <w:tcW w:w="80" w:type="dxa"/>
            <w:vAlign w:val="bottom"/>
          </w:tcPr>
          <w:p>
            <w:pPr>
              <w:spacing w:after="0"/>
              <w:rPr>
                <w:sz w:val="10"/>
                <w:szCs w:val="10"/>
                <w:color w:val="auto"/>
              </w:rPr>
            </w:pPr>
          </w:p>
        </w:tc>
      </w:tr>
      <w:tr>
        <w:trPr>
          <w:trHeight w:val="126"/>
        </w:trPr>
        <w:tc>
          <w:tcPr>
            <w:tcW w:w="5140" w:type="dxa"/>
            <w:vAlign w:val="bottom"/>
            <w:shd w:val="clear" w:color="auto" w:fill="CCEEFF"/>
          </w:tcPr>
          <w:p>
            <w:pPr>
              <w:ind w:left="220"/>
              <w:spacing w:after="0"/>
              <w:rPr>
                <w:sz w:val="20"/>
                <w:szCs w:val="20"/>
                <w:color w:val="auto"/>
              </w:rPr>
            </w:pPr>
            <w:r>
              <w:rPr>
                <w:rFonts w:ascii="Arial" w:cs="Arial" w:eastAsia="Arial" w:hAnsi="Arial"/>
                <w:sz w:val="11"/>
                <w:szCs w:val="11"/>
                <w:color w:val="auto"/>
              </w:rPr>
              <w:t>Cost of revenue</w:t>
            </w:r>
          </w:p>
        </w:tc>
        <w:tc>
          <w:tcPr>
            <w:tcW w:w="80" w:type="dxa"/>
            <w:vAlign w:val="bottom"/>
            <w:tcBorders>
              <w:bottom w:val="single" w:sz="8" w:color="auto"/>
            </w:tcBorders>
            <w:shd w:val="clear" w:color="auto" w:fill="CCEEFF"/>
          </w:tcPr>
          <w:p>
            <w:pPr>
              <w:spacing w:after="0"/>
              <w:rPr>
                <w:sz w:val="10"/>
                <w:szCs w:val="10"/>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113.5</w:t>
            </w:r>
          </w:p>
        </w:tc>
        <w:tc>
          <w:tcPr>
            <w:tcW w:w="320" w:type="dxa"/>
            <w:vAlign w:val="bottom"/>
            <w:shd w:val="clear" w:color="auto" w:fill="CCEEFF"/>
          </w:tcPr>
          <w:p>
            <w:pPr>
              <w:spacing w:after="0"/>
              <w:rPr>
                <w:sz w:val="10"/>
                <w:szCs w:val="10"/>
                <w:color w:val="auto"/>
              </w:rPr>
            </w:pPr>
          </w:p>
        </w:tc>
        <w:tc>
          <w:tcPr>
            <w:tcW w:w="100" w:type="dxa"/>
            <w:vAlign w:val="bottom"/>
            <w:tcBorders>
              <w:bottom w:val="single" w:sz="8" w:color="auto"/>
            </w:tcBorders>
            <w:shd w:val="clear" w:color="auto" w:fill="CCEEFF"/>
          </w:tcPr>
          <w:p>
            <w:pPr>
              <w:spacing w:after="0"/>
              <w:rPr>
                <w:sz w:val="10"/>
                <w:szCs w:val="10"/>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195.0</w:t>
            </w:r>
          </w:p>
        </w:tc>
        <w:tc>
          <w:tcPr>
            <w:tcW w:w="2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tcBorders>
              <w:bottom w:val="single" w:sz="8" w:color="auto"/>
            </w:tcBorders>
            <w:shd w:val="clear" w:color="auto" w:fill="CCEEFF"/>
          </w:tcPr>
          <w:p>
            <w:pPr>
              <w:spacing w:after="0"/>
              <w:rPr>
                <w:sz w:val="10"/>
                <w:szCs w:val="10"/>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410.8</w:t>
            </w:r>
          </w:p>
        </w:tc>
        <w:tc>
          <w:tcPr>
            <w:tcW w:w="80" w:type="dxa"/>
            <w:vAlign w:val="bottom"/>
            <w:shd w:val="clear" w:color="auto" w:fill="CCEEFF"/>
          </w:tcPr>
          <w:p>
            <w:pPr>
              <w:spacing w:after="0"/>
              <w:rPr>
                <w:sz w:val="10"/>
                <w:szCs w:val="10"/>
                <w:color w:val="auto"/>
              </w:rPr>
            </w:pPr>
          </w:p>
        </w:tc>
      </w:tr>
      <w:tr>
        <w:trPr>
          <w:trHeight w:val="136"/>
        </w:trPr>
        <w:tc>
          <w:tcPr>
            <w:tcW w:w="5140" w:type="dxa"/>
            <w:vAlign w:val="bottom"/>
          </w:tcPr>
          <w:p>
            <w:pPr>
              <w:ind w:left="440"/>
              <w:spacing w:after="0" w:line="124" w:lineRule="exact"/>
              <w:rPr>
                <w:sz w:val="20"/>
                <w:szCs w:val="20"/>
                <w:color w:val="auto"/>
              </w:rPr>
            </w:pPr>
            <w:r>
              <w:rPr>
                <w:rFonts w:ascii="Arial" w:cs="Arial" w:eastAsia="Arial" w:hAnsi="Arial"/>
                <w:sz w:val="11"/>
                <w:szCs w:val="11"/>
                <w:color w:val="auto"/>
              </w:rPr>
              <w:t>Gross profit</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tcPr>
          <w:p>
            <w:pPr>
              <w:jc w:val="right"/>
              <w:spacing w:after="0" w:line="124" w:lineRule="exact"/>
              <w:rPr>
                <w:sz w:val="20"/>
                <w:szCs w:val="20"/>
                <w:color w:val="auto"/>
              </w:rPr>
            </w:pPr>
            <w:r>
              <w:rPr>
                <w:rFonts w:ascii="Arial" w:cs="Arial" w:eastAsia="Arial" w:hAnsi="Arial"/>
                <w:sz w:val="11"/>
                <w:szCs w:val="11"/>
                <w:color w:val="auto"/>
              </w:rPr>
              <w:t>70.</w:t>
            </w:r>
            <w:r>
              <w:rPr>
                <w:rFonts w:ascii="Arial" w:cs="Arial" w:eastAsia="Arial" w:hAnsi="Arial"/>
                <w:sz w:val="11"/>
                <w:szCs w:val="11"/>
                <w:u w:val="single" w:color="auto"/>
                <w:color w:val="auto"/>
              </w:rPr>
              <w:t>0</w:t>
            </w:r>
          </w:p>
        </w:tc>
        <w:tc>
          <w:tcPr>
            <w:tcW w:w="420" w:type="dxa"/>
            <w:vAlign w:val="bottom"/>
            <w:gridSpan w:val="2"/>
          </w:tcPr>
          <w:p>
            <w:pPr>
              <w:jc w:val="right"/>
              <w:spacing w:after="0" w:line="124" w:lineRule="exact"/>
              <w:rPr>
                <w:sz w:val="20"/>
                <w:szCs w:val="20"/>
                <w:color w:val="auto"/>
              </w:rPr>
            </w:pPr>
            <w:r>
              <w:rPr>
                <w:rFonts w:ascii="Arial" w:cs="Arial" w:eastAsia="Arial" w:hAnsi="Arial"/>
                <w:sz w:val="11"/>
                <w:szCs w:val="11"/>
                <w:color w:val="auto"/>
              </w:rPr>
              <w:t>$</w:t>
            </w:r>
          </w:p>
        </w:tc>
        <w:tc>
          <w:tcPr>
            <w:tcW w:w="400" w:type="dxa"/>
            <w:vAlign w:val="bottom"/>
          </w:tcPr>
          <w:p>
            <w:pPr>
              <w:jc w:val="right"/>
              <w:spacing w:after="0" w:line="124" w:lineRule="exact"/>
              <w:rPr>
                <w:sz w:val="20"/>
                <w:szCs w:val="20"/>
                <w:color w:val="auto"/>
              </w:rPr>
            </w:pPr>
            <w:r>
              <w:rPr>
                <w:rFonts w:ascii="Arial" w:cs="Arial" w:eastAsia="Arial" w:hAnsi="Arial"/>
                <w:sz w:val="11"/>
                <w:szCs w:val="11"/>
                <w:color w:val="auto"/>
              </w:rPr>
              <w:t>153.6</w:t>
            </w:r>
          </w:p>
        </w:tc>
        <w:tc>
          <w:tcPr>
            <w:tcW w:w="200" w:type="dxa"/>
            <w:vAlign w:val="bottom"/>
          </w:tcPr>
          <w:p>
            <w:pPr>
              <w:spacing w:after="0"/>
              <w:rPr>
                <w:sz w:val="11"/>
                <w:szCs w:val="11"/>
                <w:color w:val="auto"/>
              </w:rPr>
            </w:pPr>
          </w:p>
        </w:tc>
        <w:tc>
          <w:tcPr>
            <w:tcW w:w="220" w:type="dxa"/>
            <w:vAlign w:val="bottom"/>
            <w:gridSpan w:val="2"/>
          </w:tcPr>
          <w:p>
            <w:pPr>
              <w:jc w:val="right"/>
              <w:ind w:right="40"/>
              <w:spacing w:after="0" w:line="124" w:lineRule="exact"/>
              <w:rPr>
                <w:sz w:val="20"/>
                <w:szCs w:val="20"/>
                <w:color w:val="auto"/>
              </w:rPr>
            </w:pPr>
            <w:r>
              <w:rPr>
                <w:rFonts w:ascii="Arial" w:cs="Arial" w:eastAsia="Arial" w:hAnsi="Arial"/>
                <w:sz w:val="11"/>
                <w:szCs w:val="11"/>
                <w:color w:val="auto"/>
              </w:rPr>
              <w:t>$</w:t>
            </w:r>
          </w:p>
        </w:tc>
        <w:tc>
          <w:tcPr>
            <w:tcW w:w="420" w:type="dxa"/>
            <w:vAlign w:val="bottom"/>
          </w:tcPr>
          <w:p>
            <w:pPr>
              <w:jc w:val="right"/>
              <w:spacing w:after="0" w:line="124" w:lineRule="exact"/>
              <w:rPr>
                <w:sz w:val="20"/>
                <w:szCs w:val="20"/>
                <w:color w:val="auto"/>
              </w:rPr>
            </w:pPr>
            <w:r>
              <w:rPr>
                <w:rFonts w:ascii="Arial" w:cs="Arial" w:eastAsia="Arial" w:hAnsi="Arial"/>
                <w:sz w:val="11"/>
                <w:szCs w:val="11"/>
                <w:color w:val="auto"/>
              </w:rPr>
              <w:t>308.</w:t>
            </w:r>
            <w:r>
              <w:rPr>
                <w:rFonts w:ascii="Arial" w:cs="Arial" w:eastAsia="Arial" w:hAnsi="Arial"/>
                <w:sz w:val="11"/>
                <w:szCs w:val="11"/>
                <w:u w:val="single" w:color="auto"/>
                <w:color w:val="auto"/>
              </w:rPr>
              <w:t>4</w:t>
            </w:r>
          </w:p>
        </w:tc>
        <w:tc>
          <w:tcPr>
            <w:tcW w:w="80" w:type="dxa"/>
            <w:vAlign w:val="bottom"/>
          </w:tcPr>
          <w:p>
            <w:pPr>
              <w:spacing w:after="0"/>
              <w:rPr>
                <w:sz w:val="11"/>
                <w:szCs w:val="11"/>
                <w:color w:val="auto"/>
              </w:rPr>
            </w:pPr>
          </w:p>
        </w:tc>
      </w:tr>
      <w:tr>
        <w:trPr>
          <w:trHeight w:val="131"/>
        </w:trPr>
        <w:tc>
          <w:tcPr>
            <w:tcW w:w="5140" w:type="dxa"/>
            <w:vAlign w:val="bottom"/>
            <w:shd w:val="clear" w:color="auto" w:fill="CCEEFF"/>
          </w:tcPr>
          <w:p>
            <w:pPr>
              <w:spacing w:after="0"/>
              <w:rPr>
                <w:sz w:val="20"/>
                <w:szCs w:val="20"/>
                <w:color w:val="auto"/>
              </w:rPr>
            </w:pPr>
            <w:r>
              <w:rPr>
                <w:rFonts w:ascii="Arial" w:cs="Arial" w:eastAsia="Arial" w:hAnsi="Arial"/>
                <w:sz w:val="11"/>
                <w:szCs w:val="11"/>
                <w:color w:val="auto"/>
              </w:rPr>
              <w:t>Subscription:</w:t>
            </w:r>
          </w:p>
        </w:tc>
        <w:tc>
          <w:tcPr>
            <w:tcW w:w="80" w:type="dxa"/>
            <w:vAlign w:val="bottom"/>
            <w:tcBorders>
              <w:top w:val="single" w:sz="8" w:color="auto"/>
            </w:tcBorders>
            <w:shd w:val="clear" w:color="auto" w:fill="CCEEFF"/>
          </w:tcPr>
          <w:p>
            <w:pPr>
              <w:spacing w:after="0"/>
              <w:rPr>
                <w:sz w:val="11"/>
                <w:szCs w:val="11"/>
                <w:color w:val="auto"/>
              </w:rPr>
            </w:pPr>
          </w:p>
        </w:tc>
        <w:tc>
          <w:tcPr>
            <w:tcW w:w="400" w:type="dxa"/>
            <w:vAlign w:val="bottom"/>
            <w:tcBorders>
              <w:top w:val="single" w:sz="8" w:color="auto"/>
            </w:tcBorders>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400" w:type="dxa"/>
            <w:vAlign w:val="bottom"/>
            <w:tcBorders>
              <w:top w:val="single" w:sz="8" w:color="auto"/>
            </w:tcBorders>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42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r>
      <w:tr>
        <w:trPr>
          <w:trHeight w:val="126"/>
        </w:trPr>
        <w:tc>
          <w:tcPr>
            <w:tcW w:w="5140" w:type="dxa"/>
            <w:vAlign w:val="bottom"/>
          </w:tcPr>
          <w:p>
            <w:pPr>
              <w:ind w:left="220"/>
              <w:spacing w:after="0"/>
              <w:rPr>
                <w:sz w:val="20"/>
                <w:szCs w:val="20"/>
                <w:color w:val="auto"/>
              </w:rPr>
            </w:pPr>
            <w:r>
              <w:rPr>
                <w:rFonts w:ascii="Arial" w:cs="Arial" w:eastAsia="Arial" w:hAnsi="Arial"/>
                <w:sz w:val="11"/>
                <w:szCs w:val="11"/>
                <w:color w:val="auto"/>
              </w:rPr>
              <w:t>Revenue</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tcPr>
          <w:p>
            <w:pPr>
              <w:jc w:val="right"/>
              <w:spacing w:after="0"/>
              <w:rPr>
                <w:sz w:val="20"/>
                <w:szCs w:val="20"/>
                <w:color w:val="auto"/>
              </w:rPr>
            </w:pPr>
            <w:r>
              <w:rPr>
                <w:rFonts w:ascii="Arial" w:cs="Arial" w:eastAsia="Arial" w:hAnsi="Arial"/>
                <w:sz w:val="11"/>
                <w:szCs w:val="11"/>
                <w:color w:val="auto"/>
              </w:rPr>
              <w:t>32.5</w:t>
            </w:r>
          </w:p>
        </w:tc>
        <w:tc>
          <w:tcPr>
            <w:tcW w:w="42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400" w:type="dxa"/>
            <w:vAlign w:val="bottom"/>
          </w:tcPr>
          <w:p>
            <w:pPr>
              <w:jc w:val="right"/>
              <w:spacing w:after="0"/>
              <w:rPr>
                <w:sz w:val="20"/>
                <w:szCs w:val="20"/>
                <w:color w:val="auto"/>
              </w:rPr>
            </w:pPr>
            <w:r>
              <w:rPr>
                <w:rFonts w:ascii="Arial" w:cs="Arial" w:eastAsia="Arial" w:hAnsi="Arial"/>
                <w:sz w:val="11"/>
                <w:szCs w:val="11"/>
                <w:color w:val="auto"/>
              </w:rPr>
              <w:t>80.3</w:t>
            </w:r>
          </w:p>
        </w:tc>
        <w:tc>
          <w:tcPr>
            <w:tcW w:w="200" w:type="dxa"/>
            <w:vAlign w:val="bottom"/>
          </w:tcPr>
          <w:p>
            <w:pPr>
              <w:spacing w:after="0"/>
              <w:rPr>
                <w:sz w:val="10"/>
                <w:szCs w:val="10"/>
                <w:color w:val="auto"/>
              </w:rPr>
            </w:pPr>
          </w:p>
        </w:tc>
        <w:tc>
          <w:tcPr>
            <w:tcW w:w="220" w:type="dxa"/>
            <w:vAlign w:val="bottom"/>
            <w:gridSpan w:val="2"/>
          </w:tcPr>
          <w:p>
            <w:pPr>
              <w:jc w:val="right"/>
              <w:ind w:right="40"/>
              <w:spacing w:after="0"/>
              <w:rPr>
                <w:sz w:val="20"/>
                <w:szCs w:val="20"/>
                <w:color w:val="auto"/>
              </w:rPr>
            </w:pPr>
            <w:r>
              <w:rPr>
                <w:rFonts w:ascii="Arial" w:cs="Arial" w:eastAsia="Arial" w:hAnsi="Arial"/>
                <w:sz w:val="11"/>
                <w:szCs w:val="11"/>
                <w:color w:val="auto"/>
              </w:rPr>
              <w:t>$</w:t>
            </w:r>
          </w:p>
        </w:tc>
        <w:tc>
          <w:tcPr>
            <w:tcW w:w="420" w:type="dxa"/>
            <w:vAlign w:val="bottom"/>
          </w:tcPr>
          <w:p>
            <w:pPr>
              <w:jc w:val="right"/>
              <w:spacing w:after="0"/>
              <w:rPr>
                <w:sz w:val="20"/>
                <w:szCs w:val="20"/>
                <w:color w:val="auto"/>
              </w:rPr>
            </w:pPr>
            <w:r>
              <w:rPr>
                <w:rFonts w:ascii="Arial" w:cs="Arial" w:eastAsia="Arial" w:hAnsi="Arial"/>
                <w:sz w:val="11"/>
                <w:szCs w:val="11"/>
                <w:color w:val="auto"/>
              </w:rPr>
              <w:t>181.1</w:t>
            </w:r>
          </w:p>
        </w:tc>
        <w:tc>
          <w:tcPr>
            <w:tcW w:w="80" w:type="dxa"/>
            <w:vAlign w:val="bottom"/>
          </w:tcPr>
          <w:p>
            <w:pPr>
              <w:spacing w:after="0"/>
              <w:rPr>
                <w:sz w:val="10"/>
                <w:szCs w:val="10"/>
                <w:color w:val="auto"/>
              </w:rPr>
            </w:pPr>
          </w:p>
        </w:tc>
      </w:tr>
      <w:tr>
        <w:trPr>
          <w:trHeight w:val="126"/>
        </w:trPr>
        <w:tc>
          <w:tcPr>
            <w:tcW w:w="5140" w:type="dxa"/>
            <w:vAlign w:val="bottom"/>
            <w:shd w:val="clear" w:color="auto" w:fill="CCEEFF"/>
          </w:tcPr>
          <w:p>
            <w:pPr>
              <w:ind w:left="220"/>
              <w:spacing w:after="0"/>
              <w:rPr>
                <w:sz w:val="20"/>
                <w:szCs w:val="20"/>
                <w:color w:val="auto"/>
              </w:rPr>
            </w:pPr>
            <w:r>
              <w:rPr>
                <w:rFonts w:ascii="Arial" w:cs="Arial" w:eastAsia="Arial" w:hAnsi="Arial"/>
                <w:sz w:val="11"/>
                <w:szCs w:val="11"/>
                <w:color w:val="auto"/>
              </w:rPr>
              <w:t>Cost of revenue</w:t>
            </w:r>
          </w:p>
        </w:tc>
        <w:tc>
          <w:tcPr>
            <w:tcW w:w="80" w:type="dxa"/>
            <w:vAlign w:val="bottom"/>
            <w:tcBorders>
              <w:bottom w:val="single" w:sz="8" w:color="auto"/>
            </w:tcBorders>
            <w:shd w:val="clear" w:color="auto" w:fill="CCEEFF"/>
          </w:tcPr>
          <w:p>
            <w:pPr>
              <w:spacing w:after="0"/>
              <w:rPr>
                <w:sz w:val="10"/>
                <w:szCs w:val="10"/>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29.3</w:t>
            </w:r>
          </w:p>
        </w:tc>
        <w:tc>
          <w:tcPr>
            <w:tcW w:w="320" w:type="dxa"/>
            <w:vAlign w:val="bottom"/>
            <w:shd w:val="clear" w:color="auto" w:fill="CCEEFF"/>
          </w:tcPr>
          <w:p>
            <w:pPr>
              <w:spacing w:after="0"/>
              <w:rPr>
                <w:sz w:val="10"/>
                <w:szCs w:val="10"/>
                <w:color w:val="auto"/>
              </w:rPr>
            </w:pPr>
          </w:p>
        </w:tc>
        <w:tc>
          <w:tcPr>
            <w:tcW w:w="100" w:type="dxa"/>
            <w:vAlign w:val="bottom"/>
            <w:tcBorders>
              <w:bottom w:val="single" w:sz="8" w:color="auto"/>
            </w:tcBorders>
            <w:shd w:val="clear" w:color="auto" w:fill="CCEEFF"/>
          </w:tcPr>
          <w:p>
            <w:pPr>
              <w:spacing w:after="0"/>
              <w:rPr>
                <w:sz w:val="10"/>
                <w:szCs w:val="10"/>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45.5</w:t>
            </w:r>
          </w:p>
        </w:tc>
        <w:tc>
          <w:tcPr>
            <w:tcW w:w="2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tcBorders>
              <w:bottom w:val="single" w:sz="8" w:color="auto"/>
            </w:tcBorders>
            <w:shd w:val="clear" w:color="auto" w:fill="CCEEFF"/>
          </w:tcPr>
          <w:p>
            <w:pPr>
              <w:spacing w:after="0"/>
              <w:rPr>
                <w:sz w:val="10"/>
                <w:szCs w:val="10"/>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103.7</w:t>
            </w:r>
          </w:p>
        </w:tc>
        <w:tc>
          <w:tcPr>
            <w:tcW w:w="80" w:type="dxa"/>
            <w:vAlign w:val="bottom"/>
            <w:shd w:val="clear" w:color="auto" w:fill="CCEEFF"/>
          </w:tcPr>
          <w:p>
            <w:pPr>
              <w:spacing w:after="0"/>
              <w:rPr>
                <w:sz w:val="10"/>
                <w:szCs w:val="10"/>
                <w:color w:val="auto"/>
              </w:rPr>
            </w:pPr>
          </w:p>
        </w:tc>
      </w:tr>
      <w:tr>
        <w:trPr>
          <w:trHeight w:val="136"/>
        </w:trPr>
        <w:tc>
          <w:tcPr>
            <w:tcW w:w="5140" w:type="dxa"/>
            <w:vAlign w:val="bottom"/>
          </w:tcPr>
          <w:p>
            <w:pPr>
              <w:ind w:left="440"/>
              <w:spacing w:after="0" w:line="124" w:lineRule="exact"/>
              <w:rPr>
                <w:sz w:val="20"/>
                <w:szCs w:val="20"/>
                <w:color w:val="auto"/>
              </w:rPr>
            </w:pPr>
            <w:r>
              <w:rPr>
                <w:rFonts w:ascii="Arial" w:cs="Arial" w:eastAsia="Arial" w:hAnsi="Arial"/>
                <w:sz w:val="11"/>
                <w:szCs w:val="11"/>
                <w:color w:val="auto"/>
              </w:rPr>
              <w:t>Gross profit</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tcPr>
          <w:p>
            <w:pPr>
              <w:jc w:val="right"/>
              <w:spacing w:after="0" w:line="124" w:lineRule="exact"/>
              <w:rPr>
                <w:sz w:val="20"/>
                <w:szCs w:val="20"/>
                <w:color w:val="auto"/>
              </w:rPr>
            </w:pPr>
            <w:r>
              <w:rPr>
                <w:rFonts w:ascii="Arial" w:cs="Arial" w:eastAsia="Arial" w:hAnsi="Arial"/>
                <w:sz w:val="11"/>
                <w:szCs w:val="11"/>
                <w:color w:val="auto"/>
              </w:rPr>
              <w:t>3.2</w:t>
            </w:r>
          </w:p>
        </w:tc>
        <w:tc>
          <w:tcPr>
            <w:tcW w:w="420" w:type="dxa"/>
            <w:vAlign w:val="bottom"/>
            <w:gridSpan w:val="2"/>
          </w:tcPr>
          <w:p>
            <w:pPr>
              <w:jc w:val="right"/>
              <w:spacing w:after="0" w:line="124" w:lineRule="exact"/>
              <w:rPr>
                <w:sz w:val="20"/>
                <w:szCs w:val="20"/>
                <w:color w:val="auto"/>
              </w:rPr>
            </w:pPr>
            <w:r>
              <w:rPr>
                <w:rFonts w:ascii="Arial" w:cs="Arial" w:eastAsia="Arial" w:hAnsi="Arial"/>
                <w:sz w:val="11"/>
                <w:szCs w:val="11"/>
                <w:color w:val="auto"/>
              </w:rPr>
              <w:t>$</w:t>
            </w:r>
          </w:p>
        </w:tc>
        <w:tc>
          <w:tcPr>
            <w:tcW w:w="400" w:type="dxa"/>
            <w:vAlign w:val="bottom"/>
          </w:tcPr>
          <w:p>
            <w:pPr>
              <w:jc w:val="right"/>
              <w:spacing w:after="0" w:line="124" w:lineRule="exact"/>
              <w:rPr>
                <w:sz w:val="20"/>
                <w:szCs w:val="20"/>
                <w:color w:val="auto"/>
              </w:rPr>
            </w:pPr>
            <w:r>
              <w:rPr>
                <w:rFonts w:ascii="Arial" w:cs="Arial" w:eastAsia="Arial" w:hAnsi="Arial"/>
                <w:sz w:val="11"/>
                <w:szCs w:val="11"/>
                <w:color w:val="auto"/>
              </w:rPr>
              <w:t>34.</w:t>
            </w:r>
            <w:r>
              <w:rPr>
                <w:rFonts w:ascii="Arial" w:cs="Arial" w:eastAsia="Arial" w:hAnsi="Arial"/>
                <w:sz w:val="11"/>
                <w:szCs w:val="11"/>
                <w:u w:val="single" w:color="auto"/>
                <w:color w:val="auto"/>
              </w:rPr>
              <w:t>7</w:t>
            </w:r>
          </w:p>
        </w:tc>
        <w:tc>
          <w:tcPr>
            <w:tcW w:w="200" w:type="dxa"/>
            <w:vAlign w:val="bottom"/>
          </w:tcPr>
          <w:p>
            <w:pPr>
              <w:spacing w:after="0"/>
              <w:rPr>
                <w:sz w:val="11"/>
                <w:szCs w:val="11"/>
                <w:color w:val="auto"/>
              </w:rPr>
            </w:pPr>
          </w:p>
        </w:tc>
        <w:tc>
          <w:tcPr>
            <w:tcW w:w="220" w:type="dxa"/>
            <w:vAlign w:val="bottom"/>
            <w:gridSpan w:val="2"/>
          </w:tcPr>
          <w:p>
            <w:pPr>
              <w:jc w:val="right"/>
              <w:ind w:right="40"/>
              <w:spacing w:after="0" w:line="124" w:lineRule="exact"/>
              <w:rPr>
                <w:sz w:val="20"/>
                <w:szCs w:val="20"/>
                <w:color w:val="auto"/>
              </w:rPr>
            </w:pPr>
            <w:r>
              <w:rPr>
                <w:rFonts w:ascii="Arial" w:cs="Arial" w:eastAsia="Arial" w:hAnsi="Arial"/>
                <w:sz w:val="11"/>
                <w:szCs w:val="11"/>
                <w:color w:val="auto"/>
              </w:rPr>
              <w:t>$</w:t>
            </w:r>
          </w:p>
        </w:tc>
        <w:tc>
          <w:tcPr>
            <w:tcW w:w="420" w:type="dxa"/>
            <w:vAlign w:val="bottom"/>
          </w:tcPr>
          <w:p>
            <w:pPr>
              <w:jc w:val="right"/>
              <w:spacing w:after="0" w:line="124" w:lineRule="exact"/>
              <w:rPr>
                <w:sz w:val="20"/>
                <w:szCs w:val="20"/>
                <w:color w:val="auto"/>
              </w:rPr>
            </w:pPr>
            <w:r>
              <w:rPr>
                <w:rFonts w:ascii="Arial" w:cs="Arial" w:eastAsia="Arial" w:hAnsi="Arial"/>
                <w:sz w:val="11"/>
                <w:szCs w:val="11"/>
                <w:color w:val="auto"/>
              </w:rPr>
              <w:t>77.4</w:t>
            </w:r>
          </w:p>
        </w:tc>
        <w:tc>
          <w:tcPr>
            <w:tcW w:w="80" w:type="dxa"/>
            <w:vAlign w:val="bottom"/>
          </w:tcPr>
          <w:p>
            <w:pPr>
              <w:spacing w:after="0"/>
              <w:rPr>
                <w:sz w:val="11"/>
                <w:szCs w:val="11"/>
                <w:color w:val="auto"/>
              </w:rPr>
            </w:pPr>
          </w:p>
        </w:tc>
      </w:tr>
      <w:tr>
        <w:trPr>
          <w:trHeight w:val="131"/>
        </w:trPr>
        <w:tc>
          <w:tcPr>
            <w:tcW w:w="5140" w:type="dxa"/>
            <w:vAlign w:val="bottom"/>
            <w:shd w:val="clear" w:color="auto" w:fill="CCEEFF"/>
          </w:tcPr>
          <w:p>
            <w:pPr>
              <w:spacing w:after="0"/>
              <w:rPr>
                <w:sz w:val="20"/>
                <w:szCs w:val="20"/>
                <w:color w:val="auto"/>
              </w:rPr>
            </w:pPr>
            <w:r>
              <w:rPr>
                <w:rFonts w:ascii="Arial" w:cs="Arial" w:eastAsia="Arial" w:hAnsi="Arial"/>
                <w:sz w:val="11"/>
                <w:szCs w:val="11"/>
                <w:color w:val="auto"/>
              </w:rPr>
              <w:t>Other:</w:t>
            </w:r>
          </w:p>
        </w:tc>
        <w:tc>
          <w:tcPr>
            <w:tcW w:w="80" w:type="dxa"/>
            <w:vAlign w:val="bottom"/>
            <w:tcBorders>
              <w:top w:val="single" w:sz="8" w:color="auto"/>
            </w:tcBorders>
            <w:shd w:val="clear" w:color="auto" w:fill="CCEEFF"/>
          </w:tcPr>
          <w:p>
            <w:pPr>
              <w:spacing w:after="0"/>
              <w:rPr>
                <w:sz w:val="11"/>
                <w:szCs w:val="11"/>
                <w:color w:val="auto"/>
              </w:rPr>
            </w:pPr>
          </w:p>
        </w:tc>
        <w:tc>
          <w:tcPr>
            <w:tcW w:w="400" w:type="dxa"/>
            <w:vAlign w:val="bottom"/>
            <w:tcBorders>
              <w:top w:val="single" w:sz="8" w:color="auto"/>
            </w:tcBorders>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400" w:type="dxa"/>
            <w:vAlign w:val="bottom"/>
            <w:tcBorders>
              <w:top w:val="single" w:sz="8" w:color="auto"/>
            </w:tcBorders>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42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r>
      <w:tr>
        <w:trPr>
          <w:trHeight w:val="126"/>
        </w:trPr>
        <w:tc>
          <w:tcPr>
            <w:tcW w:w="5140" w:type="dxa"/>
            <w:vAlign w:val="bottom"/>
          </w:tcPr>
          <w:p>
            <w:pPr>
              <w:ind w:left="220"/>
              <w:spacing w:after="0"/>
              <w:rPr>
                <w:sz w:val="20"/>
                <w:szCs w:val="20"/>
                <w:color w:val="auto"/>
              </w:rPr>
            </w:pPr>
            <w:r>
              <w:rPr>
                <w:rFonts w:ascii="Arial" w:cs="Arial" w:eastAsia="Arial" w:hAnsi="Arial"/>
                <w:sz w:val="11"/>
                <w:szCs w:val="11"/>
                <w:color w:val="auto"/>
              </w:rPr>
              <w:t>Revenue</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tcPr>
          <w:p>
            <w:pPr>
              <w:jc w:val="right"/>
              <w:spacing w:after="0"/>
              <w:rPr>
                <w:sz w:val="20"/>
                <w:szCs w:val="20"/>
                <w:color w:val="auto"/>
              </w:rPr>
            </w:pPr>
            <w:r>
              <w:rPr>
                <w:rFonts w:ascii="Arial" w:cs="Arial" w:eastAsia="Arial" w:hAnsi="Arial"/>
                <w:sz w:val="11"/>
                <w:szCs w:val="11"/>
                <w:color w:val="auto"/>
              </w:rPr>
              <w:t>2.6</w:t>
            </w:r>
          </w:p>
        </w:tc>
        <w:tc>
          <w:tcPr>
            <w:tcW w:w="42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400" w:type="dxa"/>
            <w:vAlign w:val="bottom"/>
          </w:tcPr>
          <w:p>
            <w:pPr>
              <w:jc w:val="right"/>
              <w:spacing w:after="0"/>
              <w:rPr>
                <w:sz w:val="20"/>
                <w:szCs w:val="20"/>
                <w:color w:val="auto"/>
              </w:rPr>
            </w:pPr>
            <w:r>
              <w:rPr>
                <w:rFonts w:ascii="Arial" w:cs="Arial" w:eastAsia="Arial" w:hAnsi="Arial"/>
                <w:sz w:val="11"/>
                <w:szCs w:val="11"/>
                <w:color w:val="auto"/>
              </w:rPr>
              <w:t>6.2</w:t>
            </w:r>
          </w:p>
        </w:tc>
        <w:tc>
          <w:tcPr>
            <w:tcW w:w="200" w:type="dxa"/>
            <w:vAlign w:val="bottom"/>
          </w:tcPr>
          <w:p>
            <w:pPr>
              <w:spacing w:after="0"/>
              <w:rPr>
                <w:sz w:val="10"/>
                <w:szCs w:val="10"/>
                <w:color w:val="auto"/>
              </w:rPr>
            </w:pPr>
          </w:p>
        </w:tc>
        <w:tc>
          <w:tcPr>
            <w:tcW w:w="220" w:type="dxa"/>
            <w:vAlign w:val="bottom"/>
            <w:gridSpan w:val="2"/>
          </w:tcPr>
          <w:p>
            <w:pPr>
              <w:jc w:val="right"/>
              <w:ind w:right="40"/>
              <w:spacing w:after="0"/>
              <w:rPr>
                <w:sz w:val="20"/>
                <w:szCs w:val="20"/>
                <w:color w:val="auto"/>
              </w:rPr>
            </w:pPr>
            <w:r>
              <w:rPr>
                <w:rFonts w:ascii="Arial" w:cs="Arial" w:eastAsia="Arial" w:hAnsi="Arial"/>
                <w:sz w:val="11"/>
                <w:szCs w:val="11"/>
                <w:color w:val="auto"/>
              </w:rPr>
              <w:t>$</w:t>
            </w:r>
          </w:p>
        </w:tc>
        <w:tc>
          <w:tcPr>
            <w:tcW w:w="420" w:type="dxa"/>
            <w:vAlign w:val="bottom"/>
          </w:tcPr>
          <w:p>
            <w:pPr>
              <w:jc w:val="right"/>
              <w:spacing w:after="0"/>
              <w:rPr>
                <w:sz w:val="20"/>
                <w:szCs w:val="20"/>
                <w:color w:val="auto"/>
              </w:rPr>
            </w:pPr>
            <w:r>
              <w:rPr>
                <w:rFonts w:ascii="Arial" w:cs="Arial" w:eastAsia="Arial" w:hAnsi="Arial"/>
                <w:sz w:val="11"/>
                <w:szCs w:val="11"/>
                <w:color w:val="auto"/>
              </w:rPr>
              <w:t>14.7</w:t>
            </w:r>
          </w:p>
        </w:tc>
        <w:tc>
          <w:tcPr>
            <w:tcW w:w="80" w:type="dxa"/>
            <w:vAlign w:val="bottom"/>
          </w:tcPr>
          <w:p>
            <w:pPr>
              <w:spacing w:after="0"/>
              <w:rPr>
                <w:sz w:val="10"/>
                <w:szCs w:val="10"/>
                <w:color w:val="auto"/>
              </w:rPr>
            </w:pPr>
          </w:p>
        </w:tc>
      </w:tr>
      <w:tr>
        <w:trPr>
          <w:trHeight w:val="126"/>
        </w:trPr>
        <w:tc>
          <w:tcPr>
            <w:tcW w:w="5140" w:type="dxa"/>
            <w:vAlign w:val="bottom"/>
            <w:shd w:val="clear" w:color="auto" w:fill="CCEEFF"/>
          </w:tcPr>
          <w:p>
            <w:pPr>
              <w:ind w:left="220"/>
              <w:spacing w:after="0"/>
              <w:rPr>
                <w:sz w:val="20"/>
                <w:szCs w:val="20"/>
                <w:color w:val="auto"/>
              </w:rPr>
            </w:pPr>
            <w:r>
              <w:rPr>
                <w:rFonts w:ascii="Arial" w:cs="Arial" w:eastAsia="Arial" w:hAnsi="Arial"/>
                <w:sz w:val="11"/>
                <w:szCs w:val="11"/>
                <w:color w:val="auto"/>
              </w:rPr>
              <w:t>Cost of revenue</w:t>
            </w:r>
          </w:p>
        </w:tc>
        <w:tc>
          <w:tcPr>
            <w:tcW w:w="80" w:type="dxa"/>
            <w:vAlign w:val="bottom"/>
            <w:tcBorders>
              <w:bottom w:val="single" w:sz="8" w:color="auto"/>
            </w:tcBorders>
            <w:shd w:val="clear" w:color="auto" w:fill="CCEEFF"/>
          </w:tcPr>
          <w:p>
            <w:pPr>
              <w:spacing w:after="0"/>
              <w:rPr>
                <w:sz w:val="10"/>
                <w:szCs w:val="10"/>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1.9</w:t>
            </w:r>
          </w:p>
        </w:tc>
        <w:tc>
          <w:tcPr>
            <w:tcW w:w="320" w:type="dxa"/>
            <w:vAlign w:val="bottom"/>
            <w:shd w:val="clear" w:color="auto" w:fill="CCEEFF"/>
          </w:tcPr>
          <w:p>
            <w:pPr>
              <w:spacing w:after="0"/>
              <w:rPr>
                <w:sz w:val="10"/>
                <w:szCs w:val="10"/>
                <w:color w:val="auto"/>
              </w:rPr>
            </w:pPr>
          </w:p>
        </w:tc>
        <w:tc>
          <w:tcPr>
            <w:tcW w:w="100" w:type="dxa"/>
            <w:vAlign w:val="bottom"/>
            <w:tcBorders>
              <w:bottom w:val="single" w:sz="8" w:color="auto"/>
            </w:tcBorders>
            <w:shd w:val="clear" w:color="auto" w:fill="CCEEFF"/>
          </w:tcPr>
          <w:p>
            <w:pPr>
              <w:spacing w:after="0"/>
              <w:rPr>
                <w:sz w:val="10"/>
                <w:szCs w:val="10"/>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4.9</w:t>
            </w:r>
          </w:p>
        </w:tc>
        <w:tc>
          <w:tcPr>
            <w:tcW w:w="2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tcBorders>
              <w:bottom w:val="single" w:sz="8" w:color="auto"/>
            </w:tcBorders>
            <w:shd w:val="clear" w:color="auto" w:fill="CCEEFF"/>
          </w:tcPr>
          <w:p>
            <w:pPr>
              <w:spacing w:after="0"/>
              <w:rPr>
                <w:sz w:val="10"/>
                <w:szCs w:val="10"/>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17.0</w:t>
            </w:r>
          </w:p>
        </w:tc>
        <w:tc>
          <w:tcPr>
            <w:tcW w:w="80" w:type="dxa"/>
            <w:vAlign w:val="bottom"/>
            <w:shd w:val="clear" w:color="auto" w:fill="CCEEFF"/>
          </w:tcPr>
          <w:p>
            <w:pPr>
              <w:spacing w:after="0"/>
              <w:rPr>
                <w:sz w:val="10"/>
                <w:szCs w:val="10"/>
                <w:color w:val="auto"/>
              </w:rPr>
            </w:pPr>
          </w:p>
        </w:tc>
      </w:tr>
      <w:tr>
        <w:trPr>
          <w:trHeight w:val="136"/>
        </w:trPr>
        <w:tc>
          <w:tcPr>
            <w:tcW w:w="5140" w:type="dxa"/>
            <w:vAlign w:val="bottom"/>
          </w:tcPr>
          <w:p>
            <w:pPr>
              <w:ind w:left="440"/>
              <w:spacing w:after="0" w:line="124" w:lineRule="exact"/>
              <w:rPr>
                <w:sz w:val="20"/>
                <w:szCs w:val="20"/>
                <w:color w:val="auto"/>
              </w:rPr>
            </w:pPr>
            <w:r>
              <w:rPr>
                <w:rFonts w:ascii="Arial" w:cs="Arial" w:eastAsia="Arial" w:hAnsi="Arial"/>
                <w:sz w:val="11"/>
                <w:szCs w:val="11"/>
                <w:color w:val="auto"/>
              </w:rPr>
              <w:t>Gross profit</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tcPr>
          <w:p>
            <w:pPr>
              <w:jc w:val="right"/>
              <w:spacing w:after="0" w:line="124" w:lineRule="exact"/>
              <w:rPr>
                <w:sz w:val="20"/>
                <w:szCs w:val="20"/>
                <w:color w:val="auto"/>
              </w:rPr>
            </w:pPr>
            <w:r>
              <w:rPr>
                <w:rFonts w:ascii="Arial" w:cs="Arial" w:eastAsia="Arial" w:hAnsi="Arial"/>
                <w:sz w:val="11"/>
                <w:szCs w:val="11"/>
                <w:color w:val="auto"/>
              </w:rPr>
              <w:t>0.8</w:t>
            </w:r>
          </w:p>
        </w:tc>
        <w:tc>
          <w:tcPr>
            <w:tcW w:w="420" w:type="dxa"/>
            <w:vAlign w:val="bottom"/>
            <w:gridSpan w:val="2"/>
          </w:tcPr>
          <w:p>
            <w:pPr>
              <w:jc w:val="right"/>
              <w:spacing w:after="0" w:line="124" w:lineRule="exact"/>
              <w:rPr>
                <w:sz w:val="20"/>
                <w:szCs w:val="20"/>
                <w:color w:val="auto"/>
              </w:rPr>
            </w:pPr>
            <w:r>
              <w:rPr>
                <w:rFonts w:ascii="Arial" w:cs="Arial" w:eastAsia="Arial" w:hAnsi="Arial"/>
                <w:sz w:val="11"/>
                <w:szCs w:val="11"/>
                <w:color w:val="auto"/>
              </w:rPr>
              <w:t>$</w:t>
            </w:r>
          </w:p>
        </w:tc>
        <w:tc>
          <w:tcPr>
            <w:tcW w:w="400" w:type="dxa"/>
            <w:vAlign w:val="bottom"/>
          </w:tcPr>
          <w:p>
            <w:pPr>
              <w:jc w:val="right"/>
              <w:spacing w:after="0" w:line="124" w:lineRule="exact"/>
              <w:rPr>
                <w:sz w:val="20"/>
                <w:szCs w:val="20"/>
                <w:color w:val="auto"/>
              </w:rPr>
            </w:pPr>
            <w:r>
              <w:rPr>
                <w:rFonts w:ascii="Arial" w:cs="Arial" w:eastAsia="Arial" w:hAnsi="Arial"/>
                <w:sz w:val="11"/>
                <w:szCs w:val="11"/>
                <w:color w:val="auto"/>
              </w:rPr>
              <w:t>1.3</w:t>
            </w:r>
          </w:p>
        </w:tc>
        <w:tc>
          <w:tcPr>
            <w:tcW w:w="200" w:type="dxa"/>
            <w:vAlign w:val="bottom"/>
          </w:tcPr>
          <w:p>
            <w:pPr>
              <w:spacing w:after="0"/>
              <w:rPr>
                <w:sz w:val="11"/>
                <w:szCs w:val="11"/>
                <w:color w:val="auto"/>
              </w:rPr>
            </w:pPr>
          </w:p>
        </w:tc>
        <w:tc>
          <w:tcPr>
            <w:tcW w:w="220" w:type="dxa"/>
            <w:vAlign w:val="bottom"/>
            <w:gridSpan w:val="2"/>
          </w:tcPr>
          <w:p>
            <w:pPr>
              <w:jc w:val="right"/>
              <w:ind w:right="40"/>
              <w:spacing w:after="0" w:line="124" w:lineRule="exact"/>
              <w:rPr>
                <w:sz w:val="20"/>
                <w:szCs w:val="20"/>
                <w:color w:val="auto"/>
              </w:rPr>
            </w:pPr>
            <w:r>
              <w:rPr>
                <w:rFonts w:ascii="Arial" w:cs="Arial" w:eastAsia="Arial" w:hAnsi="Arial"/>
                <w:sz w:val="11"/>
                <w:szCs w:val="11"/>
                <w:color w:val="auto"/>
              </w:rPr>
              <w:t>$</w:t>
            </w:r>
          </w:p>
        </w:tc>
        <w:tc>
          <w:tcPr>
            <w:tcW w:w="500" w:type="dxa"/>
            <w:vAlign w:val="bottom"/>
            <w:gridSpan w:val="2"/>
          </w:tcPr>
          <w:p>
            <w:pPr>
              <w:jc w:val="right"/>
              <w:ind w:right="40"/>
              <w:spacing w:after="0" w:line="124" w:lineRule="exact"/>
              <w:rPr>
                <w:sz w:val="20"/>
                <w:szCs w:val="20"/>
                <w:color w:val="auto"/>
              </w:rPr>
            </w:pPr>
            <w:r>
              <w:rPr>
                <w:rFonts w:ascii="Arial" w:cs="Arial" w:eastAsia="Arial" w:hAnsi="Arial"/>
                <w:sz w:val="11"/>
                <w:szCs w:val="11"/>
                <w:color w:val="auto"/>
              </w:rPr>
              <w:t>(2.3)</w:t>
            </w:r>
          </w:p>
        </w:tc>
      </w:tr>
      <w:tr>
        <w:trPr>
          <w:trHeight w:val="131"/>
        </w:trPr>
        <w:tc>
          <w:tcPr>
            <w:tcW w:w="5140" w:type="dxa"/>
            <w:vAlign w:val="bottom"/>
            <w:shd w:val="clear" w:color="auto" w:fill="CCEEFF"/>
          </w:tcPr>
          <w:p>
            <w:pPr>
              <w:spacing w:after="0"/>
              <w:rPr>
                <w:sz w:val="20"/>
                <w:szCs w:val="20"/>
                <w:color w:val="auto"/>
              </w:rPr>
            </w:pPr>
            <w:r>
              <w:rPr>
                <w:rFonts w:ascii="Arial" w:cs="Arial" w:eastAsia="Arial" w:hAnsi="Arial"/>
                <w:sz w:val="11"/>
                <w:szCs w:val="11"/>
                <w:color w:val="auto"/>
              </w:rPr>
              <w:t>Consolidated:</w:t>
            </w:r>
          </w:p>
        </w:tc>
        <w:tc>
          <w:tcPr>
            <w:tcW w:w="80" w:type="dxa"/>
            <w:vAlign w:val="bottom"/>
            <w:tcBorders>
              <w:top w:val="single" w:sz="8" w:color="auto"/>
            </w:tcBorders>
            <w:shd w:val="clear" w:color="auto" w:fill="CCEEFF"/>
          </w:tcPr>
          <w:p>
            <w:pPr>
              <w:spacing w:after="0"/>
              <w:rPr>
                <w:sz w:val="11"/>
                <w:szCs w:val="11"/>
                <w:color w:val="auto"/>
              </w:rPr>
            </w:pPr>
          </w:p>
        </w:tc>
        <w:tc>
          <w:tcPr>
            <w:tcW w:w="400" w:type="dxa"/>
            <w:vAlign w:val="bottom"/>
            <w:tcBorders>
              <w:top w:val="single" w:sz="8" w:color="auto"/>
            </w:tcBorders>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400" w:type="dxa"/>
            <w:vAlign w:val="bottom"/>
            <w:tcBorders>
              <w:top w:val="single" w:sz="8" w:color="auto"/>
            </w:tcBorders>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42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r>
      <w:tr>
        <w:trPr>
          <w:trHeight w:val="126"/>
        </w:trPr>
        <w:tc>
          <w:tcPr>
            <w:tcW w:w="5140" w:type="dxa"/>
            <w:vAlign w:val="bottom"/>
          </w:tcPr>
          <w:p>
            <w:pPr>
              <w:ind w:left="220"/>
              <w:spacing w:after="0"/>
              <w:rPr>
                <w:sz w:val="20"/>
                <w:szCs w:val="20"/>
                <w:color w:val="auto"/>
              </w:rPr>
            </w:pPr>
            <w:r>
              <w:rPr>
                <w:rFonts w:ascii="Arial" w:cs="Arial" w:eastAsia="Arial" w:hAnsi="Arial"/>
                <w:sz w:val="11"/>
                <w:szCs w:val="11"/>
                <w:color w:val="auto"/>
              </w:rPr>
              <w:t>Revenue</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tcPr>
          <w:p>
            <w:pPr>
              <w:jc w:val="right"/>
              <w:spacing w:after="0"/>
              <w:rPr>
                <w:sz w:val="20"/>
                <w:szCs w:val="20"/>
                <w:color w:val="auto"/>
              </w:rPr>
            </w:pPr>
            <w:r>
              <w:rPr>
                <w:rFonts w:ascii="Arial" w:cs="Arial" w:eastAsia="Arial" w:hAnsi="Arial"/>
                <w:sz w:val="11"/>
                <w:szCs w:val="11"/>
                <w:color w:val="auto"/>
              </w:rPr>
              <w:t>218.6</w:t>
            </w:r>
          </w:p>
        </w:tc>
        <w:tc>
          <w:tcPr>
            <w:tcW w:w="42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400" w:type="dxa"/>
            <w:vAlign w:val="bottom"/>
          </w:tcPr>
          <w:p>
            <w:pPr>
              <w:jc w:val="right"/>
              <w:spacing w:after="0"/>
              <w:rPr>
                <w:sz w:val="20"/>
                <w:szCs w:val="20"/>
                <w:color w:val="auto"/>
              </w:rPr>
            </w:pPr>
            <w:r>
              <w:rPr>
                <w:rFonts w:ascii="Arial" w:cs="Arial" w:eastAsia="Arial" w:hAnsi="Arial"/>
                <w:sz w:val="11"/>
                <w:szCs w:val="11"/>
                <w:color w:val="auto"/>
              </w:rPr>
              <w:t>435.0</w:t>
            </w:r>
          </w:p>
        </w:tc>
        <w:tc>
          <w:tcPr>
            <w:tcW w:w="200" w:type="dxa"/>
            <w:vAlign w:val="bottom"/>
          </w:tcPr>
          <w:p>
            <w:pPr>
              <w:spacing w:after="0"/>
              <w:rPr>
                <w:sz w:val="10"/>
                <w:szCs w:val="10"/>
                <w:color w:val="auto"/>
              </w:rPr>
            </w:pPr>
          </w:p>
        </w:tc>
        <w:tc>
          <w:tcPr>
            <w:tcW w:w="220" w:type="dxa"/>
            <w:vAlign w:val="bottom"/>
            <w:gridSpan w:val="2"/>
          </w:tcPr>
          <w:p>
            <w:pPr>
              <w:jc w:val="right"/>
              <w:ind w:right="40"/>
              <w:spacing w:after="0"/>
              <w:rPr>
                <w:sz w:val="20"/>
                <w:szCs w:val="20"/>
                <w:color w:val="auto"/>
              </w:rPr>
            </w:pPr>
            <w:r>
              <w:rPr>
                <w:rFonts w:ascii="Arial" w:cs="Arial" w:eastAsia="Arial" w:hAnsi="Arial"/>
                <w:sz w:val="11"/>
                <w:szCs w:val="11"/>
                <w:color w:val="auto"/>
              </w:rPr>
              <w:t>$</w:t>
            </w:r>
          </w:p>
        </w:tc>
        <w:tc>
          <w:tcPr>
            <w:tcW w:w="420" w:type="dxa"/>
            <w:vAlign w:val="bottom"/>
          </w:tcPr>
          <w:p>
            <w:pPr>
              <w:jc w:val="right"/>
              <w:spacing w:after="0"/>
              <w:rPr>
                <w:sz w:val="20"/>
                <w:szCs w:val="20"/>
                <w:color w:val="auto"/>
              </w:rPr>
            </w:pPr>
            <w:r>
              <w:rPr>
                <w:rFonts w:ascii="Arial" w:cs="Arial" w:eastAsia="Arial" w:hAnsi="Arial"/>
                <w:sz w:val="11"/>
                <w:szCs w:val="11"/>
                <w:color w:val="auto"/>
              </w:rPr>
              <w:t>915.0</w:t>
            </w:r>
          </w:p>
        </w:tc>
        <w:tc>
          <w:tcPr>
            <w:tcW w:w="80" w:type="dxa"/>
            <w:vAlign w:val="bottom"/>
          </w:tcPr>
          <w:p>
            <w:pPr>
              <w:spacing w:after="0"/>
              <w:rPr>
                <w:sz w:val="10"/>
                <w:szCs w:val="10"/>
                <w:color w:val="auto"/>
              </w:rPr>
            </w:pPr>
          </w:p>
        </w:tc>
      </w:tr>
      <w:tr>
        <w:trPr>
          <w:trHeight w:val="126"/>
        </w:trPr>
        <w:tc>
          <w:tcPr>
            <w:tcW w:w="5140" w:type="dxa"/>
            <w:vAlign w:val="bottom"/>
            <w:shd w:val="clear" w:color="auto" w:fill="CCEEFF"/>
          </w:tcPr>
          <w:p>
            <w:pPr>
              <w:ind w:left="220"/>
              <w:spacing w:after="0"/>
              <w:rPr>
                <w:sz w:val="20"/>
                <w:szCs w:val="20"/>
                <w:color w:val="auto"/>
              </w:rPr>
            </w:pPr>
            <w:r>
              <w:rPr>
                <w:rFonts w:ascii="Arial" w:cs="Arial" w:eastAsia="Arial" w:hAnsi="Arial"/>
                <w:sz w:val="11"/>
                <w:szCs w:val="11"/>
                <w:color w:val="auto"/>
              </w:rPr>
              <w:t>Cost of revenue</w:t>
            </w:r>
          </w:p>
        </w:tc>
        <w:tc>
          <w:tcPr>
            <w:tcW w:w="80" w:type="dxa"/>
            <w:vAlign w:val="bottom"/>
            <w:tcBorders>
              <w:bottom w:val="single" w:sz="8" w:color="auto"/>
            </w:tcBorders>
            <w:shd w:val="clear" w:color="auto" w:fill="CCEEFF"/>
          </w:tcPr>
          <w:p>
            <w:pPr>
              <w:spacing w:after="0"/>
              <w:rPr>
                <w:sz w:val="10"/>
                <w:szCs w:val="10"/>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144.7</w:t>
            </w:r>
          </w:p>
        </w:tc>
        <w:tc>
          <w:tcPr>
            <w:tcW w:w="320" w:type="dxa"/>
            <w:vAlign w:val="bottom"/>
            <w:shd w:val="clear" w:color="auto" w:fill="CCEEFF"/>
          </w:tcPr>
          <w:p>
            <w:pPr>
              <w:spacing w:after="0"/>
              <w:rPr>
                <w:sz w:val="10"/>
                <w:szCs w:val="10"/>
                <w:color w:val="auto"/>
              </w:rPr>
            </w:pPr>
          </w:p>
        </w:tc>
        <w:tc>
          <w:tcPr>
            <w:tcW w:w="100" w:type="dxa"/>
            <w:vAlign w:val="bottom"/>
            <w:tcBorders>
              <w:bottom w:val="single" w:sz="8" w:color="auto"/>
            </w:tcBorders>
            <w:shd w:val="clear" w:color="auto" w:fill="CCEEFF"/>
          </w:tcPr>
          <w:p>
            <w:pPr>
              <w:spacing w:after="0"/>
              <w:rPr>
                <w:sz w:val="10"/>
                <w:szCs w:val="10"/>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245.4</w:t>
            </w:r>
          </w:p>
        </w:tc>
        <w:tc>
          <w:tcPr>
            <w:tcW w:w="2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tcBorders>
              <w:bottom w:val="single" w:sz="8" w:color="auto"/>
            </w:tcBorders>
            <w:shd w:val="clear" w:color="auto" w:fill="CCEEFF"/>
          </w:tcPr>
          <w:p>
            <w:pPr>
              <w:spacing w:after="0"/>
              <w:rPr>
                <w:sz w:val="10"/>
                <w:szCs w:val="10"/>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531.4</w:t>
            </w:r>
          </w:p>
        </w:tc>
        <w:tc>
          <w:tcPr>
            <w:tcW w:w="80" w:type="dxa"/>
            <w:vAlign w:val="bottom"/>
            <w:shd w:val="clear" w:color="auto" w:fill="CCEEFF"/>
          </w:tcPr>
          <w:p>
            <w:pPr>
              <w:spacing w:after="0"/>
              <w:rPr>
                <w:sz w:val="10"/>
                <w:szCs w:val="10"/>
                <w:color w:val="auto"/>
              </w:rPr>
            </w:pPr>
          </w:p>
        </w:tc>
      </w:tr>
      <w:tr>
        <w:trPr>
          <w:trHeight w:val="124"/>
        </w:trPr>
        <w:tc>
          <w:tcPr>
            <w:tcW w:w="5140" w:type="dxa"/>
            <w:vAlign w:val="bottom"/>
          </w:tcPr>
          <w:p>
            <w:pPr>
              <w:ind w:left="440"/>
              <w:spacing w:after="0" w:line="124" w:lineRule="exact"/>
              <w:rPr>
                <w:sz w:val="20"/>
                <w:szCs w:val="20"/>
                <w:color w:val="auto"/>
              </w:rPr>
            </w:pPr>
            <w:r>
              <w:rPr>
                <w:rFonts w:ascii="Arial" w:cs="Arial" w:eastAsia="Arial" w:hAnsi="Arial"/>
                <w:sz w:val="11"/>
                <w:szCs w:val="11"/>
                <w:color w:val="auto"/>
              </w:rPr>
              <w:t>Gross profit</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tcPr>
          <w:p>
            <w:pPr>
              <w:jc w:val="right"/>
              <w:spacing w:after="0" w:line="124" w:lineRule="exact"/>
              <w:rPr>
                <w:sz w:val="20"/>
                <w:szCs w:val="20"/>
                <w:color w:val="auto"/>
              </w:rPr>
            </w:pPr>
            <w:r>
              <w:rPr>
                <w:rFonts w:ascii="Arial" w:cs="Arial" w:eastAsia="Arial" w:hAnsi="Arial"/>
                <w:sz w:val="11"/>
                <w:szCs w:val="11"/>
                <w:color w:val="auto"/>
              </w:rPr>
              <w:t>73.</w:t>
            </w:r>
            <w:r>
              <w:rPr>
                <w:rFonts w:ascii="Arial" w:cs="Arial" w:eastAsia="Arial" w:hAnsi="Arial"/>
                <w:sz w:val="11"/>
                <w:szCs w:val="11"/>
                <w:u w:val="single" w:color="auto"/>
                <w:color w:val="auto"/>
              </w:rPr>
              <w:t>9</w:t>
            </w:r>
          </w:p>
        </w:tc>
        <w:tc>
          <w:tcPr>
            <w:tcW w:w="320" w:type="dxa"/>
            <w:vAlign w:val="bottom"/>
          </w:tcPr>
          <w:p>
            <w:pPr>
              <w:spacing w:after="0"/>
              <w:rPr>
                <w:sz w:val="10"/>
                <w:szCs w:val="10"/>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tcPr>
          <w:p>
            <w:pPr>
              <w:jc w:val="right"/>
              <w:spacing w:after="0" w:line="124" w:lineRule="exact"/>
              <w:rPr>
                <w:sz w:val="20"/>
                <w:szCs w:val="20"/>
                <w:color w:val="auto"/>
              </w:rPr>
            </w:pPr>
            <w:r>
              <w:rPr>
                <w:rFonts w:ascii="Arial" w:cs="Arial" w:eastAsia="Arial" w:hAnsi="Arial"/>
                <w:sz w:val="11"/>
                <w:szCs w:val="11"/>
                <w:color w:val="auto"/>
              </w:rPr>
              <w:t>189.6</w:t>
            </w:r>
          </w:p>
        </w:tc>
        <w:tc>
          <w:tcPr>
            <w:tcW w:w="200" w:type="dxa"/>
            <w:vAlign w:val="bottom"/>
          </w:tcPr>
          <w:p>
            <w:pPr>
              <w:spacing w:after="0"/>
              <w:rPr>
                <w:sz w:val="10"/>
                <w:szCs w:val="10"/>
                <w:color w:val="auto"/>
              </w:rPr>
            </w:pPr>
          </w:p>
        </w:tc>
        <w:tc>
          <w:tcPr>
            <w:tcW w:w="220" w:type="dxa"/>
            <w:vAlign w:val="bottom"/>
            <w:gridSpan w:val="2"/>
          </w:tcPr>
          <w:p>
            <w:pPr>
              <w:jc w:val="right"/>
              <w:ind w:right="40"/>
              <w:spacing w:after="0" w:line="124" w:lineRule="exact"/>
              <w:rPr>
                <w:sz w:val="20"/>
                <w:szCs w:val="20"/>
                <w:color w:val="auto"/>
              </w:rPr>
            </w:pPr>
            <w:r>
              <w:rPr>
                <w:rFonts w:ascii="Arial" w:cs="Arial" w:eastAsia="Arial" w:hAnsi="Arial"/>
                <w:sz w:val="11"/>
                <w:szCs w:val="11"/>
                <w:color w:val="auto"/>
              </w:rPr>
              <w:t>$</w:t>
            </w:r>
          </w:p>
        </w:tc>
        <w:tc>
          <w:tcPr>
            <w:tcW w:w="420" w:type="dxa"/>
            <w:vAlign w:val="bottom"/>
          </w:tcPr>
          <w:p>
            <w:pPr>
              <w:jc w:val="right"/>
              <w:spacing w:after="0" w:line="124" w:lineRule="exact"/>
              <w:rPr>
                <w:sz w:val="20"/>
                <w:szCs w:val="20"/>
                <w:color w:val="auto"/>
              </w:rPr>
            </w:pPr>
            <w:r>
              <w:rPr>
                <w:rFonts w:ascii="Arial" w:cs="Arial" w:eastAsia="Arial" w:hAnsi="Arial"/>
                <w:sz w:val="11"/>
                <w:szCs w:val="11"/>
                <w:color w:val="auto"/>
              </w:rPr>
              <w:t>383.</w:t>
            </w:r>
            <w:r>
              <w:rPr>
                <w:rFonts w:ascii="Arial" w:cs="Arial" w:eastAsia="Arial" w:hAnsi="Arial"/>
                <w:sz w:val="11"/>
                <w:szCs w:val="11"/>
                <w:u w:val="single" w:color="auto"/>
                <w:color w:val="auto"/>
              </w:rPr>
              <w:t>6</w:t>
            </w:r>
          </w:p>
        </w:tc>
        <w:tc>
          <w:tcPr>
            <w:tcW w:w="80" w:type="dxa"/>
            <w:vAlign w:val="bottom"/>
          </w:tcPr>
          <w:p>
            <w:pPr>
              <w:spacing w:after="0"/>
              <w:rPr>
                <w:sz w:val="10"/>
                <w:szCs w:val="10"/>
                <w:color w:val="auto"/>
              </w:rPr>
            </w:pPr>
          </w:p>
        </w:tc>
      </w:tr>
      <w:tr>
        <w:trPr>
          <w:trHeight w:val="27"/>
        </w:trPr>
        <w:tc>
          <w:tcPr>
            <w:tcW w:w="5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bl>
    <w:p>
      <w:pPr>
        <w:spacing w:after="0" w:line="214" w:lineRule="exact"/>
        <w:rPr>
          <w:sz w:val="20"/>
          <w:szCs w:val="20"/>
          <w:color w:val="auto"/>
        </w:rPr>
      </w:pPr>
    </w:p>
    <w:p>
      <w:pPr>
        <w:ind w:left="2060"/>
        <w:spacing w:after="0"/>
        <w:rPr>
          <w:sz w:val="20"/>
          <w:szCs w:val="20"/>
          <w:color w:val="auto"/>
        </w:rPr>
      </w:pPr>
      <w:r>
        <w:rPr>
          <w:rFonts w:ascii="Arial" w:cs="Arial" w:eastAsia="Arial" w:hAnsi="Arial"/>
          <w:sz w:val="11"/>
          <w:szCs w:val="11"/>
          <w:b w:val="1"/>
          <w:bCs w:val="1"/>
          <w:i w:val="1"/>
          <w:iCs w:val="1"/>
          <w:color w:val="auto"/>
        </w:rPr>
        <w:t>Reconciliation of Gross Profit</w:t>
      </w:r>
    </w:p>
    <w:p>
      <w:pPr>
        <w:spacing w:after="0" w:line="84" w:lineRule="exact"/>
        <w:rPr>
          <w:sz w:val="20"/>
          <w:szCs w:val="20"/>
          <w:color w:val="auto"/>
        </w:rPr>
      </w:pPr>
    </w:p>
    <w:p>
      <w:pPr>
        <w:jc w:val="both"/>
        <w:ind w:left="2060" w:right="839"/>
        <w:spacing w:after="0" w:line="245" w:lineRule="auto"/>
        <w:rPr>
          <w:sz w:val="20"/>
          <w:szCs w:val="20"/>
          <w:color w:val="auto"/>
        </w:rPr>
      </w:pPr>
      <w:r>
        <w:rPr>
          <w:rFonts w:ascii="Arial" w:cs="Arial" w:eastAsia="Arial" w:hAnsi="Arial"/>
          <w:sz w:val="11"/>
          <w:szCs w:val="11"/>
          <w:color w:val="auto"/>
        </w:rPr>
        <w:t>Operating expenditures, interest (income) and other expense, and taxes are not allocated to individual segments as these are managed on an entity wide group basis. The reconciliation between reportable segment gross profit to consolidated loss before tax is as follows:</w:t>
      </w:r>
    </w:p>
    <w:p>
      <w:pPr>
        <w:spacing w:after="0" w:line="144" w:lineRule="exact"/>
        <w:rPr>
          <w:sz w:val="20"/>
          <w:szCs w:val="20"/>
          <w:color w:val="auto"/>
        </w:rPr>
      </w:pPr>
    </w:p>
    <w:tbl>
      <w:tblPr>
        <w:tblLayout w:type="fixed"/>
        <w:tblInd w:w="2060" w:type="dxa"/>
        <w:tblCellMar>
          <w:top w:w="0" w:type="dxa"/>
          <w:left w:w="0" w:type="dxa"/>
          <w:bottom w:w="0" w:type="dxa"/>
          <w:right w:w="0" w:type="dxa"/>
        </w:tblCellMar>
      </w:tblPr>
      <w:tr>
        <w:trPr>
          <w:trHeight w:val="137"/>
        </w:trPr>
        <w:tc>
          <w:tcPr>
            <w:tcW w:w="2820" w:type="dxa"/>
            <w:vAlign w:val="bottom"/>
          </w:tcPr>
          <w:p>
            <w:pPr>
              <w:spacing w:after="0"/>
              <w:rPr>
                <w:sz w:val="11"/>
                <w:szCs w:val="11"/>
                <w:color w:val="auto"/>
              </w:rPr>
            </w:pPr>
          </w:p>
        </w:tc>
        <w:tc>
          <w:tcPr>
            <w:tcW w:w="23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700" w:type="dxa"/>
            <w:vAlign w:val="bottom"/>
            <w:tcBorders>
              <w:bottom w:val="single" w:sz="8" w:color="auto"/>
            </w:tcBorders>
            <w:gridSpan w:val="8"/>
          </w:tcPr>
          <w:p>
            <w:pPr>
              <w:jc w:val="center"/>
              <w:ind w:left="226"/>
              <w:spacing w:after="0"/>
              <w:rPr>
                <w:sz w:val="20"/>
                <w:szCs w:val="20"/>
                <w:color w:val="auto"/>
              </w:rPr>
            </w:pPr>
            <w:r>
              <w:rPr>
                <w:rFonts w:ascii="Arial" w:cs="Arial" w:eastAsia="Arial" w:hAnsi="Arial"/>
                <w:sz w:val="11"/>
                <w:szCs w:val="11"/>
                <w:b w:val="1"/>
                <w:bCs w:val="1"/>
                <w:color w:val="auto"/>
                <w:w w:val="97"/>
              </w:rPr>
              <w:t>Fiscal Year Ended June 30,</w:t>
            </w:r>
          </w:p>
        </w:tc>
        <w:tc>
          <w:tcPr>
            <w:tcW w:w="38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r>
      <w:tr>
        <w:trPr>
          <w:trHeight w:val="115"/>
        </w:trPr>
        <w:tc>
          <w:tcPr>
            <w:tcW w:w="2820" w:type="dxa"/>
            <w:vAlign w:val="bottom"/>
          </w:tcPr>
          <w:p>
            <w:pPr>
              <w:spacing w:after="0"/>
              <w:rPr>
                <w:sz w:val="10"/>
                <w:szCs w:val="10"/>
                <w:color w:val="auto"/>
              </w:rPr>
            </w:pPr>
          </w:p>
        </w:tc>
        <w:tc>
          <w:tcPr>
            <w:tcW w:w="230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jc w:val="right"/>
              <w:ind w:right="86"/>
              <w:spacing w:after="0" w:line="115" w:lineRule="exact"/>
              <w:rPr>
                <w:sz w:val="20"/>
                <w:szCs w:val="20"/>
                <w:color w:val="auto"/>
              </w:rPr>
            </w:pPr>
            <w:r>
              <w:rPr>
                <w:rFonts w:ascii="Arial" w:cs="Arial" w:eastAsia="Arial" w:hAnsi="Arial"/>
                <w:sz w:val="11"/>
                <w:szCs w:val="11"/>
                <w:b w:val="1"/>
                <w:bCs w:val="1"/>
                <w:color w:val="auto"/>
                <w:w w:val="97"/>
              </w:rPr>
              <w:t>2017</w:t>
            </w:r>
          </w:p>
        </w:tc>
        <w:tc>
          <w:tcPr>
            <w:tcW w:w="16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jc w:val="center"/>
              <w:ind w:right="66"/>
              <w:spacing w:after="0" w:line="115" w:lineRule="exact"/>
              <w:rPr>
                <w:sz w:val="20"/>
                <w:szCs w:val="20"/>
                <w:color w:val="auto"/>
              </w:rPr>
            </w:pPr>
            <w:r>
              <w:rPr>
                <w:rFonts w:ascii="Arial" w:cs="Arial" w:eastAsia="Arial" w:hAnsi="Arial"/>
                <w:sz w:val="11"/>
                <w:szCs w:val="11"/>
                <w:b w:val="1"/>
                <w:bCs w:val="1"/>
                <w:color w:val="auto"/>
                <w:w w:val="97"/>
              </w:rPr>
              <w:t>2018</w:t>
            </w:r>
          </w:p>
        </w:tc>
        <w:tc>
          <w:tcPr>
            <w:tcW w:w="20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jc w:val="right"/>
              <w:ind w:right="66"/>
              <w:spacing w:after="0" w:line="115" w:lineRule="exact"/>
              <w:rPr>
                <w:sz w:val="20"/>
                <w:szCs w:val="20"/>
                <w:color w:val="auto"/>
              </w:rPr>
            </w:pPr>
            <w:r>
              <w:rPr>
                <w:rFonts w:ascii="Arial" w:cs="Arial" w:eastAsia="Arial" w:hAnsi="Arial"/>
                <w:sz w:val="11"/>
                <w:szCs w:val="11"/>
                <w:b w:val="1"/>
                <w:bCs w:val="1"/>
                <w:color w:val="auto"/>
                <w:w w:val="97"/>
              </w:rPr>
              <w:t>2019</w:t>
            </w:r>
          </w:p>
        </w:tc>
        <w:tc>
          <w:tcPr>
            <w:tcW w:w="80" w:type="dxa"/>
            <w:vAlign w:val="bottom"/>
          </w:tcPr>
          <w:p>
            <w:pPr>
              <w:spacing w:after="0"/>
              <w:rPr>
                <w:sz w:val="10"/>
                <w:szCs w:val="10"/>
                <w:color w:val="auto"/>
              </w:rPr>
            </w:pPr>
          </w:p>
        </w:tc>
      </w:tr>
      <w:tr>
        <w:trPr>
          <w:trHeight w:val="115"/>
        </w:trPr>
        <w:tc>
          <w:tcPr>
            <w:tcW w:w="2820" w:type="dxa"/>
            <w:vAlign w:val="bottom"/>
          </w:tcPr>
          <w:p>
            <w:pPr>
              <w:spacing w:after="0"/>
              <w:rPr>
                <w:sz w:val="10"/>
                <w:szCs w:val="10"/>
                <w:color w:val="auto"/>
              </w:rPr>
            </w:pPr>
          </w:p>
        </w:tc>
        <w:tc>
          <w:tcPr>
            <w:tcW w:w="2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80" w:type="dxa"/>
            <w:vAlign w:val="bottom"/>
            <w:gridSpan w:val="4"/>
          </w:tcPr>
          <w:p>
            <w:pPr>
              <w:jc w:val="center"/>
              <w:ind w:right="20"/>
              <w:spacing w:after="0" w:line="115" w:lineRule="exact"/>
              <w:rPr>
                <w:sz w:val="20"/>
                <w:szCs w:val="20"/>
                <w:color w:val="auto"/>
              </w:rPr>
            </w:pPr>
            <w:r>
              <w:rPr>
                <w:rFonts w:ascii="Arial" w:cs="Arial" w:eastAsia="Arial" w:hAnsi="Arial"/>
                <w:sz w:val="11"/>
                <w:szCs w:val="11"/>
                <w:b w:val="1"/>
                <w:bCs w:val="1"/>
                <w:color w:val="auto"/>
              </w:rPr>
              <w:t>(in millions)</w:t>
            </w: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r>
      <w:tr>
        <w:trPr>
          <w:trHeight w:val="126"/>
        </w:trPr>
        <w:tc>
          <w:tcPr>
            <w:tcW w:w="2820" w:type="dxa"/>
            <w:vAlign w:val="bottom"/>
            <w:shd w:val="clear" w:color="auto" w:fill="CCEEFF"/>
          </w:tcPr>
          <w:p>
            <w:pPr>
              <w:spacing w:after="0"/>
              <w:rPr>
                <w:sz w:val="20"/>
                <w:szCs w:val="20"/>
                <w:color w:val="auto"/>
              </w:rPr>
            </w:pPr>
            <w:r>
              <w:rPr>
                <w:rFonts w:ascii="Arial" w:cs="Arial" w:eastAsia="Arial" w:hAnsi="Arial"/>
                <w:sz w:val="11"/>
                <w:szCs w:val="11"/>
                <w:color w:val="auto"/>
              </w:rPr>
              <w:t>Segment Gross Profit</w:t>
            </w:r>
          </w:p>
        </w:tc>
        <w:tc>
          <w:tcPr>
            <w:tcW w:w="238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73.9</w:t>
            </w:r>
          </w:p>
        </w:tc>
        <w:tc>
          <w:tcPr>
            <w:tcW w:w="160" w:type="dxa"/>
            <w:vAlign w:val="bottom"/>
            <w:shd w:val="clear" w:color="auto" w:fill="CCEEFF"/>
          </w:tcPr>
          <w:p>
            <w:pPr>
              <w:spacing w:after="0"/>
              <w:rPr>
                <w:sz w:val="10"/>
                <w:szCs w:val="10"/>
                <w:color w:val="auto"/>
              </w:rPr>
            </w:pP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189.6</w:t>
            </w:r>
          </w:p>
        </w:tc>
        <w:tc>
          <w:tcPr>
            <w:tcW w:w="200" w:type="dxa"/>
            <w:vAlign w:val="bottom"/>
            <w:shd w:val="clear" w:color="auto" w:fill="CCEEFF"/>
          </w:tcPr>
          <w:p>
            <w:pPr>
              <w:spacing w:after="0"/>
              <w:rPr>
                <w:sz w:val="10"/>
                <w:szCs w:val="10"/>
                <w:color w:val="auto"/>
              </w:rPr>
            </w:pP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383.6</w:t>
            </w:r>
          </w:p>
        </w:tc>
        <w:tc>
          <w:tcPr>
            <w:tcW w:w="80" w:type="dxa"/>
            <w:vAlign w:val="bottom"/>
            <w:shd w:val="clear" w:color="auto" w:fill="CCEEFF"/>
          </w:tcPr>
          <w:p>
            <w:pPr>
              <w:spacing w:after="0"/>
              <w:rPr>
                <w:sz w:val="10"/>
                <w:szCs w:val="10"/>
                <w:color w:val="auto"/>
              </w:rPr>
            </w:pPr>
          </w:p>
        </w:tc>
      </w:tr>
      <w:tr>
        <w:trPr>
          <w:trHeight w:val="126"/>
        </w:trPr>
        <w:tc>
          <w:tcPr>
            <w:tcW w:w="2820" w:type="dxa"/>
            <w:vAlign w:val="bottom"/>
          </w:tcPr>
          <w:p>
            <w:pPr>
              <w:spacing w:after="0"/>
              <w:rPr>
                <w:sz w:val="20"/>
                <w:szCs w:val="20"/>
                <w:color w:val="auto"/>
              </w:rPr>
            </w:pPr>
            <w:r>
              <w:rPr>
                <w:rFonts w:ascii="Arial" w:cs="Arial" w:eastAsia="Arial" w:hAnsi="Arial"/>
                <w:sz w:val="11"/>
                <w:szCs w:val="11"/>
                <w:color w:val="auto"/>
              </w:rPr>
              <w:t>Research and development</w:t>
            </w:r>
          </w:p>
        </w:tc>
        <w:tc>
          <w:tcPr>
            <w:tcW w:w="2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1"/>
                <w:szCs w:val="11"/>
                <w:color w:val="auto"/>
              </w:rPr>
              <w:t>(13.0)</w:t>
            </w: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1"/>
                <w:szCs w:val="11"/>
                <w:color w:val="auto"/>
              </w:rPr>
              <w:t>(23.4)</w:t>
            </w: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gridSpan w:val="2"/>
          </w:tcPr>
          <w:p>
            <w:pPr>
              <w:jc w:val="right"/>
              <w:ind w:right="40"/>
              <w:spacing w:after="0"/>
              <w:rPr>
                <w:sz w:val="20"/>
                <w:szCs w:val="20"/>
                <w:color w:val="auto"/>
              </w:rPr>
            </w:pPr>
            <w:r>
              <w:rPr>
                <w:rFonts w:ascii="Arial" w:cs="Arial" w:eastAsia="Arial" w:hAnsi="Arial"/>
                <w:sz w:val="11"/>
                <w:szCs w:val="11"/>
                <w:color w:val="auto"/>
              </w:rPr>
              <w:t>(54.8)</w:t>
            </w:r>
          </w:p>
        </w:tc>
      </w:tr>
      <w:tr>
        <w:trPr>
          <w:trHeight w:val="126"/>
        </w:trPr>
        <w:tc>
          <w:tcPr>
            <w:tcW w:w="2820" w:type="dxa"/>
            <w:vAlign w:val="bottom"/>
            <w:shd w:val="clear" w:color="auto" w:fill="CCEEFF"/>
          </w:tcPr>
          <w:p>
            <w:pPr>
              <w:spacing w:after="0"/>
              <w:rPr>
                <w:sz w:val="20"/>
                <w:szCs w:val="20"/>
                <w:color w:val="auto"/>
              </w:rPr>
            </w:pPr>
            <w:r>
              <w:rPr>
                <w:rFonts w:ascii="Arial" w:cs="Arial" w:eastAsia="Arial" w:hAnsi="Arial"/>
                <w:sz w:val="11"/>
                <w:szCs w:val="11"/>
                <w:color w:val="auto"/>
              </w:rPr>
              <w:t>Sales and marketing</w:t>
            </w:r>
          </w:p>
        </w:tc>
        <w:tc>
          <w:tcPr>
            <w:tcW w:w="23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(86.0)</w:t>
            </w:r>
          </w:p>
        </w:tc>
        <w:tc>
          <w:tcPr>
            <w:tcW w:w="1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11"/>
                <w:szCs w:val="11"/>
                <w:color w:val="auto"/>
              </w:rPr>
              <w:t>(151.4)</w:t>
            </w:r>
          </w:p>
        </w:tc>
        <w:tc>
          <w:tcPr>
            <w:tcW w:w="1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6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(324.0)</w:t>
            </w:r>
          </w:p>
        </w:tc>
      </w:tr>
      <w:tr>
        <w:trPr>
          <w:trHeight w:val="126"/>
        </w:trPr>
        <w:tc>
          <w:tcPr>
            <w:tcW w:w="2820" w:type="dxa"/>
            <w:vAlign w:val="bottom"/>
          </w:tcPr>
          <w:p>
            <w:pPr>
              <w:spacing w:after="0"/>
              <w:rPr>
                <w:sz w:val="20"/>
                <w:szCs w:val="20"/>
                <w:color w:val="auto"/>
              </w:rPr>
            </w:pPr>
            <w:r>
              <w:rPr>
                <w:rFonts w:ascii="Arial" w:cs="Arial" w:eastAsia="Arial" w:hAnsi="Arial"/>
                <w:sz w:val="11"/>
                <w:szCs w:val="11"/>
                <w:color w:val="auto"/>
              </w:rPr>
              <w:t>General and administrative</w:t>
            </w:r>
          </w:p>
        </w:tc>
        <w:tc>
          <w:tcPr>
            <w:tcW w:w="2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1"/>
                <w:szCs w:val="11"/>
                <w:color w:val="auto"/>
              </w:rPr>
              <w:t>(45.6)</w:t>
            </w: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1"/>
                <w:szCs w:val="11"/>
                <w:color w:val="auto"/>
              </w:rPr>
              <w:t>(62.4)</w:t>
            </w: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gridSpan w:val="2"/>
          </w:tcPr>
          <w:p>
            <w:pPr>
              <w:jc w:val="right"/>
              <w:ind w:right="40"/>
              <w:spacing w:after="0"/>
              <w:rPr>
                <w:sz w:val="20"/>
                <w:szCs w:val="20"/>
                <w:color w:val="auto"/>
              </w:rPr>
            </w:pPr>
            <w:r>
              <w:rPr>
                <w:rFonts w:ascii="Arial" w:cs="Arial" w:eastAsia="Arial" w:hAnsi="Arial"/>
                <w:sz w:val="11"/>
                <w:szCs w:val="11"/>
                <w:color w:val="auto"/>
              </w:rPr>
              <w:t>(207.0)</w:t>
            </w:r>
          </w:p>
        </w:tc>
      </w:tr>
      <w:tr>
        <w:trPr>
          <w:trHeight w:val="126"/>
        </w:trPr>
        <w:tc>
          <w:tcPr>
            <w:tcW w:w="2820" w:type="dxa"/>
            <w:vAlign w:val="bottom"/>
            <w:shd w:val="clear" w:color="auto" w:fill="CCEEFF"/>
          </w:tcPr>
          <w:p>
            <w:pPr>
              <w:spacing w:after="0"/>
              <w:rPr>
                <w:sz w:val="20"/>
                <w:szCs w:val="20"/>
                <w:color w:val="auto"/>
              </w:rPr>
            </w:pPr>
            <w:r>
              <w:rPr>
                <w:rFonts w:ascii="Arial" w:cs="Arial" w:eastAsia="Arial" w:hAnsi="Arial"/>
                <w:sz w:val="11"/>
                <w:szCs w:val="11"/>
                <w:color w:val="auto"/>
              </w:rPr>
              <w:t>Total other income (expense), net</w:t>
            </w:r>
          </w:p>
        </w:tc>
        <w:tc>
          <w:tcPr>
            <w:tcW w:w="23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(0.3)</w:t>
            </w:r>
          </w:p>
        </w:tc>
        <w:tc>
          <w:tcPr>
            <w:tcW w:w="1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11"/>
                <w:szCs w:val="11"/>
                <w:color w:val="auto"/>
              </w:rPr>
              <w:t>(0.3)</w:t>
            </w:r>
          </w:p>
        </w:tc>
        <w:tc>
          <w:tcPr>
            <w:tcW w:w="1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6.7</w:t>
            </w:r>
          </w:p>
        </w:tc>
        <w:tc>
          <w:tcPr>
            <w:tcW w:w="80" w:type="dxa"/>
            <w:vAlign w:val="bottom"/>
            <w:shd w:val="clear" w:color="auto" w:fill="CCEEFF"/>
          </w:tcPr>
          <w:p>
            <w:pPr>
              <w:spacing w:after="0"/>
              <w:rPr>
                <w:sz w:val="10"/>
                <w:szCs w:val="10"/>
                <w:color w:val="auto"/>
              </w:rPr>
            </w:pPr>
          </w:p>
        </w:tc>
      </w:tr>
      <w:tr>
        <w:trPr>
          <w:trHeight w:val="27"/>
        </w:trPr>
        <w:tc>
          <w:tcPr>
            <w:tcW w:w="2820" w:type="dxa"/>
            <w:vAlign w:val="bottom"/>
          </w:tcPr>
          <w:p>
            <w:pPr>
              <w:spacing w:after="0"/>
              <w:rPr>
                <w:sz w:val="2"/>
                <w:szCs w:val="2"/>
                <w:color w:val="auto"/>
              </w:rPr>
            </w:pPr>
          </w:p>
        </w:tc>
        <w:tc>
          <w:tcPr>
            <w:tcW w:w="2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142"/>
        </w:trPr>
        <w:tc>
          <w:tcPr>
            <w:tcW w:w="2820" w:type="dxa"/>
            <w:vAlign w:val="bottom"/>
          </w:tcPr>
          <w:p>
            <w:pPr>
              <w:ind w:left="220"/>
              <w:spacing w:after="0"/>
              <w:rPr>
                <w:sz w:val="20"/>
                <w:szCs w:val="20"/>
                <w:color w:val="auto"/>
              </w:rPr>
            </w:pPr>
            <w:r>
              <w:rPr>
                <w:rFonts w:ascii="Arial" w:cs="Arial" w:eastAsia="Arial" w:hAnsi="Arial"/>
                <w:sz w:val="11"/>
                <w:szCs w:val="11"/>
                <w:color w:val="auto"/>
              </w:rPr>
              <w:t>Loss before provision for income taxes</w:t>
            </w:r>
          </w:p>
        </w:tc>
        <w:tc>
          <w:tcPr>
            <w:tcW w:w="2380" w:type="dxa"/>
            <w:vAlign w:val="bottom"/>
            <w:gridSpan w:val="2"/>
          </w:tcPr>
          <w:p>
            <w:pPr>
              <w:jc w:val="right"/>
              <w:ind w:right="40"/>
              <w:spacing w:after="0"/>
              <w:rPr>
                <w:sz w:val="20"/>
                <w:szCs w:val="20"/>
                <w:color w:val="auto"/>
              </w:rPr>
            </w:pPr>
            <w:r>
              <w:rPr>
                <w:rFonts w:ascii="Arial" w:cs="Arial" w:eastAsia="Arial" w:hAnsi="Arial"/>
                <w:sz w:val="11"/>
                <w:szCs w:val="11"/>
                <w:color w:val="auto"/>
              </w:rPr>
              <w:t>$</w:t>
            </w:r>
          </w:p>
        </w:tc>
        <w:tc>
          <w:tcPr>
            <w:tcW w:w="560" w:type="dxa"/>
            <w:vAlign w:val="bottom"/>
            <w:gridSpan w:val="2"/>
          </w:tcPr>
          <w:p>
            <w:pPr>
              <w:jc w:val="right"/>
              <w:ind w:right="140"/>
              <w:spacing w:after="0"/>
              <w:rPr>
                <w:sz w:val="20"/>
                <w:szCs w:val="20"/>
                <w:color w:val="auto"/>
              </w:rPr>
            </w:pPr>
            <w:r>
              <w:rPr>
                <w:rFonts w:ascii="Arial" w:cs="Arial" w:eastAsia="Arial" w:hAnsi="Arial"/>
                <w:sz w:val="11"/>
                <w:szCs w:val="11"/>
                <w:color w:val="auto"/>
              </w:rPr>
              <w:t>(71.1)</w:t>
            </w:r>
          </w:p>
        </w:tc>
        <w:tc>
          <w:tcPr>
            <w:tcW w:w="280" w:type="dxa"/>
            <w:vAlign w:val="bottom"/>
            <w:gridSpan w:val="2"/>
          </w:tcPr>
          <w:p>
            <w:pPr>
              <w:jc w:val="right"/>
              <w:ind w:right="40"/>
              <w:spacing w:after="0"/>
              <w:rPr>
                <w:sz w:val="20"/>
                <w:szCs w:val="20"/>
                <w:color w:val="auto"/>
              </w:rPr>
            </w:pPr>
            <w:r>
              <w:rPr>
                <w:rFonts w:ascii="Arial" w:cs="Arial" w:eastAsia="Arial" w:hAnsi="Arial"/>
                <w:sz w:val="11"/>
                <w:szCs w:val="11"/>
                <w:color w:val="auto"/>
              </w:rPr>
              <w:t>$</w:t>
            </w:r>
          </w:p>
        </w:tc>
        <w:tc>
          <w:tcPr>
            <w:tcW w:w="600" w:type="dxa"/>
            <w:vAlign w:val="bottom"/>
            <w:gridSpan w:val="2"/>
          </w:tcPr>
          <w:p>
            <w:pPr>
              <w:jc w:val="right"/>
              <w:ind w:right="180"/>
              <w:spacing w:after="0"/>
              <w:rPr>
                <w:sz w:val="20"/>
                <w:szCs w:val="20"/>
                <w:color w:val="auto"/>
              </w:rPr>
            </w:pPr>
            <w:r>
              <w:rPr>
                <w:rFonts w:ascii="Arial" w:cs="Arial" w:eastAsia="Arial" w:hAnsi="Arial"/>
                <w:sz w:val="11"/>
                <w:szCs w:val="11"/>
                <w:color w:val="auto"/>
              </w:rPr>
              <w:t>(47.8)</w:t>
            </w:r>
          </w:p>
        </w:tc>
        <w:tc>
          <w:tcPr>
            <w:tcW w:w="260" w:type="dxa"/>
            <w:vAlign w:val="bottom"/>
            <w:gridSpan w:val="2"/>
          </w:tcPr>
          <w:p>
            <w:pPr>
              <w:jc w:val="right"/>
              <w:ind w:right="40"/>
              <w:spacing w:after="0"/>
              <w:rPr>
                <w:sz w:val="20"/>
                <w:szCs w:val="20"/>
                <w:color w:val="auto"/>
              </w:rPr>
            </w:pPr>
            <w:r>
              <w:rPr>
                <w:rFonts w:ascii="Arial" w:cs="Arial" w:eastAsia="Arial" w:hAnsi="Arial"/>
                <w:sz w:val="11"/>
                <w:szCs w:val="11"/>
                <w:color w:val="auto"/>
              </w:rPr>
              <w:t>$</w:t>
            </w:r>
          </w:p>
        </w:tc>
        <w:tc>
          <w:tcPr>
            <w:tcW w:w="460" w:type="dxa"/>
            <w:vAlign w:val="bottom"/>
            <w:gridSpan w:val="2"/>
          </w:tcPr>
          <w:p>
            <w:pPr>
              <w:jc w:val="right"/>
              <w:ind w:right="40"/>
              <w:spacing w:after="0"/>
              <w:rPr>
                <w:sz w:val="20"/>
                <w:szCs w:val="20"/>
                <w:color w:val="auto"/>
              </w:rPr>
            </w:pPr>
            <w:r>
              <w:rPr>
                <w:rFonts w:ascii="Arial" w:cs="Arial" w:eastAsia="Arial" w:hAnsi="Arial"/>
                <w:sz w:val="11"/>
                <w:szCs w:val="11"/>
                <w:color w:val="auto"/>
              </w:rPr>
              <w:t>(195.6)</w:t>
            </w:r>
          </w:p>
        </w:tc>
      </w:tr>
      <w:tr>
        <w:trPr>
          <w:trHeight w:val="239"/>
        </w:trPr>
        <w:tc>
          <w:tcPr>
            <w:tcW w:w="2820" w:type="dxa"/>
            <w:vAlign w:val="bottom"/>
          </w:tcPr>
          <w:p>
            <w:pPr>
              <w:spacing w:after="0"/>
              <w:rPr>
                <w:sz w:val="20"/>
                <w:szCs w:val="20"/>
                <w:color w:val="auto"/>
              </w:rPr>
            </w:pPr>
          </w:p>
        </w:tc>
        <w:tc>
          <w:tcPr>
            <w:tcW w:w="2300" w:type="dxa"/>
            <w:vAlign w:val="bottom"/>
          </w:tcPr>
          <w:p>
            <w:pPr>
              <w:ind w:left="740"/>
              <w:spacing w:after="0"/>
              <w:rPr>
                <w:sz w:val="20"/>
                <w:szCs w:val="20"/>
                <w:color w:val="auto"/>
              </w:rPr>
            </w:pPr>
            <w:r>
              <w:rPr>
                <w:rFonts w:ascii="Arial" w:cs="Arial" w:eastAsia="Arial" w:hAnsi="Arial"/>
                <w:sz w:val="11"/>
                <w:szCs w:val="11"/>
                <w:color w:val="auto"/>
              </w:rPr>
              <w:t>F-35</w:t>
            </w:r>
          </w:p>
        </w:tc>
        <w:tc>
          <w:tcPr>
            <w:tcW w:w="80" w:type="dxa"/>
            <w:vAlign w:val="bottom"/>
            <w:tcBorders>
              <w:top w:val="single" w:sz="8" w:color="auto"/>
            </w:tcBorders>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r>
    </w:tbl>
    <w:p>
      <w:pPr>
        <w:sectPr>
          <w:pgSz w:w="11900" w:h="16838" w:orient="portrait"/>
          <w:cols w:equalWidth="0" w:num="1">
            <w:col w:w="10239"/>
          </w:cols>
          <w:pgMar w:left="220" w:top="354" w:right="1440" w:bottom="1440" w:gutter="0" w:footer="0" w:header="0"/>
        </w:sectPr>
      </w:pPr>
    </w:p>
    <w:bookmarkStart w:id="199" w:name="page200"/>
    <w:bookmarkEnd w:id="199"/>
    <w:p>
      <w:pPr>
        <w:spacing w:after="0"/>
        <w:rPr>
          <w:rFonts w:ascii="Arial" w:cs="Arial" w:eastAsia="Arial" w:hAnsi="Arial"/>
          <w:sz w:val="12"/>
          <w:szCs w:val="12"/>
          <w:b w:val="1"/>
          <w:bCs w:val="1"/>
          <w:u w:val="single" w:color="auto"/>
          <w:color w:val="0000EE"/>
        </w:rPr>
      </w:pPr>
      <w:r>
        <w:rPr>
          <w:rFonts w:ascii="Arial" w:cs="Arial" w:eastAsia="Arial" w:hAnsi="Arial"/>
          <w:sz w:val="12"/>
          <w:szCs w:val="12"/>
          <w:b w:val="1"/>
          <w:bCs w:val="1"/>
          <w:u w:val="single" w:color="auto"/>
          <w:color w:val="0000EE"/>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hyperlink w:anchor="page5">
        <w:r>
          <w:rPr>
            <w:rFonts w:ascii="Arial" w:cs="Arial" w:eastAsia="Arial" w:hAnsi="Arial"/>
            <w:sz w:val="12"/>
            <w:szCs w:val="12"/>
            <w:b w:val="1"/>
            <w:bCs w:val="1"/>
            <w:u w:val="single" w:color="auto"/>
            <w:color w:val="0000EE"/>
          </w:rPr>
          <w:t>Table of Contents</w:t>
        </w:r>
      </w:hyperlink>
    </w:p>
    <w:p>
      <w:pPr>
        <w:spacing w:after="0" w:line="200" w:lineRule="exact"/>
        <w:rPr>
          <w:sz w:val="20"/>
          <w:szCs w:val="20"/>
          <w:color w:val="auto"/>
        </w:rPr>
      </w:pPr>
    </w:p>
    <w:p>
      <w:pPr>
        <w:jc w:val="center"/>
        <w:ind w:right="-1220"/>
        <w:spacing w:after="0"/>
        <w:rPr>
          <w:sz w:val="20"/>
          <w:szCs w:val="20"/>
          <w:color w:val="auto"/>
        </w:rPr>
      </w:pPr>
      <w:r>
        <w:rPr>
          <w:rFonts w:ascii="Arial" w:cs="Arial" w:eastAsia="Arial" w:hAnsi="Arial"/>
          <w:sz w:val="12"/>
          <w:szCs w:val="12"/>
          <w:b w:val="1"/>
          <w:bCs w:val="1"/>
          <w:color w:val="auto"/>
        </w:rPr>
        <w:t>PELOTON INTERACTIVE, INC.</w:t>
      </w:r>
    </w:p>
    <w:p>
      <w:pPr>
        <w:spacing w:after="0" w:line="11" w:lineRule="exact"/>
        <w:rPr>
          <w:sz w:val="20"/>
          <w:szCs w:val="20"/>
          <w:color w:val="auto"/>
        </w:rPr>
      </w:pPr>
    </w:p>
    <w:p>
      <w:pPr>
        <w:jc w:val="center"/>
        <w:ind w:right="-1220"/>
        <w:spacing w:after="0"/>
        <w:rPr>
          <w:sz w:val="20"/>
          <w:szCs w:val="20"/>
          <w:color w:val="auto"/>
        </w:rPr>
      </w:pPr>
      <w:r>
        <w:rPr>
          <w:rFonts w:ascii="Arial" w:cs="Arial" w:eastAsia="Arial" w:hAnsi="Arial"/>
          <w:sz w:val="12"/>
          <w:szCs w:val="12"/>
          <w:b w:val="1"/>
          <w:bCs w:val="1"/>
          <w:color w:val="auto"/>
        </w:rPr>
        <w:t>NOTES TO CONSOLIDATED FINANCIAL STATEMENTS</w:t>
      </w:r>
    </w:p>
    <w:p>
      <w:pPr>
        <w:spacing w:after="0" w:line="311" w:lineRule="exact"/>
        <w:rPr>
          <w:sz w:val="20"/>
          <w:szCs w:val="20"/>
          <w:color w:val="auto"/>
        </w:rPr>
      </w:pPr>
    </w:p>
    <w:p>
      <w:pPr>
        <w:ind w:left="2060"/>
        <w:spacing w:after="0"/>
        <w:rPr>
          <w:sz w:val="20"/>
          <w:szCs w:val="20"/>
          <w:color w:val="auto"/>
        </w:rPr>
      </w:pPr>
      <w:r>
        <w:rPr>
          <w:rFonts w:ascii="Arial" w:cs="Arial" w:eastAsia="Arial" w:hAnsi="Arial"/>
          <w:sz w:val="11"/>
          <w:szCs w:val="11"/>
          <w:b w:val="1"/>
          <w:bCs w:val="1"/>
          <w:color w:val="auto"/>
        </w:rPr>
        <w:t>18. Related Party Transactions</w:t>
      </w:r>
    </w:p>
    <w:p>
      <w:pPr>
        <w:spacing w:after="0" w:line="84" w:lineRule="exact"/>
        <w:rPr>
          <w:sz w:val="20"/>
          <w:szCs w:val="20"/>
          <w:color w:val="auto"/>
        </w:rPr>
      </w:pPr>
    </w:p>
    <w:p>
      <w:pPr>
        <w:jc w:val="both"/>
        <w:ind w:left="2060" w:right="839"/>
        <w:spacing w:after="0" w:line="242" w:lineRule="auto"/>
        <w:rPr>
          <w:sz w:val="20"/>
          <w:szCs w:val="20"/>
          <w:color w:val="auto"/>
        </w:rPr>
      </w:pPr>
      <w:r>
        <w:rPr>
          <w:rFonts w:ascii="Arial" w:cs="Arial" w:eastAsia="Arial" w:hAnsi="Arial"/>
          <w:sz w:val="11"/>
          <w:szCs w:val="11"/>
          <w:color w:val="auto"/>
        </w:rPr>
        <w:t>During June 2019, the Company’s President, Mr. William Lynch, exercised non-qualified stock options resulting in a tax obligation of $4.4 million. The Company remitted the tax obligation on behalf of Mr. Lynch, which is included within prepaid and other current assets in the consolidated balance sheets. Mr. Lynch repaid the full amount to the Company on July 8, 2019.</w:t>
      </w:r>
    </w:p>
    <w:p>
      <w:pPr>
        <w:spacing w:after="0" w:line="200" w:lineRule="exact"/>
        <w:rPr>
          <w:sz w:val="20"/>
          <w:szCs w:val="20"/>
          <w:color w:val="auto"/>
        </w:rPr>
      </w:pPr>
    </w:p>
    <w:p>
      <w:pPr>
        <w:ind w:left="2060"/>
        <w:spacing w:after="0"/>
        <w:rPr>
          <w:sz w:val="20"/>
          <w:szCs w:val="20"/>
          <w:color w:val="auto"/>
        </w:rPr>
      </w:pPr>
      <w:r>
        <w:rPr>
          <w:rFonts w:ascii="Arial" w:cs="Arial" w:eastAsia="Arial" w:hAnsi="Arial"/>
          <w:sz w:val="11"/>
          <w:szCs w:val="11"/>
          <w:b w:val="1"/>
          <w:bCs w:val="1"/>
          <w:color w:val="auto"/>
        </w:rPr>
        <w:t>19. Subsequent Events</w:t>
      </w:r>
    </w:p>
    <w:p>
      <w:pPr>
        <w:spacing w:after="0" w:line="84" w:lineRule="exact"/>
        <w:rPr>
          <w:sz w:val="20"/>
          <w:szCs w:val="20"/>
          <w:color w:val="auto"/>
        </w:rPr>
      </w:pPr>
    </w:p>
    <w:p>
      <w:pPr>
        <w:jc w:val="both"/>
        <w:ind w:left="2060" w:right="839"/>
        <w:spacing w:after="0" w:line="245" w:lineRule="auto"/>
        <w:rPr>
          <w:sz w:val="20"/>
          <w:szCs w:val="20"/>
          <w:color w:val="auto"/>
        </w:rPr>
      </w:pPr>
      <w:r>
        <w:rPr>
          <w:rFonts w:ascii="Arial" w:cs="Arial" w:eastAsia="Arial" w:hAnsi="Arial"/>
          <w:sz w:val="11"/>
          <w:szCs w:val="11"/>
          <w:color w:val="auto"/>
        </w:rPr>
        <w:t xml:space="preserve">The Company has evaluated subsequent events through the financial statement issuance date, September 25, 2019, pursuant to ASC 855-10 </w:t>
      </w:r>
      <w:r>
        <w:rPr>
          <w:rFonts w:ascii="Arial" w:cs="Arial" w:eastAsia="Arial" w:hAnsi="Arial"/>
          <w:sz w:val="11"/>
          <w:szCs w:val="11"/>
          <w:i w:val="1"/>
          <w:iCs w:val="1"/>
          <w:color w:val="auto"/>
        </w:rPr>
        <w:t>Subsequent Events.</w:t>
      </w:r>
    </w:p>
    <w:p>
      <w:pPr>
        <w:spacing w:after="0" w:line="138" w:lineRule="exact"/>
        <w:rPr>
          <w:sz w:val="20"/>
          <w:szCs w:val="20"/>
          <w:color w:val="auto"/>
        </w:rPr>
      </w:pPr>
    </w:p>
    <w:p>
      <w:pPr>
        <w:jc w:val="both"/>
        <w:ind w:left="2060" w:right="839"/>
        <w:spacing w:after="0" w:line="242" w:lineRule="auto"/>
        <w:rPr>
          <w:sz w:val="20"/>
          <w:szCs w:val="20"/>
          <w:color w:val="auto"/>
        </w:rPr>
      </w:pPr>
      <w:r>
        <w:rPr>
          <w:rFonts w:ascii="Arial" w:cs="Arial" w:eastAsia="Arial" w:hAnsi="Arial"/>
          <w:sz w:val="11"/>
          <w:szCs w:val="11"/>
          <w:color w:val="auto"/>
        </w:rPr>
        <w:t>On September 12, 2019, the plaintiffs in Downtown Music Publ’g LLC, et. al v. Peloton Interactive, Inc. filed a motion seeking leave to file a second amended complaint identifying additional musical works and requesting injunctive relief, more than $300 million in damages, and attorneys’ fees and costs. The Company is opposing the motion and it is currently pending before the U.S. District Court for the Southern District of New York.</w:t>
      </w:r>
    </w:p>
    <w:p>
      <w:pPr>
        <w:spacing w:after="0" w:line="200" w:lineRule="exact"/>
        <w:rPr>
          <w:sz w:val="20"/>
          <w:szCs w:val="20"/>
          <w:color w:val="auto"/>
        </w:rPr>
      </w:pPr>
    </w:p>
    <w:p>
      <w:pPr>
        <w:ind w:left="2060"/>
        <w:spacing w:after="0"/>
        <w:rPr>
          <w:sz w:val="20"/>
          <w:szCs w:val="20"/>
          <w:color w:val="auto"/>
        </w:rPr>
      </w:pPr>
      <w:r>
        <w:rPr>
          <w:rFonts w:ascii="Arial" w:cs="Arial" w:eastAsia="Arial" w:hAnsi="Arial"/>
          <w:sz w:val="11"/>
          <w:szCs w:val="11"/>
          <w:b w:val="1"/>
          <w:bCs w:val="1"/>
          <w:color w:val="auto"/>
        </w:rPr>
        <w:t>20. Subsequent Events (Unaudited)</w:t>
      </w:r>
    </w:p>
    <w:p>
      <w:pPr>
        <w:spacing w:after="0" w:line="93" w:lineRule="exact"/>
        <w:rPr>
          <w:sz w:val="20"/>
          <w:szCs w:val="20"/>
          <w:color w:val="auto"/>
        </w:rPr>
      </w:pPr>
    </w:p>
    <w:p>
      <w:pPr>
        <w:jc w:val="both"/>
        <w:ind w:left="2420" w:right="839" w:hanging="361"/>
        <w:spacing w:after="0" w:line="263" w:lineRule="auto"/>
        <w:tabs>
          <w:tab w:leader="none" w:pos="2420" w:val="left"/>
        </w:tabs>
        <w:numPr>
          <w:ilvl w:val="0"/>
          <w:numId w:val="118"/>
        </w:numPr>
        <w:rPr>
          <w:rFonts w:ascii="Arial" w:cs="Arial" w:eastAsia="Arial" w:hAnsi="Arial"/>
          <w:sz w:val="10"/>
          <w:szCs w:val="10"/>
          <w:color w:val="auto"/>
        </w:rPr>
      </w:pPr>
      <w:r>
        <w:rPr>
          <w:rFonts w:ascii="Arial" w:cs="Arial" w:eastAsia="Arial" w:hAnsi="Arial"/>
          <w:sz w:val="10"/>
          <w:szCs w:val="10"/>
          <w:color w:val="auto"/>
        </w:rPr>
        <w:t>On September 9, 2019, the Company implemented a dual class common stock structure where all existing shares of common stock converted to Class B common stock and the Company authorized a new class of Class A common stock. The Class A common stock is entitled to one vote per share and the Class B common stock is entitled to twenty votes per share. The Class A and Class B common stock have the same dividend and liquidation rights, and the Class B common stock converts to Class A common stock at any time at the option of the holder, or automatically upon the date that is the earliest of (i) the date specified by a vote of the holders of 66 2/3% of the then outstanding shares of Class B common stock,</w:t>
      </w:r>
    </w:p>
    <w:p>
      <w:pPr>
        <w:jc w:val="both"/>
        <w:ind w:left="2420" w:right="839" w:hanging="1"/>
        <w:spacing w:after="0"/>
        <w:tabs>
          <w:tab w:leader="none" w:pos="2591" w:val="left"/>
        </w:tabs>
        <w:numPr>
          <w:ilvl w:val="1"/>
          <w:numId w:val="118"/>
        </w:numPr>
        <w:rPr>
          <w:rFonts w:ascii="Arial" w:cs="Arial" w:eastAsia="Arial" w:hAnsi="Arial"/>
          <w:sz w:val="11"/>
          <w:szCs w:val="11"/>
          <w:color w:val="auto"/>
        </w:rPr>
      </w:pPr>
      <w:r>
        <w:rPr>
          <w:rFonts w:ascii="Arial" w:cs="Arial" w:eastAsia="Arial" w:hAnsi="Arial"/>
          <w:sz w:val="11"/>
          <w:szCs w:val="11"/>
          <w:color w:val="auto"/>
        </w:rPr>
        <w:t>ten years from the closing date of an initial public offering, and (iii) the date that the total number of shares of Class B common stock outstanding cease to represent at least 1% of all outstanding shares of the Company’s common stock. In addition, each share of Class B common stock will convert automatically into one share of Class A common stock upon any transfer, except for certain transfers described in the Company’s amended and restated certificate of incorporation. Upon the creation of the dual class common stock structure, the Company’s preferred stock converts into Class B common stock on a one-for-one basis and all outstanding options and warrants to purchase common stock became options and warrants, respectively, to purchase an equivalent number of shares of Class B common stock.</w:t>
      </w:r>
    </w:p>
    <w:p>
      <w:pPr>
        <w:spacing w:after="0" w:line="159" w:lineRule="exact"/>
        <w:rPr>
          <w:rFonts w:ascii="Arial" w:cs="Arial" w:eastAsia="Arial" w:hAnsi="Arial"/>
          <w:sz w:val="11"/>
          <w:szCs w:val="11"/>
          <w:color w:val="auto"/>
        </w:rPr>
      </w:pPr>
    </w:p>
    <w:p>
      <w:pPr>
        <w:jc w:val="both"/>
        <w:ind w:left="2420" w:right="839" w:hanging="361"/>
        <w:spacing w:after="0"/>
        <w:tabs>
          <w:tab w:leader="none" w:pos="2420" w:val="left"/>
        </w:tabs>
        <w:numPr>
          <w:ilvl w:val="0"/>
          <w:numId w:val="118"/>
        </w:numPr>
        <w:rPr>
          <w:rFonts w:ascii="Arial" w:cs="Arial" w:eastAsia="Arial" w:hAnsi="Arial"/>
          <w:sz w:val="11"/>
          <w:szCs w:val="11"/>
          <w:color w:val="auto"/>
        </w:rPr>
      </w:pPr>
      <w:r>
        <w:rPr>
          <w:rFonts w:ascii="Arial" w:cs="Arial" w:eastAsia="Arial" w:hAnsi="Arial"/>
          <w:sz w:val="11"/>
          <w:szCs w:val="11"/>
          <w:color w:val="auto"/>
        </w:rPr>
        <w:t>In August 2019, the Company’s board of directors adopted the 2019 Equity Incentive Plan, or 2019 Plan, which was subsequently approved by the Company’s stockholders in September 2019. The 2019 Plan will become effective on the date immediately prior to the effective date of the registration statement of which this prospectus forms a part. The Company has reserved 40,986,767 shares of the Company’s Class A common stock to be issued under the 2019 Plan. Any reserved shares not issued or subject to outstanding grants under the Company’s 2015 Stock Plan on the effective date of the 2019 Plan will become available for grant under the 2019 Plan and will be issued as Class A common stock. The number of shares reserved for issuance under the 2019 Plan will increase automatically on July 1 of each of 2020 through 2029 by the number of shares of the Company’s Class A common stock equal to 5% of the total outstanding shares of all of the Company’s classes of common stock as of the immediately preceding June 30, or a lesser amount as determined by the board of directors.</w:t>
      </w:r>
    </w:p>
    <w:p>
      <w:pPr>
        <w:spacing w:after="0" w:line="159" w:lineRule="exact"/>
        <w:rPr>
          <w:rFonts w:ascii="Arial" w:cs="Arial" w:eastAsia="Arial" w:hAnsi="Arial"/>
          <w:sz w:val="11"/>
          <w:szCs w:val="11"/>
          <w:color w:val="auto"/>
        </w:rPr>
      </w:pPr>
    </w:p>
    <w:p>
      <w:pPr>
        <w:jc w:val="both"/>
        <w:ind w:left="2420" w:right="839" w:hanging="361"/>
        <w:spacing w:after="0"/>
        <w:tabs>
          <w:tab w:leader="none" w:pos="2420" w:val="left"/>
        </w:tabs>
        <w:numPr>
          <w:ilvl w:val="0"/>
          <w:numId w:val="118"/>
        </w:numPr>
        <w:rPr>
          <w:rFonts w:ascii="Arial" w:cs="Arial" w:eastAsia="Arial" w:hAnsi="Arial"/>
          <w:sz w:val="11"/>
          <w:szCs w:val="11"/>
          <w:color w:val="auto"/>
        </w:rPr>
      </w:pPr>
      <w:r>
        <w:rPr>
          <w:rFonts w:ascii="Arial" w:cs="Arial" w:eastAsia="Arial" w:hAnsi="Arial"/>
          <w:sz w:val="11"/>
          <w:szCs w:val="11"/>
          <w:color w:val="auto"/>
        </w:rPr>
        <w:t>In August 2019, the Company’s board of directors adopted the 2019 Employee Stock Purchase Plan, or 2019 ESPP, which was subsequently approved by the Company’s stockholders in September 2019. The 2019 ESPP will become effective on the effective date of the registration statement of which this prospectus forms a part. The Company has reserved 5,600,000 shares of the Company’s Class A common stock to be issued under the 2019 ESPP. The number of shares reserved for issuance under the 2019 ESPP will increase automatically on July 1 of each of 2020 through 2029 by the number of shares of Class A common stock equal to 1% of the total outstanding shares of all of the Company’s classes of common stock as of the immediately preceding June 30, or a lesser amount as determined by the board of directors, provided that no more than 50,000,000 shares may be issued over the term of the 2019 ESPP.</w:t>
      </w:r>
    </w:p>
    <w:p>
      <w:pPr>
        <w:spacing w:after="0" w:line="96" w:lineRule="exact"/>
        <w:rPr>
          <w:sz w:val="20"/>
          <w:szCs w:val="20"/>
          <w:color w:val="auto"/>
        </w:rPr>
      </w:pPr>
    </w:p>
    <w:p>
      <w:pPr>
        <w:ind w:left="5620"/>
        <w:spacing w:after="0"/>
        <w:rPr>
          <w:sz w:val="20"/>
          <w:szCs w:val="20"/>
          <w:color w:val="auto"/>
        </w:rPr>
      </w:pPr>
      <w:r>
        <w:rPr>
          <w:rFonts w:ascii="Arial" w:cs="Arial" w:eastAsia="Arial" w:hAnsi="Arial"/>
          <w:sz w:val="11"/>
          <w:szCs w:val="11"/>
          <w:color w:val="auto"/>
        </w:rPr>
        <w:t>F-36</w:t>
      </w:r>
    </w:p>
    <w:p>
      <w:pPr>
        <w:sectPr>
          <w:pgSz w:w="11900" w:h="16838" w:orient="portrait"/>
          <w:cols w:equalWidth="0" w:num="1">
            <w:col w:w="10239"/>
          </w:cols>
          <w:pgMar w:left="220" w:top="354" w:right="1440" w:bottom="1440" w:gutter="0" w:footer="0" w:header="0"/>
        </w:sectPr>
      </w:pPr>
    </w:p>
    <w:bookmarkStart w:id="200" w:name="page201"/>
    <w:bookmarkEnd w:id="200"/>
    <w:p>
      <w:pPr>
        <w:spacing w:after="0"/>
        <w:rPr>
          <w:rFonts w:ascii="Arial" w:cs="Arial" w:eastAsia="Arial" w:hAnsi="Arial"/>
          <w:sz w:val="10"/>
          <w:szCs w:val="10"/>
          <w:b w:val="1"/>
          <w:bCs w:val="1"/>
          <w:u w:val="single" w:color="auto"/>
          <w:color w:val="0000EE"/>
        </w:rPr>
      </w:pPr>
      <w:r>
        <w:rPr>
          <w:rFonts w:ascii="Arial" w:cs="Arial" w:eastAsia="Arial" w:hAnsi="Arial"/>
          <w:sz w:val="10"/>
          <w:szCs w:val="10"/>
          <w:b w:val="1"/>
          <w:bCs w:val="1"/>
          <w:u w:val="single" w:color="auto"/>
          <w:color w:val="0000EE"/>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hyperlink w:anchor="page5">
        <w:r>
          <w:rPr>
            <w:rFonts w:ascii="Arial" w:cs="Arial" w:eastAsia="Arial" w:hAnsi="Arial"/>
            <w:sz w:val="10"/>
            <w:szCs w:val="10"/>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1379220</wp:posOffset>
            </wp:positionH>
            <wp:positionV relativeFrom="paragraph">
              <wp:posOffset>151130</wp:posOffset>
            </wp:positionV>
            <wp:extent cx="4530090" cy="590232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4530090" cy="5902325"/>
                    </a:xfrm>
                    <a:prstGeom prst="rect">
                      <a:avLst/>
                    </a:prstGeom>
                    <a:noFill/>
                  </pic:spPr>
                </pic:pic>
              </a:graphicData>
            </a:graphic>
          </wp:anchor>
        </w:drawing>
      </w:r>
    </w:p>
    <w:p>
      <w:pPr>
        <w:sectPr>
          <w:pgSz w:w="11900" w:h="16838" w:orient="portrait"/>
          <w:cols w:equalWidth="0" w:num="1">
            <w:col w:w="10239"/>
          </w:cols>
          <w:pgMar w:left="220" w:top="354" w:right="1440" w:bottom="1440" w:gutter="0" w:footer="0" w:header="0"/>
        </w:sectPr>
      </w:pPr>
    </w:p>
    <w:bookmarkStart w:id="201" w:name="page202"/>
    <w:bookmarkEnd w:id="201"/>
    <w:p>
      <w:pPr>
        <w:spacing w:after="0"/>
        <w:rPr>
          <w:rFonts w:ascii="Arial" w:cs="Arial" w:eastAsia="Arial" w:hAnsi="Arial"/>
          <w:sz w:val="10"/>
          <w:szCs w:val="10"/>
          <w:b w:val="1"/>
          <w:bCs w:val="1"/>
          <w:u w:val="single" w:color="auto"/>
          <w:color w:val="0000EE"/>
        </w:rPr>
      </w:pPr>
      <w:r>
        <w:rPr>
          <w:rFonts w:ascii="Arial" w:cs="Arial" w:eastAsia="Arial" w:hAnsi="Arial"/>
          <w:sz w:val="10"/>
          <w:szCs w:val="10"/>
          <w:b w:val="1"/>
          <w:bCs w:val="1"/>
          <w:u w:val="single" w:color="auto"/>
          <w:color w:val="0000EE"/>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hyperlink w:anchor="page5">
        <w:r>
          <w:rPr>
            <w:rFonts w:ascii="Arial" w:cs="Arial" w:eastAsia="Arial" w:hAnsi="Arial"/>
            <w:sz w:val="10"/>
            <w:szCs w:val="10"/>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1379220</wp:posOffset>
            </wp:positionH>
            <wp:positionV relativeFrom="paragraph">
              <wp:posOffset>151130</wp:posOffset>
            </wp:positionV>
            <wp:extent cx="4530090" cy="590232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4530090" cy="5902325"/>
                    </a:xfrm>
                    <a:prstGeom prst="rect">
                      <a:avLst/>
                    </a:prstGeom>
                    <a:noFill/>
                  </pic:spPr>
                </pic:pic>
              </a:graphicData>
            </a:graphic>
          </wp:anchor>
        </w:drawing>
      </w:r>
    </w:p>
    <w:sectPr>
      <w:pgSz w:w="11900" w:h="16838" w:orient="portrait"/>
      <w:cols w:equalWidth="0" w:num="1">
        <w:col w:w="10239"/>
      </w:cols>
      <w:pgMar w:left="220" w:top="35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5B5AF5C"/>
    <w:multiLevelType w:val="hybridMultilevel"/>
    <w:lvl w:ilvl="0">
      <w:lvlJc w:val="left"/>
      <w:lvlText w:val="•"/>
      <w:numFmt w:val="bullet"/>
      <w:start w:val="1"/>
    </w:lvl>
  </w:abstractNum>
  <w:abstractNum w:abstractNumId="1">
    <w:nsid w:val="741226BB"/>
    <w:multiLevelType w:val="hybridMultilevel"/>
    <w:lvl w:ilvl="0">
      <w:lvlJc w:val="left"/>
      <w:lvlText w:val="•"/>
      <w:numFmt w:val="bullet"/>
      <w:start w:val="1"/>
    </w:lvl>
  </w:abstractNum>
  <w:abstractNum w:abstractNumId="2">
    <w:nsid w:val="D34B6A8"/>
    <w:multiLevelType w:val="hybridMultilevel"/>
    <w:lvl w:ilvl="0">
      <w:lvlJc w:val="left"/>
      <w:lvlText w:val="*"/>
      <w:numFmt w:val="bullet"/>
      <w:start w:val="1"/>
    </w:lvl>
  </w:abstractNum>
  <w:abstractNum w:abstractNumId="3">
    <w:nsid w:val="10233C99"/>
    <w:multiLevelType w:val="hybridMultilevel"/>
    <w:lvl w:ilvl="0">
      <w:lvlJc w:val="left"/>
      <w:lvlText w:val="•"/>
      <w:numFmt w:val="bullet"/>
      <w:start w:val="1"/>
    </w:lvl>
  </w:abstractNum>
  <w:abstractNum w:abstractNumId="4">
    <w:nsid w:val="3F6AB60F"/>
    <w:multiLevelType w:val="hybridMultilevel"/>
    <w:lvl w:ilvl="0">
      <w:lvlJc w:val="left"/>
      <w:lvlText w:val="(%1)"/>
      <w:numFmt w:val="decimal"/>
      <w:start w:val="866"/>
    </w:lvl>
  </w:abstractNum>
  <w:abstractNum w:abstractNumId="5">
    <w:nsid w:val="61574095"/>
    <w:multiLevelType w:val="hybridMultilevel"/>
    <w:lvl w:ilvl="0">
      <w:lvlJc w:val="left"/>
      <w:lvlText w:val="•"/>
      <w:numFmt w:val="bullet"/>
      <w:start w:val="1"/>
    </w:lvl>
  </w:abstractNum>
  <w:abstractNum w:abstractNumId="6">
    <w:nsid w:val="7E0C57B1"/>
    <w:multiLevelType w:val="hybridMultilevel"/>
    <w:lvl w:ilvl="0">
      <w:lvlJc w:val="left"/>
      <w:lvlText w:val="•"/>
      <w:numFmt w:val="bullet"/>
      <w:start w:val="1"/>
    </w:lvl>
  </w:abstractNum>
  <w:abstractNum w:abstractNumId="7">
    <w:nsid w:val="77AE35EB"/>
    <w:multiLevelType w:val="hybridMultilevel"/>
    <w:lvl w:ilvl="0">
      <w:lvlJc w:val="left"/>
      <w:lvlText w:val="•"/>
      <w:numFmt w:val="bullet"/>
      <w:start w:val="1"/>
    </w:lvl>
  </w:abstractNum>
  <w:abstractNum w:abstractNumId="8">
    <w:nsid w:val="579BE4F1"/>
    <w:multiLevelType w:val="hybridMultilevel"/>
    <w:lvl w:ilvl="0">
      <w:lvlJc w:val="left"/>
      <w:lvlText w:val="•"/>
      <w:numFmt w:val="bullet"/>
      <w:start w:val="1"/>
    </w:lvl>
  </w:abstractNum>
  <w:abstractNum w:abstractNumId="9">
    <w:nsid w:val="310C50B3"/>
    <w:multiLevelType w:val="hybridMultilevel"/>
    <w:lvl w:ilvl="0">
      <w:lvlJc w:val="left"/>
      <w:lvlText w:val="(%1)"/>
      <w:numFmt w:val="decimal"/>
      <w:start w:val="3"/>
    </w:lvl>
  </w:abstractNum>
  <w:abstractNum w:abstractNumId="10">
    <w:nsid w:val="5FF87E05"/>
    <w:multiLevelType w:val="hybridMultilevel"/>
    <w:lvl w:ilvl="0">
      <w:lvlJc w:val="left"/>
      <w:lvlText w:val="(%1)"/>
      <w:numFmt w:val="decimal"/>
      <w:start w:val="1"/>
    </w:lvl>
  </w:abstractNum>
  <w:abstractNum w:abstractNumId="11">
    <w:nsid w:val="2F305DEF"/>
    <w:multiLevelType w:val="hybridMultilevel"/>
    <w:lvl w:ilvl="0">
      <w:lvlJc w:val="left"/>
      <w:lvlText w:val="(%1)"/>
      <w:numFmt w:val="decimal"/>
      <w:start w:val="4"/>
    </w:lvl>
  </w:abstractNum>
  <w:abstractNum w:abstractNumId="12">
    <w:nsid w:val="25A70BF7"/>
    <w:multiLevelType w:val="hybridMultilevel"/>
    <w:lvl w:ilvl="0">
      <w:lvlJc w:val="left"/>
      <w:lvlText w:val="(%1)"/>
      <w:numFmt w:val="decimal"/>
      <w:start w:val="1"/>
    </w:lvl>
  </w:abstractNum>
  <w:abstractNum w:abstractNumId="13">
    <w:nsid w:val="1DBABF00"/>
    <w:multiLevelType w:val="hybridMultilevel"/>
    <w:lvl w:ilvl="0">
      <w:lvlJc w:val="left"/>
      <w:lvlText w:val="•"/>
      <w:numFmt w:val="bullet"/>
      <w:start w:val="1"/>
    </w:lvl>
  </w:abstractNum>
  <w:abstractNum w:abstractNumId="14">
    <w:nsid w:val="4AD084E9"/>
    <w:multiLevelType w:val="hybridMultilevel"/>
    <w:lvl w:ilvl="0">
      <w:lvlJc w:val="left"/>
      <w:lvlText w:val="•"/>
      <w:numFmt w:val="bullet"/>
      <w:start w:val="1"/>
    </w:lvl>
  </w:abstractNum>
  <w:abstractNum w:abstractNumId="15">
    <w:nsid w:val="1F48EAA1"/>
    <w:multiLevelType w:val="hybridMultilevel"/>
    <w:lvl w:ilvl="0">
      <w:lvlJc w:val="left"/>
      <w:lvlText w:val="(%1)"/>
      <w:numFmt w:val="lowerLetter"/>
      <w:start w:val="3"/>
    </w:lvl>
  </w:abstractNum>
  <w:abstractNum w:abstractNumId="16">
    <w:nsid w:val="1381823A"/>
    <w:multiLevelType w:val="hybridMultilevel"/>
    <w:lvl w:ilvl="0">
      <w:lvlJc w:val="left"/>
      <w:lvlText w:val="•"/>
      <w:numFmt w:val="bullet"/>
      <w:start w:val="1"/>
    </w:lvl>
  </w:abstractNum>
  <w:abstractNum w:abstractNumId="17">
    <w:nsid w:val="5DB70AE5"/>
    <w:multiLevelType w:val="hybridMultilevel"/>
    <w:lvl w:ilvl="0">
      <w:lvlJc w:val="left"/>
      <w:lvlText w:val="•"/>
      <w:numFmt w:val="bullet"/>
      <w:start w:val="1"/>
    </w:lvl>
  </w:abstractNum>
  <w:abstractNum w:abstractNumId="18">
    <w:nsid w:val="100F8FCA"/>
    <w:multiLevelType w:val="hybridMultilevel"/>
    <w:lvl w:ilvl="0">
      <w:lvlJc w:val="left"/>
      <w:lvlText w:val="•"/>
      <w:numFmt w:val="bullet"/>
      <w:start w:val="1"/>
    </w:lvl>
  </w:abstractNum>
  <w:abstractNum w:abstractNumId="19">
    <w:nsid w:val="6590700B"/>
    <w:multiLevelType w:val="hybridMultilevel"/>
    <w:lvl w:ilvl="0">
      <w:lvlJc w:val="left"/>
      <w:lvlText w:val="•"/>
      <w:numFmt w:val="bullet"/>
      <w:start w:val="1"/>
    </w:lvl>
  </w:abstractNum>
  <w:abstractNum w:abstractNumId="20">
    <w:nsid w:val="15014ACB"/>
    <w:multiLevelType w:val="hybridMultilevel"/>
    <w:lvl w:ilvl="0">
      <w:lvlJc w:val="left"/>
      <w:lvlText w:val="•"/>
      <w:numFmt w:val="bullet"/>
      <w:start w:val="1"/>
    </w:lvl>
  </w:abstractNum>
  <w:abstractNum w:abstractNumId="21">
    <w:nsid w:val="5F5E7FD0"/>
    <w:multiLevelType w:val="hybridMultilevel"/>
    <w:lvl w:ilvl="0">
      <w:lvlJc w:val="left"/>
      <w:lvlText w:val="•"/>
      <w:numFmt w:val="bullet"/>
      <w:start w:val="1"/>
    </w:lvl>
  </w:abstractNum>
  <w:abstractNum w:abstractNumId="22">
    <w:nsid w:val="98A3148"/>
    <w:multiLevelType w:val="hybridMultilevel"/>
    <w:lvl w:ilvl="0">
      <w:lvlJc w:val="left"/>
      <w:lvlText w:val="•"/>
      <w:numFmt w:val="bullet"/>
      <w:start w:val="1"/>
    </w:lvl>
  </w:abstractNum>
  <w:abstractNum w:abstractNumId="23">
    <w:nsid w:val="799D0247"/>
    <w:multiLevelType w:val="hybridMultilevel"/>
    <w:lvl w:ilvl="0">
      <w:lvlJc w:val="left"/>
      <w:lvlText w:val="•"/>
      <w:numFmt w:val="bullet"/>
      <w:start w:val="1"/>
    </w:lvl>
  </w:abstractNum>
  <w:abstractNum w:abstractNumId="24">
    <w:nsid w:val="6B94764"/>
    <w:multiLevelType w:val="hybridMultilevel"/>
    <w:lvl w:ilvl="0">
      <w:lvlJc w:val="left"/>
      <w:lvlText w:val="•"/>
      <w:numFmt w:val="bullet"/>
      <w:start w:val="1"/>
    </w:lvl>
  </w:abstractNum>
  <w:abstractNum w:abstractNumId="25">
    <w:nsid w:val="42C296BD"/>
    <w:multiLevelType w:val="hybridMultilevel"/>
    <w:lvl w:ilvl="0">
      <w:lvlJc w:val="left"/>
      <w:lvlText w:val="•"/>
      <w:numFmt w:val="bullet"/>
      <w:start w:val="1"/>
    </w:lvl>
  </w:abstractNum>
  <w:abstractNum w:abstractNumId="26">
    <w:nsid w:val="168E121F"/>
    <w:multiLevelType w:val="hybridMultilevel"/>
    <w:lvl w:ilvl="0">
      <w:lvlJc w:val="left"/>
      <w:lvlText w:val="•"/>
      <w:numFmt w:val="bullet"/>
      <w:start w:val="1"/>
    </w:lvl>
  </w:abstractNum>
  <w:abstractNum w:abstractNumId="27">
    <w:nsid w:val="1EBA5D23"/>
    <w:multiLevelType w:val="hybridMultilevel"/>
    <w:lvl w:ilvl="0">
      <w:lvlJc w:val="left"/>
      <w:lvlText w:val="•"/>
      <w:numFmt w:val="bullet"/>
      <w:start w:val="1"/>
    </w:lvl>
  </w:abstractNum>
  <w:abstractNum w:abstractNumId="28">
    <w:nsid w:val="661E3F1E"/>
    <w:multiLevelType w:val="hybridMultilevel"/>
    <w:lvl w:ilvl="0">
      <w:lvlJc w:val="left"/>
      <w:lvlText w:val="(%1)"/>
      <w:numFmt w:val="decimal"/>
      <w:start w:val="1"/>
    </w:lvl>
  </w:abstractNum>
  <w:abstractNum w:abstractNumId="29">
    <w:nsid w:val="5DC79EA8"/>
    <w:multiLevelType w:val="hybridMultilevel"/>
    <w:lvl w:ilvl="0">
      <w:lvlJc w:val="left"/>
      <w:lvlText w:val="•"/>
      <w:numFmt w:val="bullet"/>
      <w:start w:val="1"/>
    </w:lvl>
  </w:abstractNum>
  <w:abstractNum w:abstractNumId="30">
    <w:nsid w:val="540A471C"/>
    <w:multiLevelType w:val="hybridMultilevel"/>
    <w:lvl w:ilvl="0">
      <w:lvlJc w:val="left"/>
      <w:lvlText w:val="•"/>
      <w:numFmt w:val="bullet"/>
      <w:start w:val="1"/>
    </w:lvl>
  </w:abstractNum>
  <w:abstractNum w:abstractNumId="31">
    <w:nsid w:val="7BD3EE7B"/>
    <w:multiLevelType w:val="hybridMultilevel"/>
    <w:lvl w:ilvl="0">
      <w:lvlJc w:val="left"/>
      <w:lvlText w:val="(%1)"/>
      <w:numFmt w:val="decimal"/>
      <w:start w:val="3"/>
    </w:lvl>
  </w:abstractNum>
  <w:abstractNum w:abstractNumId="32">
    <w:nsid w:val="51D9C564"/>
    <w:multiLevelType w:val="hybridMultilevel"/>
    <w:lvl w:ilvl="0">
      <w:lvlJc w:val="left"/>
      <w:lvlText w:val="(%1)"/>
      <w:numFmt w:val="decimal"/>
      <w:start w:val="1"/>
    </w:lvl>
  </w:abstractNum>
  <w:abstractNum w:abstractNumId="33">
    <w:nsid w:val="613EFDC5"/>
    <w:multiLevelType w:val="hybridMultilevel"/>
    <w:lvl w:ilvl="0">
      <w:lvlJc w:val="left"/>
      <w:lvlText w:val="(%1)"/>
      <w:numFmt w:val="decimal"/>
      <w:start w:val="4"/>
    </w:lvl>
  </w:abstractNum>
  <w:abstractNum w:abstractNumId="34">
    <w:nsid w:val="BF72B14"/>
    <w:multiLevelType w:val="hybridMultilevel"/>
    <w:lvl w:ilvl="0">
      <w:lvlJc w:val="left"/>
      <w:lvlText w:val="•"/>
      <w:numFmt w:val="bullet"/>
      <w:start w:val="1"/>
    </w:lvl>
  </w:abstractNum>
  <w:abstractNum w:abstractNumId="35">
    <w:nsid w:val="11447B73"/>
    <w:multiLevelType w:val="hybridMultilevel"/>
    <w:lvl w:ilvl="0">
      <w:lvlJc w:val="left"/>
      <w:lvlText w:val="•"/>
      <w:numFmt w:val="bullet"/>
      <w:start w:val="1"/>
    </w:lvl>
  </w:abstractNum>
  <w:abstractNum w:abstractNumId="36">
    <w:nsid w:val="42963E5A"/>
    <w:multiLevelType w:val="hybridMultilevel"/>
    <w:lvl w:ilvl="0">
      <w:lvlJc w:val="left"/>
      <w:lvlText w:val="(%1)"/>
      <w:numFmt w:val="decimal"/>
      <w:start w:val="1"/>
    </w:lvl>
  </w:abstractNum>
  <w:abstractNum w:abstractNumId="37">
    <w:nsid w:val="A0382C5"/>
    <w:multiLevelType w:val="hybridMultilevel"/>
    <w:lvl w:ilvl="0">
      <w:lvlJc w:val="left"/>
      <w:lvlText w:val="(%1)"/>
      <w:numFmt w:val="decimal"/>
      <w:start w:val="1"/>
    </w:lvl>
  </w:abstractNum>
  <w:abstractNum w:abstractNumId="38">
    <w:nsid w:val="8F2B15E"/>
    <w:multiLevelType w:val="hybridMultilevel"/>
    <w:lvl w:ilvl="0">
      <w:lvlJc w:val="left"/>
      <w:lvlText w:val="•"/>
      <w:numFmt w:val="bullet"/>
      <w:start w:val="1"/>
    </w:lvl>
  </w:abstractNum>
  <w:abstractNum w:abstractNumId="39">
    <w:nsid w:val="1A32234B"/>
    <w:multiLevelType w:val="hybridMultilevel"/>
    <w:lvl w:ilvl="0">
      <w:lvlJc w:val="left"/>
      <w:lvlText w:val="•"/>
      <w:numFmt w:val="bullet"/>
      <w:start w:val="1"/>
    </w:lvl>
  </w:abstractNum>
  <w:abstractNum w:abstractNumId="40">
    <w:nsid w:val="3B0FD379"/>
    <w:multiLevelType w:val="hybridMultilevel"/>
    <w:lvl w:ilvl="0">
      <w:lvlJc w:val="left"/>
      <w:lvlText w:val="(%1)"/>
      <w:numFmt w:val="decimal"/>
      <w:start w:val="1"/>
    </w:lvl>
  </w:abstractNum>
  <w:abstractNum w:abstractNumId="41">
    <w:nsid w:val="68EB2F63"/>
    <w:multiLevelType w:val="hybridMultilevel"/>
    <w:lvl w:ilvl="0">
      <w:lvlJc w:val="left"/>
      <w:lvlText w:val="(%1)"/>
      <w:numFmt w:val="decimal"/>
      <w:start w:val="1"/>
    </w:lvl>
  </w:abstractNum>
  <w:abstractNum w:abstractNumId="42">
    <w:nsid w:val="4962813B"/>
    <w:multiLevelType w:val="hybridMultilevel"/>
    <w:lvl w:ilvl="0">
      <w:lvlJc w:val="left"/>
      <w:lvlText w:val="*"/>
      <w:numFmt w:val="bullet"/>
      <w:start w:val="1"/>
    </w:lvl>
  </w:abstractNum>
  <w:abstractNum w:abstractNumId="43">
    <w:nsid w:val="60B6DF70"/>
    <w:multiLevelType w:val="hybridMultilevel"/>
    <w:lvl w:ilvl="0">
      <w:lvlJc w:val="left"/>
      <w:lvlText w:val="**"/>
      <w:numFmt w:val="bullet"/>
      <w:start w:val="1"/>
    </w:lvl>
  </w:abstractNum>
  <w:abstractNum w:abstractNumId="44">
    <w:nsid w:val="6A5EE64"/>
    <w:multiLevelType w:val="hybridMultilevel"/>
    <w:lvl w:ilvl="0">
      <w:lvlJc w:val="left"/>
      <w:lvlText w:val="•"/>
      <w:numFmt w:val="bullet"/>
      <w:start w:val="1"/>
    </w:lvl>
  </w:abstractNum>
  <w:abstractNum w:abstractNumId="45">
    <w:nsid w:val="14330624"/>
    <w:multiLevelType w:val="hybridMultilevel"/>
    <w:lvl w:ilvl="0">
      <w:lvlJc w:val="left"/>
      <w:lvlText w:val="•"/>
      <w:numFmt w:val="bullet"/>
      <w:start w:val="1"/>
    </w:lvl>
  </w:abstractNum>
  <w:abstractNum w:abstractNumId="46">
    <w:nsid w:val="7FFFCA11"/>
    <w:multiLevelType w:val="hybridMultilevel"/>
    <w:lvl w:ilvl="0">
      <w:lvlJc w:val="left"/>
      <w:lvlText w:val="(%1)"/>
      <w:numFmt w:val="decimal"/>
      <w:start w:val="1"/>
    </w:lvl>
  </w:abstractNum>
  <w:abstractNum w:abstractNumId="47">
    <w:nsid w:val="1A27709E"/>
    <w:multiLevelType w:val="hybridMultilevel"/>
    <w:lvl w:ilvl="0">
      <w:lvlJc w:val="left"/>
      <w:lvlText w:val="(%1)"/>
      <w:numFmt w:val="decimal"/>
      <w:start w:val="3"/>
    </w:lvl>
  </w:abstractNum>
  <w:abstractNum w:abstractNumId="48">
    <w:nsid w:val="71EA1109"/>
    <w:multiLevelType w:val="hybridMultilevel"/>
    <w:lvl w:ilvl="0">
      <w:lvlJc w:val="left"/>
      <w:lvlText w:val="(%1)"/>
      <w:numFmt w:val="decimal"/>
      <w:start w:val="1"/>
    </w:lvl>
  </w:abstractNum>
  <w:abstractNum w:abstractNumId="49">
    <w:nsid w:val="100F59DC"/>
    <w:multiLevelType w:val="hybridMultilevel"/>
    <w:lvl w:ilvl="0">
      <w:lvlJc w:val="left"/>
      <w:lvlText w:val="(%1)"/>
      <w:numFmt w:val="decimal"/>
      <w:start w:val="1"/>
    </w:lvl>
  </w:abstractNum>
  <w:abstractNum w:abstractNumId="50">
    <w:nsid w:val="7FB7E0AA"/>
    <w:multiLevelType w:val="hybridMultilevel"/>
    <w:lvl w:ilvl="0">
      <w:lvlJc w:val="left"/>
      <w:lvlText w:val="(%1)"/>
      <w:numFmt w:val="decimal"/>
      <w:start w:val="1"/>
    </w:lvl>
  </w:abstractNum>
  <w:abstractNum w:abstractNumId="51">
    <w:nsid w:val="6EB5BD4"/>
    <w:multiLevelType w:val="hybridMultilevel"/>
    <w:lvl w:ilvl="0">
      <w:lvlJc w:val="left"/>
      <w:lvlText w:val="(%1)"/>
      <w:numFmt w:val="decimal"/>
      <w:start w:val="1"/>
    </w:lvl>
  </w:abstractNum>
  <w:abstractNum w:abstractNumId="52">
    <w:nsid w:val="6F6DD9AC"/>
    <w:multiLevelType w:val="hybridMultilevel"/>
    <w:lvl w:ilvl="0">
      <w:lvlJc w:val="left"/>
      <w:lvlText w:val="(%1)"/>
      <w:numFmt w:val="decimal"/>
      <w:start w:val="1"/>
    </w:lvl>
  </w:abstractNum>
  <w:abstractNum w:abstractNumId="53">
    <w:nsid w:val="94211F2"/>
    <w:multiLevelType w:val="hybridMultilevel"/>
    <w:lvl w:ilvl="0">
      <w:lvlJc w:val="left"/>
      <w:lvlText w:val="•"/>
      <w:numFmt w:val="bullet"/>
      <w:start w:val="1"/>
    </w:lvl>
  </w:abstractNum>
  <w:abstractNum w:abstractNumId="54">
    <w:nsid w:val="885E1B"/>
    <w:multiLevelType w:val="hybridMultilevel"/>
    <w:lvl w:ilvl="0">
      <w:lvlJc w:val="left"/>
      <w:lvlText w:val="•"/>
      <w:numFmt w:val="bullet"/>
      <w:start w:val="1"/>
    </w:lvl>
  </w:abstractNum>
  <w:abstractNum w:abstractNumId="55">
    <w:nsid w:val="76272110"/>
    <w:multiLevelType w:val="hybridMultilevel"/>
    <w:lvl w:ilvl="0">
      <w:lvlJc w:val="left"/>
      <w:lvlText w:val="•"/>
      <w:numFmt w:val="bullet"/>
      <w:start w:val="1"/>
    </w:lvl>
  </w:abstractNum>
  <w:abstractNum w:abstractNumId="56">
    <w:nsid w:val="4C04A8AF"/>
    <w:multiLevelType w:val="hybridMultilevel"/>
    <w:lvl w:ilvl="0">
      <w:lvlJc w:val="left"/>
      <w:lvlText w:val="•"/>
      <w:numFmt w:val="bullet"/>
      <w:start w:val="1"/>
    </w:lvl>
  </w:abstractNum>
  <w:abstractNum w:abstractNumId="57">
    <w:nsid w:val="1716703B"/>
    <w:multiLevelType w:val="hybridMultilevel"/>
    <w:lvl w:ilvl="0">
      <w:lvlJc w:val="left"/>
      <w:lvlText w:val="(%1)"/>
      <w:numFmt w:val="decimal"/>
      <w:start w:val="1"/>
    </w:lvl>
  </w:abstractNum>
  <w:abstractNum w:abstractNumId="58">
    <w:nsid w:val="14E17E33"/>
    <w:multiLevelType w:val="hybridMultilevel"/>
    <w:lvl w:ilvl="0">
      <w:lvlJc w:val="left"/>
      <w:lvlText w:val="•"/>
      <w:numFmt w:val="bullet"/>
      <w:start w:val="1"/>
    </w:lvl>
  </w:abstractNum>
  <w:abstractNum w:abstractNumId="59">
    <w:nsid w:val="3222E7CD"/>
    <w:multiLevelType w:val="hybridMultilevel"/>
    <w:lvl w:ilvl="0">
      <w:lvlJc w:val="left"/>
      <w:lvlText w:val="•"/>
      <w:numFmt w:val="bullet"/>
      <w:start w:val="1"/>
    </w:lvl>
  </w:abstractNum>
  <w:abstractNum w:abstractNumId="60">
    <w:nsid w:val="74DE0EE3"/>
    <w:multiLevelType w:val="hybridMultilevel"/>
    <w:lvl w:ilvl="0">
      <w:lvlJc w:val="left"/>
      <w:lvlText w:val="*"/>
      <w:numFmt w:val="bullet"/>
      <w:start w:val="1"/>
    </w:lvl>
  </w:abstractNum>
  <w:abstractNum w:abstractNumId="61">
    <w:nsid w:val="68EBC550"/>
    <w:multiLevelType w:val="hybridMultilevel"/>
    <w:lvl w:ilvl="0">
      <w:lvlJc w:val="left"/>
      <w:lvlText w:val="•"/>
      <w:numFmt w:val="bullet"/>
      <w:start w:val="1"/>
    </w:lvl>
  </w:abstractNum>
  <w:abstractNum w:abstractNumId="62">
    <w:nsid w:val="2DF6D648"/>
    <w:multiLevelType w:val="hybridMultilevel"/>
    <w:lvl w:ilvl="0">
      <w:lvlJc w:val="left"/>
      <w:lvlText w:val="•"/>
      <w:numFmt w:val="bullet"/>
      <w:start w:val="1"/>
    </w:lvl>
  </w:abstractNum>
  <w:abstractNum w:abstractNumId="63">
    <w:nsid w:val="46B7D447"/>
    <w:multiLevelType w:val="hybridMultilevel"/>
    <w:lvl w:ilvl="0">
      <w:lvlJc w:val="left"/>
      <w:lvlText w:val="•"/>
      <w:numFmt w:val="bullet"/>
      <w:start w:val="1"/>
    </w:lvl>
  </w:abstractNum>
  <w:abstractNum w:abstractNumId="64">
    <w:nsid w:val="4A2AC315"/>
    <w:multiLevelType w:val="hybridMultilevel"/>
    <w:lvl w:ilvl="0">
      <w:lvlJc w:val="left"/>
      <w:lvlText w:val="•"/>
      <w:numFmt w:val="bullet"/>
      <w:start w:val="1"/>
    </w:lvl>
  </w:abstractNum>
  <w:abstractNum w:abstractNumId="65">
    <w:nsid w:val="39EE015C"/>
    <w:multiLevelType w:val="hybridMultilevel"/>
    <w:lvl w:ilvl="0">
      <w:lvlJc w:val="left"/>
      <w:lvlText w:val="•"/>
      <w:numFmt w:val="bullet"/>
      <w:start w:val="1"/>
    </w:lvl>
  </w:abstractNum>
  <w:abstractNum w:abstractNumId="66">
    <w:nsid w:val="57FC4FBB"/>
    <w:multiLevelType w:val="hybridMultilevel"/>
    <w:lvl w:ilvl="0">
      <w:lvlJc w:val="left"/>
      <w:lvlText w:val="•"/>
      <w:numFmt w:val="bullet"/>
      <w:start w:val="1"/>
    </w:lvl>
  </w:abstractNum>
  <w:abstractNum w:abstractNumId="67">
    <w:nsid w:val="CC1016F"/>
    <w:multiLevelType w:val="hybridMultilevel"/>
    <w:lvl w:ilvl="0">
      <w:lvlJc w:val="left"/>
      <w:lvlText w:val="•"/>
      <w:numFmt w:val="bullet"/>
      <w:start w:val="1"/>
    </w:lvl>
  </w:abstractNum>
  <w:abstractNum w:abstractNumId="68">
    <w:nsid w:val="43F18422"/>
    <w:multiLevelType w:val="hybridMultilevel"/>
    <w:lvl w:ilvl="0">
      <w:lvlJc w:val="left"/>
      <w:lvlText w:val="*"/>
      <w:numFmt w:val="bullet"/>
      <w:start w:val="1"/>
    </w:lvl>
  </w:abstractNum>
  <w:abstractNum w:abstractNumId="69">
    <w:nsid w:val="60EF0119"/>
    <w:multiLevelType w:val="hybridMultilevel"/>
    <w:lvl w:ilvl="0">
      <w:lvlJc w:val="left"/>
      <w:lvlText w:val="(%1)"/>
      <w:numFmt w:val="decimal"/>
      <w:start w:val="1"/>
    </w:lvl>
  </w:abstractNum>
  <w:abstractNum w:abstractNumId="70">
    <w:nsid w:val="26F324BA"/>
    <w:multiLevelType w:val="hybridMultilevel"/>
    <w:lvl w:ilvl="0">
      <w:lvlJc w:val="left"/>
      <w:lvlText w:val="•"/>
      <w:numFmt w:val="bullet"/>
      <w:start w:val="1"/>
    </w:lvl>
  </w:abstractNum>
  <w:abstractNum w:abstractNumId="71">
    <w:nsid w:val="7F01579B"/>
    <w:multiLevelType w:val="hybridMultilevel"/>
    <w:lvl w:ilvl="0">
      <w:lvlJc w:val="left"/>
      <w:lvlText w:val="•"/>
      <w:numFmt w:val="bullet"/>
      <w:start w:val="1"/>
    </w:lvl>
  </w:abstractNum>
  <w:abstractNum w:abstractNumId="72">
    <w:nsid w:val="49DA307D"/>
    <w:multiLevelType w:val="hybridMultilevel"/>
    <w:lvl w:ilvl="0">
      <w:lvlJc w:val="left"/>
      <w:lvlText w:val="•"/>
      <w:numFmt w:val="bullet"/>
      <w:start w:val="1"/>
    </w:lvl>
  </w:abstractNum>
  <w:abstractNum w:abstractNumId="73">
    <w:nsid w:val="7055A5F5"/>
    <w:multiLevelType w:val="hybridMultilevel"/>
    <w:lvl w:ilvl="0">
      <w:lvlJc w:val="left"/>
      <w:lvlText w:val="•"/>
      <w:numFmt w:val="bullet"/>
      <w:start w:val="1"/>
    </w:lvl>
  </w:abstractNum>
  <w:abstractNum w:abstractNumId="74">
    <w:nsid w:val="5FB8370B"/>
    <w:multiLevelType w:val="hybridMultilevel"/>
    <w:lvl w:ilvl="0">
      <w:lvlJc w:val="left"/>
      <w:lvlText w:val="•"/>
      <w:numFmt w:val="bullet"/>
      <w:start w:val="1"/>
    </w:lvl>
  </w:abstractNum>
  <w:abstractNum w:abstractNumId="75">
    <w:nsid w:val="50801EE1"/>
    <w:multiLevelType w:val="hybridMultilevel"/>
    <w:lvl w:ilvl="0">
      <w:lvlJc w:val="left"/>
      <w:lvlText w:val="*"/>
      <w:numFmt w:val="bullet"/>
      <w:start w:val="1"/>
    </w:lvl>
  </w:abstractNum>
  <w:abstractNum w:abstractNumId="76">
    <w:nsid w:val="488AC1A"/>
    <w:multiLevelType w:val="hybridMultilevel"/>
    <w:lvl w:ilvl="0">
      <w:lvlJc w:val="left"/>
      <w:lvlText w:val="(%1)"/>
      <w:numFmt w:val="decimal"/>
      <w:start w:val="1"/>
    </w:lvl>
  </w:abstractNum>
  <w:abstractNum w:abstractNumId="77">
    <w:nsid w:val="5FB8011C"/>
    <w:multiLevelType w:val="hybridMultilevel"/>
    <w:lvl w:ilvl="0">
      <w:lvlJc w:val="left"/>
      <w:lvlText w:val="(%1)"/>
      <w:numFmt w:val="decimal"/>
      <w:start w:val="1"/>
    </w:lvl>
  </w:abstractNum>
  <w:abstractNum w:abstractNumId="78">
    <w:nsid w:val="6AA78F7F"/>
    <w:multiLevelType w:val="hybridMultilevel"/>
    <w:lvl w:ilvl="0">
      <w:lvlJc w:val="left"/>
      <w:lvlText w:val="(%1)"/>
      <w:numFmt w:val="decimal"/>
      <w:start w:val="4"/>
    </w:lvl>
  </w:abstractNum>
  <w:abstractNum w:abstractNumId="79">
    <w:nsid w:val="7672BD23"/>
    <w:multiLevelType w:val="hybridMultilevel"/>
    <w:lvl w:ilvl="0">
      <w:lvlJc w:val="left"/>
      <w:lvlText w:val="•"/>
      <w:numFmt w:val="bullet"/>
      <w:start w:val="1"/>
    </w:lvl>
  </w:abstractNum>
  <w:abstractNum w:abstractNumId="80">
    <w:nsid w:val="6FC75AF8"/>
    <w:multiLevelType w:val="hybridMultilevel"/>
    <w:lvl w:ilvl="0">
      <w:lvlJc w:val="left"/>
      <w:lvlText w:val="(%1)"/>
      <w:numFmt w:val="decimal"/>
      <w:start w:val="1"/>
    </w:lvl>
  </w:abstractNum>
  <w:abstractNum w:abstractNumId="81">
    <w:nsid w:val="6A5F7029"/>
    <w:multiLevelType w:val="hybridMultilevel"/>
    <w:lvl w:ilvl="0">
      <w:lvlJc w:val="left"/>
      <w:lvlText w:val="(%1)"/>
      <w:numFmt w:val="lowerRoman"/>
      <w:start w:val="2"/>
    </w:lvl>
  </w:abstractNum>
  <w:abstractNum w:abstractNumId="82">
    <w:nsid w:val="7D5E18F8"/>
    <w:multiLevelType w:val="hybridMultilevel"/>
    <w:lvl w:ilvl="0">
      <w:lvlJc w:val="left"/>
      <w:lvlText w:val="(%1)"/>
      <w:numFmt w:val="decimal"/>
      <w:start w:val="1"/>
    </w:lvl>
  </w:abstractNum>
  <w:abstractNum w:abstractNumId="83">
    <w:nsid w:val="5F3534A4"/>
    <w:multiLevelType w:val="hybridMultilevel"/>
    <w:lvl w:ilvl="0">
      <w:lvlJc w:val="left"/>
      <w:lvlText w:val="(%1)"/>
      <w:numFmt w:val="decimal"/>
      <w:start w:val="4"/>
    </w:lvl>
  </w:abstractNum>
  <w:abstractNum w:abstractNumId="84">
    <w:nsid w:val="73A1821B"/>
    <w:multiLevelType w:val="hybridMultilevel"/>
    <w:lvl w:ilvl="0">
      <w:lvlJc w:val="left"/>
      <w:lvlText w:val="•"/>
      <w:numFmt w:val="bullet"/>
      <w:start w:val="1"/>
    </w:lvl>
  </w:abstractNum>
  <w:abstractNum w:abstractNumId="85">
    <w:nsid w:val="7DE67713"/>
    <w:multiLevelType w:val="hybridMultilevel"/>
    <w:lvl w:ilvl="0">
      <w:lvlJc w:val="left"/>
      <w:lvlText w:val="•"/>
      <w:numFmt w:val="bullet"/>
      <w:start w:val="1"/>
    </w:lvl>
  </w:abstractNum>
  <w:abstractNum w:abstractNumId="86">
    <w:nsid w:val="555C55B5"/>
    <w:multiLevelType w:val="hybridMultilevel"/>
    <w:lvl w:ilvl="0">
      <w:lvlJc w:val="left"/>
      <w:lvlText w:val="•"/>
      <w:numFmt w:val="bullet"/>
      <w:start w:val="1"/>
    </w:lvl>
  </w:abstractNum>
  <w:abstractNum w:abstractNumId="87">
    <w:nsid w:val="3FA62ACA"/>
    <w:multiLevelType w:val="hybridMultilevel"/>
    <w:lvl w:ilvl="0">
      <w:lvlJc w:val="left"/>
      <w:lvlText w:val="•"/>
      <w:numFmt w:val="bullet"/>
      <w:start w:val="1"/>
    </w:lvl>
  </w:abstractNum>
  <w:abstractNum w:abstractNumId="88">
    <w:nsid w:val="14FCE74E"/>
    <w:multiLevelType w:val="hybridMultilevel"/>
    <w:lvl w:ilvl="0">
      <w:lvlJc w:val="left"/>
      <w:lvlText w:val="(%1)"/>
      <w:numFmt w:val="decimal"/>
      <w:start w:val="1"/>
    </w:lvl>
  </w:abstractNum>
  <w:abstractNum w:abstractNumId="89">
    <w:nsid w:val="6A3DD3E8"/>
    <w:multiLevelType w:val="hybridMultilevel"/>
    <w:lvl w:ilvl="0">
      <w:lvlJc w:val="left"/>
      <w:lvlText w:val="(%1)"/>
      <w:numFmt w:val="decimal"/>
      <w:start w:val="1"/>
    </w:lvl>
  </w:abstractNum>
  <w:abstractNum w:abstractNumId="90">
    <w:nsid w:val="71C91298"/>
    <w:multiLevelType w:val="hybridMultilevel"/>
    <w:lvl w:ilvl="0">
      <w:lvlJc w:val="left"/>
      <w:lvlText w:val="•"/>
      <w:numFmt w:val="bullet"/>
      <w:start w:val="1"/>
    </w:lvl>
  </w:abstractNum>
  <w:abstractNum w:abstractNumId="91">
    <w:nsid w:val="9DAF632"/>
    <w:multiLevelType w:val="hybridMultilevel"/>
    <w:lvl w:ilvl="0">
      <w:lvlJc w:val="left"/>
      <w:lvlText w:val="•"/>
      <w:numFmt w:val="bullet"/>
      <w:start w:val="1"/>
    </w:lvl>
  </w:abstractNum>
  <w:abstractNum w:abstractNumId="92">
    <w:nsid w:val="53299938"/>
    <w:multiLevelType w:val="hybridMultilevel"/>
    <w:lvl w:ilvl="0">
      <w:lvlJc w:val="left"/>
      <w:lvlText w:val="*"/>
      <w:numFmt w:val="bullet"/>
      <w:start w:val="1"/>
    </w:lvl>
  </w:abstractNum>
  <w:abstractNum w:abstractNumId="93">
    <w:nsid w:val="1FBFE8E0"/>
    <w:multiLevelType w:val="hybridMultilevel"/>
    <w:lvl w:ilvl="0">
      <w:lvlJc w:val="left"/>
      <w:lvlText w:val="(%1)"/>
      <w:numFmt w:val="decimal"/>
      <w:start w:val="1"/>
    </w:lvl>
  </w:abstractNum>
  <w:abstractNum w:abstractNumId="94">
    <w:nsid w:val="5092CA79"/>
    <w:multiLevelType w:val="hybridMultilevel"/>
    <w:lvl w:ilvl="0">
      <w:lvlJc w:val="left"/>
      <w:lvlText w:val="(%1)"/>
      <w:numFmt w:val="decimal"/>
      <w:start w:val="7"/>
    </w:lvl>
    <w:lvl w:ilvl="1">
      <w:lvlJc w:val="left"/>
      <w:lvlText w:val="(%2)"/>
      <w:numFmt w:val="lowerRoman"/>
      <w:start w:val="3"/>
    </w:lvl>
  </w:abstractNum>
  <w:abstractNum w:abstractNumId="95">
    <w:nsid w:val="1D545C4D"/>
    <w:multiLevelType w:val="hybridMultilevel"/>
    <w:lvl w:ilvl="0">
      <w:lvlJc w:val="left"/>
      <w:lvlText w:val="%1"/>
      <w:numFmt w:val="decimal"/>
      <w:start w:val="1"/>
    </w:lvl>
    <w:lvl w:ilvl="1">
      <w:lvlJc w:val="left"/>
      <w:lvlText w:val="(%2)"/>
      <w:numFmt w:val="lowerRoman"/>
      <w:start w:val="6"/>
    </w:lvl>
  </w:abstractNum>
  <w:abstractNum w:abstractNumId="96">
    <w:nsid w:val="59ADEA3D"/>
    <w:multiLevelType w:val="hybridMultilevel"/>
    <w:lvl w:ilvl="0">
      <w:lvlJc w:val="left"/>
      <w:lvlText w:val="•"/>
      <w:numFmt w:val="bullet"/>
      <w:start w:val="1"/>
    </w:lvl>
  </w:abstractNum>
  <w:abstractNum w:abstractNumId="97">
    <w:nsid w:val="288F1A34"/>
    <w:multiLevelType w:val="hybridMultilevel"/>
    <w:lvl w:ilvl="0">
      <w:lvlJc w:val="left"/>
      <w:lvlText w:val="•"/>
      <w:numFmt w:val="bullet"/>
      <w:start w:val="1"/>
    </w:lvl>
  </w:abstractNum>
  <w:abstractNum w:abstractNumId="98">
    <w:nsid w:val="2A155DBC"/>
    <w:multiLevelType w:val="hybridMultilevel"/>
    <w:lvl w:ilvl="0">
      <w:lvlJc w:val="left"/>
      <w:lvlText w:val="•"/>
      <w:numFmt w:val="bullet"/>
      <w:start w:val="1"/>
    </w:lvl>
  </w:abstractNum>
  <w:abstractNum w:abstractNumId="99">
    <w:nsid w:val="1D9F6E5F"/>
    <w:multiLevelType w:val="hybridMultilevel"/>
    <w:lvl w:ilvl="0">
      <w:lvlJc w:val="left"/>
      <w:lvlText w:val="•"/>
      <w:numFmt w:val="bullet"/>
      <w:start w:val="1"/>
    </w:lvl>
  </w:abstractNum>
  <w:abstractNum w:abstractNumId="100">
    <w:nsid w:val="97E1B4E"/>
    <w:multiLevelType w:val="hybridMultilevel"/>
    <w:lvl w:ilvl="0">
      <w:lvlJc w:val="left"/>
      <w:lvlText w:val="•"/>
      <w:numFmt w:val="bullet"/>
      <w:start w:val="1"/>
    </w:lvl>
  </w:abstractNum>
  <w:abstractNum w:abstractNumId="101">
    <w:nsid w:val="51088277"/>
    <w:multiLevelType w:val="hybridMultilevel"/>
    <w:lvl w:ilvl="0">
      <w:lvlJc w:val="left"/>
      <w:lvlText w:val="•"/>
      <w:numFmt w:val="bullet"/>
      <w:start w:val="1"/>
    </w:lvl>
  </w:abstractNum>
  <w:abstractNum w:abstractNumId="102">
    <w:nsid w:val="1CA0C5FA"/>
    <w:multiLevelType w:val="hybridMultilevel"/>
    <w:lvl w:ilvl="0">
      <w:lvlJc w:val="left"/>
      <w:lvlText w:val="•"/>
      <w:numFmt w:val="bullet"/>
      <w:start w:val="1"/>
    </w:lvl>
  </w:abstractNum>
  <w:abstractNum w:abstractNumId="103">
    <w:nsid w:val="53584BCB"/>
    <w:multiLevelType w:val="hybridMultilevel"/>
    <w:lvl w:ilvl="0">
      <w:lvlJc w:val="left"/>
      <w:lvlText w:val="•"/>
      <w:numFmt w:val="bullet"/>
      <w:start w:val="1"/>
    </w:lvl>
  </w:abstractNum>
  <w:abstractNum w:abstractNumId="104">
    <w:nsid w:val="415E286C"/>
    <w:multiLevelType w:val="hybridMultilevel"/>
    <w:lvl w:ilvl="0">
      <w:lvlJc w:val="left"/>
      <w:lvlText w:val="•"/>
      <w:numFmt w:val="bullet"/>
      <w:start w:val="1"/>
    </w:lvl>
  </w:abstractNum>
  <w:abstractNum w:abstractNumId="105">
    <w:nsid w:val="7C58FD05"/>
    <w:multiLevelType w:val="hybridMultilevel"/>
    <w:lvl w:ilvl="0">
      <w:lvlJc w:val="left"/>
      <w:lvlText w:val="(%1)"/>
      <w:numFmt w:val="decimal"/>
      <w:start w:val="2"/>
    </w:lvl>
  </w:abstractNum>
  <w:abstractNum w:abstractNumId="106">
    <w:nsid w:val="23D86AAC"/>
    <w:multiLevelType w:val="hybridMultilevel"/>
    <w:lvl w:ilvl="0">
      <w:lvlJc w:val="left"/>
      <w:lvlText w:val="(%1)"/>
      <w:numFmt w:val="lowerLetter"/>
      <w:start w:val="1"/>
    </w:lvl>
  </w:abstractNum>
  <w:abstractNum w:abstractNumId="107">
    <w:nsid w:val="45E6D486"/>
    <w:multiLevelType w:val="hybridMultilevel"/>
    <w:lvl w:ilvl="0">
      <w:lvlJc w:val="left"/>
      <w:lvlText w:val="(%1)"/>
      <w:numFmt w:val="decimal"/>
      <w:start w:val="1"/>
    </w:lvl>
  </w:abstractNum>
  <w:abstractNum w:abstractNumId="108">
    <w:nsid w:val="5C10FE21"/>
    <w:multiLevelType w:val="hybridMultilevel"/>
    <w:lvl w:ilvl="0">
      <w:lvlJc w:val="left"/>
      <w:lvlText w:val="•"/>
      <w:numFmt w:val="bullet"/>
      <w:start w:val="1"/>
    </w:lvl>
  </w:abstractNum>
  <w:abstractNum w:abstractNumId="109">
    <w:nsid w:val="E7FFA2B"/>
    <w:multiLevelType w:val="hybridMultilevel"/>
    <w:lvl w:ilvl="0">
      <w:lvlJc w:val="left"/>
      <w:lvlText w:val="•"/>
      <w:numFmt w:val="bullet"/>
      <w:start w:val="1"/>
    </w:lvl>
  </w:abstractNum>
  <w:abstractNum w:abstractNumId="110">
    <w:nsid w:val="3C5991AA"/>
    <w:multiLevelType w:val="hybridMultilevel"/>
    <w:lvl w:ilvl="0">
      <w:lvlJc w:val="left"/>
      <w:lvlText w:val="•"/>
      <w:numFmt w:val="bullet"/>
      <w:start w:val="1"/>
    </w:lvl>
  </w:abstractNum>
  <w:abstractNum w:abstractNumId="111">
    <w:nsid w:val="4BD8591A"/>
    <w:multiLevelType w:val="hybridMultilevel"/>
    <w:lvl w:ilvl="0">
      <w:lvlJc w:val="left"/>
      <w:lvlText w:val="(%1)"/>
      <w:numFmt w:val="decimal"/>
      <w:start w:val="1"/>
    </w:lvl>
  </w:abstractNum>
  <w:abstractNum w:abstractNumId="112">
    <w:nsid w:val="78DF6A55"/>
    <w:multiLevelType w:val="hybridMultilevel"/>
    <w:lvl w:ilvl="0">
      <w:lvlJc w:val="left"/>
      <w:lvlText w:val="(%1)"/>
      <w:numFmt w:val="decimal"/>
      <w:start w:val="1"/>
    </w:lvl>
  </w:abstractNum>
  <w:abstractNum w:abstractNumId="113">
    <w:nsid w:val="39B7AAA2"/>
    <w:multiLevelType w:val="hybridMultilevel"/>
    <w:lvl w:ilvl="0">
      <w:lvlJc w:val="left"/>
      <w:lvlText w:val="(%1)"/>
      <w:numFmt w:val="decimal"/>
      <w:start w:val="1"/>
    </w:lvl>
  </w:abstractNum>
  <w:abstractNum w:abstractNumId="114">
    <w:nsid w:val="2B0D8DBE"/>
    <w:multiLevelType w:val="hybridMultilevel"/>
    <w:lvl w:ilvl="0">
      <w:lvlJc w:val="left"/>
      <w:lvlText w:val="(%1)"/>
      <w:numFmt w:val="decimal"/>
      <w:start w:val="1"/>
    </w:lvl>
  </w:abstractNum>
  <w:abstractNum w:abstractNumId="115">
    <w:nsid w:val="6C80EC70"/>
    <w:multiLevelType w:val="hybridMultilevel"/>
    <w:lvl w:ilvl="0">
      <w:lvlJc w:val="left"/>
      <w:lvlText w:val="(%1)"/>
      <w:numFmt w:val="decimal"/>
      <w:start w:val="7"/>
    </w:lvl>
  </w:abstractNum>
  <w:abstractNum w:abstractNumId="116">
    <w:nsid w:val="379E21B5"/>
    <w:multiLevelType w:val="hybridMultilevel"/>
    <w:lvl w:ilvl="0">
      <w:lvlJc w:val="left"/>
      <w:lvlText w:val="(%1)"/>
      <w:numFmt w:val="decimal"/>
      <w:start w:val="1"/>
    </w:lvl>
  </w:abstractNum>
  <w:abstractNum w:abstractNumId="117">
    <w:nsid w:val="69E373"/>
    <w:multiLevelType w:val="hybridMultilevel"/>
    <w:lvl w:ilvl="0">
      <w:lvlJc w:val="left"/>
      <w:lvlText w:val="(%1)"/>
      <w:numFmt w:val="lowerLetter"/>
      <w:start w:val="1"/>
    </w:lvl>
    <w:lvl w:ilvl="1">
      <w:lvlJc w:val="left"/>
      <w:lvlText w:val="(%2)"/>
      <w:numFmt w:val="lowerLetter"/>
      <w:start w:val="35"/>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jpe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jpeg"/><Relationship Id="rId104" Type="http://schemas.openxmlformats.org/officeDocument/2006/relationships/image" Target="media/image97.jpeg"/><Relationship Id="rId105" Type="http://schemas.openxmlformats.org/officeDocument/2006/relationships/image" Target="media/image98.png"/><Relationship Id="rId106" Type="http://schemas.openxmlformats.org/officeDocument/2006/relationships/image" Target="media/image99.jpeg"/><Relationship Id="rId107" Type="http://schemas.openxmlformats.org/officeDocument/2006/relationships/image" Target="media/image100.jpe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jpeg"/><Relationship Id="rId149" Type="http://schemas.openxmlformats.org/officeDocument/2006/relationships/image" Target="media/image142.png"/><Relationship Id="rId150" Type="http://schemas.openxmlformats.org/officeDocument/2006/relationships/image" Target="media/image143.jpeg"/><Relationship Id="rId151" Type="http://schemas.openxmlformats.org/officeDocument/2006/relationships/image" Target="media/image144.png"/><Relationship Id="rId152" Type="http://schemas.openxmlformats.org/officeDocument/2006/relationships/image" Target="media/image145.jpeg"/><Relationship Id="rId153" Type="http://schemas.openxmlformats.org/officeDocument/2006/relationships/image" Target="media/image146.png"/><Relationship Id="rId154" Type="http://schemas.openxmlformats.org/officeDocument/2006/relationships/image" Target="media/image147.jpe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jpe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jpe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jpeg"/><Relationship Id="rId175" Type="http://schemas.openxmlformats.org/officeDocument/2006/relationships/image" Target="media/image168.png"/><Relationship Id="rId176" Type="http://schemas.openxmlformats.org/officeDocument/2006/relationships/image" Target="media/image169.jpe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jpe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jpe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jpeg"/><Relationship Id="rId286" Type="http://schemas.openxmlformats.org/officeDocument/2006/relationships/image" Target="media/image279.png"/><Relationship Id="rId287" Type="http://schemas.openxmlformats.org/officeDocument/2006/relationships/image" Target="media/image280.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2019-12-04T23:09:36Z</dcterms:created>
  <dcterms:modified xsi:type="dcterms:W3CDTF">2019-12-04T23:09:36Z</dcterms:modified>
</cp:coreProperties>
</file>