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 West 25th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11th Floor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 Interactive,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3,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0001639825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Foley: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1 to Draft Registration Statement on Form S-1 Submitted July 3, 2019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Consolidated Financial and Other Data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58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2. Please revise to remove the reference to litigation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as "extraordinary" and disclose that litigation expenses consist of legal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settlements and related fees for specific proceedings unrelated to your day-to-day business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Refer to Item 10(e)(1)(ii)(B) of Regulation S-K.</w:t>
      </w:r>
    </w:p>
    <w:p>
      <w:pPr>
        <w:ind w:right="285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 as well as your risk factor disclosure on pages 20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28. Your response suggests that it would be misleading to potential investors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expenses incurred and reported in accordance with GAAP in the company's non-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ind w:right="71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Foley Peloton Interactive, Inc.</w:t>
      </w:r>
    </w:p>
    <w:p>
      <w:pPr>
        <w:ind w:right="61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July 17, 2019</w:t>
      </w:r>
    </w:p>
    <w:p>
      <w:pPr>
        <w:ind w:right="8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17, 2019 Page 2 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performance measures. However, it is not yet clear to us why it is not misleading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exclude "content costs for past use" from your non-GAAP performance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please help us better understand the nature and timing of these costs and how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amounts were determined in your go-forward agreements. In this regard, provide us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 understanding of the number of go-forward agreements you have entered into in</w:t>
      </w:r>
    </w:p>
    <w:p>
      <w:pPr>
        <w:ind w:right="21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past and your expectation of similar agreements and payments in the future.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Further, you have indicated that you account for music royalty fees, including content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for past use, as a component of subscription cost of revenue in each reporting period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that the accounting for "past use costs" are not accounting errors or out-of-period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corrections. Rather, you suggest that they represent amounts recorded for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estimates. While these costs may relate to prior period estimates, excluding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them from your non-GAAP measures presents your operating results as if these costs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were never incurred in any period. As such, it is not clear how excluding these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provides investors with a full understanding of your core operating results.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provide us with the following additional information: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date Crescendo was introduced and utilized to create playlists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songs licensed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Company;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date instructors were required to select only songs currently licensed by the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if true;</w:t>
      </w:r>
    </w:p>
    <w:p>
      <w:pPr>
        <w:ind w:left="1160" w:right="18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factors you consider in determining the liability is probable; Approximately when in the future you estimate content costs for past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will no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longer be incurred;</w:t>
      </w: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roll-forward of your reserve for content costs for past use for each period presented;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and,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music royalty fees recognized for each period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Model, page 62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revised disclosure did not fully address comment 6. Please revise the following: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second paragraph under Improve Profitability through Scaling Content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on page 64. Provide a discussion and analysis of the GAAP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comparable to the non-GAAP measure Subscription Contribution Margin.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discussion and analysis of the GAAP measure should be in a location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equal or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greater prominence than that of your discussion and analysis of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Subscription Contribution Margin.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Key Operational and Business Metrics on page 66. Revise to provide equally</w:t>
      </w:r>
    </w:p>
    <w:p>
      <w:pPr>
        <w:ind w:right="23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 tabular disclosure of the GAAP measures comparable to Subscription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Contribution, Subscription Contribution Margin, Adjusted EBITDA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EBITDA margin.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ind w:right="71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Foley Peloton Interactive, Inc.</w:t>
      </w:r>
    </w:p>
    <w:p>
      <w:pPr>
        <w:ind w:right="61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July 17, 2019</w:t>
      </w:r>
    </w:p>
    <w:p>
      <w:pPr>
        <w:ind w:right="8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17, 2019 Page 3 Page 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Item 10(e)(1) of Regulation S-K and Question 102.10 of the Non-GAAP Compliance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Interpretations.</w:t>
      </w:r>
    </w:p>
    <w:p>
      <w:pPr>
        <w:ind w:right="28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9 that the inclusion of the calculation of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Net Customer Acquisition Costs and the Connected Fitness Subscriber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Lifetime Value was not intended to identify trend information. Your disclosure, however,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suggest otherwise. In this regard, we note your disclosure that "[a]s you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[y]our content offering...[you] believe [you] can maintain a low Average Net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Connected Fitness Churn, resulting in a high Connected Fitness Subscriber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Lifetime Value," and that "[you] believe [you] will continue to drive rapid payback 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efficiencies in Net Customer Acquisition Costs (profit)..." Please tell us how the</w:t>
      </w:r>
    </w:p>
    <w:p>
      <w:pPr>
        <w:ind w:right="28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Connected Fitness Subscriber Lifetime Value and Net Customer Acquisition Costs (profit)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 for prior periods supports such beliefs.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Industry and Opportunity , page 93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discuss the substance of your response to comment 17 relating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material assumptions and estimates underlying your calculation of TAM and SAM</w:t>
      </w:r>
    </w:p>
    <w:p>
      <w:pPr>
        <w:ind w:right="55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of the markets presented. Audited Financial Statements</w:t>
      </w:r>
    </w:p>
    <w:p>
      <w:pPr>
        <w:ind w:right="5399" w:firstLine="8"/>
        <w:spacing w:after="0" w:line="377" w:lineRule="auto"/>
        <w:tabs>
          <w:tab w:leader="none" w:pos="316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Summary of Significant Accounting Policies Stock-Based Compensation, page F-10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22. Please expand your disclosure in the notes to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financial statements to state you use the simplified method consistent with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and explain the reason why the method was used. Refer to ASC 718-10-S99-1,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SAB Topic 14.D, Certain Assumptions Used in Valuation Methods, 2. Expected Term,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6.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Commitments and Contingencies, page F-12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23. Please expand your disclosure to clarify that if a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is reasonably possible and the loss or range of loss cannot be made you disclose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estimate of the loss or range of loss cannot be made. Please refer to ASC 450-20-50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paragraphs 3 through 5.</w:t>
      </w:r>
    </w:p>
    <w:p>
      <w:pPr>
        <w:ind w:right="6759" w:firstLine="8"/>
        <w:spacing w:after="0" w:line="377" w:lineRule="auto"/>
        <w:tabs>
          <w:tab w:leader="none" w:pos="316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Commitments and Contingencies Legal Proceedings, page F-23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24 that you determined the VR Optics matter does not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 disclosure because the likelihood of a material loss is remote. We also note news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review of the validity of three of your patents by a review board of the U.S.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and Trademark Office. Please update your disclosure under Legal Proceedings on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ind w:right="749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 July 17, 2019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108 to disclose the Trial and Appeal Board's orders in June to review the validity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patents or advise us why you do not believe revised disclosure is necessary. Also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disclosing the class action lawsuit filed on March 29,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here or within Legal Proceedings on page 108. Reference made to U.S. District</w:t>
      </w:r>
    </w:p>
    <w:p>
      <w:pPr>
        <w:ind w:right="32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 for the Central District of California case number 2:19-CV-04968.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Interim Condensed Financial Statements</w:t>
      </w:r>
    </w:p>
    <w:p>
      <w:pPr>
        <w:ind w:right="5399" w:firstLine="8"/>
        <w:spacing w:after="0" w:line="309" w:lineRule="auto"/>
        <w:tabs>
          <w:tab w:leader="none" w:pos="316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 Marketable Securities, page F-39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27. Please disclose the maturities of your marketable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as required by ASC 320-10-50-3.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 and Financing Arrangements, page F-47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disclosure on page 82 regarding the amended and restated credit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Please tell us what consideration you gave to disclosing the amended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 credit agreement as a subsequent event.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Events, page F-58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providing disclosure updating pending legal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proceedings and contingencies.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Donna Di Silvio, Staff Accountant, at (202) 551-3202 or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Thompson, Senior Assistant Chief Accountant, at (202) 551-3344 if you have questions</w:t>
      </w:r>
    </w:p>
    <w:p>
      <w:pPr>
        <w:ind w:right="23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Jennifer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0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 pez, Staff Attorney, at (202) 551-3792 or Lilyanna Peyser, Special Counsel, at (202) 551-3222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LastNameJohn Foley</w:t>
            </w:r>
          </w:p>
        </w:tc>
        <w:tc>
          <w:tcPr>
            <w:tcW w:w="242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NamePeloton Interactive, Inc.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17, 2019 Page 4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Consumer Products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2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8"/>
    </w:lvl>
  </w:abstractNum>
  <w:abstractNum w:abstractNumId="7">
    <w:nsid w:val="4DB127F8"/>
    <w:multiLevelType w:val="hybridMultilevel"/>
    <w:lvl w:ilvl="0">
      <w:lvlJc w:val="left"/>
      <w:lvlText w:val="%1."/>
      <w:numFmt w:val="decimal"/>
      <w:start w:val="2"/>
    </w:lvl>
  </w:abstractNum>
  <w:abstractNum w:abstractNumId="8">
    <w:nsid w:val="216231B"/>
    <w:multiLevelType w:val="hybridMultilevel"/>
    <w:lvl w:ilvl="0">
      <w:lvlJc w:val="left"/>
      <w:lvlText w:val="%1."/>
      <w:numFmt w:val="decimal"/>
      <w:start w:val="9"/>
    </w:lvl>
  </w:abstractNum>
  <w:abstractNum w:abstractNumId="9">
    <w:nsid w:val="1F16E9E8"/>
    <w:multiLevelType w:val="hybridMultilevel"/>
    <w:lvl w:ilvl="0">
      <w:lvlJc w:val="left"/>
      <w:lvlText w:val="%1."/>
      <w:numFmt w:val="decimal"/>
      <w:start w:val="10"/>
    </w:lvl>
  </w:abstractNum>
  <w:abstractNum w:abstractNumId="10">
    <w:nsid w:val="1190CDE7"/>
    <w:multiLevelType w:val="hybridMultilevel"/>
    <w:lvl w:ilvl="0">
      <w:lvlJc w:val="left"/>
      <w:lvlText w:val="%1."/>
      <w:numFmt w:val="decimal"/>
      <w:start w:val="18"/>
    </w:lvl>
  </w:abstractNum>
  <w:abstractNum w:abstractNumId="11">
    <w:nsid w:val="66EF438D"/>
    <w:multiLevelType w:val="hybridMultilevel"/>
    <w:lvl w:ilvl="0">
      <w:lvlJc w:val="left"/>
      <w:lvlText w:val="%1."/>
      <w:numFmt w:val="decimal"/>
      <w:start w:val="1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2020-10-08T00:02:30Z</dcterms:created>
  <dcterms:modified xsi:type="dcterms:W3CDTF">2020-10-08T00:02:30Z</dcterms:modified>
</cp:coreProperties>
</file>