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64"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January 20, 2022</w:t>
      </w:r>
    </w:p>
    <w:p>
      <w:pPr>
        <w:spacing w:after="0" w:line="36"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5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94"/>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r>
      <w:tr>
        <w:trPr>
          <w:trHeight w:val="210"/>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r>
      <w:tr>
        <w:trPr>
          <w:trHeight w:val="545"/>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66"/>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r>
      <w:tr>
        <w:trPr>
          <w:trHeight w:val="29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r>
    </w:tbl>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(917) 671-9198</w:t>
      </w: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88" w:lineRule="exact"/>
        <w:rPr>
          <w:rFonts w:ascii="MS PGothic" w:cs="MS PGothic" w:eastAsia="MS PGothic" w:hAnsi="MS PGothic"/>
          <w:sz w:val="22"/>
          <w:szCs w:val="22"/>
          <w:color w:val="auto"/>
        </w:rPr>
      </w:pPr>
    </w:p>
    <w:p>
      <w:pPr>
        <w:ind w:right="1820" w:firstLine="8"/>
        <w:spacing w:after="0" w:line="32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4460" w:type="dxa"/>
            <w:vAlign w:val="bottom"/>
            <w:tcBorders>
              <w:top w:val="single" w:sz="8" w:color="auto"/>
              <w:left w:val="single" w:sz="8" w:color="auto"/>
              <w:right w:val="single" w:sz="8" w:color="auto"/>
            </w:tcBorders>
          </w:tcPr>
          <w:p>
            <w:pPr>
              <w:spacing w:after="0"/>
              <w:rPr>
                <w:sz w:val="15"/>
                <w:szCs w:val="15"/>
                <w:color w:val="auto"/>
              </w:rPr>
            </w:pPr>
          </w:p>
        </w:tc>
        <w:tc>
          <w:tcPr>
            <w:tcW w:w="2040" w:type="dxa"/>
            <w:vAlign w:val="bottom"/>
            <w:tcBorders>
              <w:top w:val="single" w:sz="8" w:color="auto"/>
              <w:right w:val="single" w:sz="8" w:color="auto"/>
            </w:tcBorders>
          </w:tcPr>
          <w:p>
            <w:pPr>
              <w:spacing w:after="0"/>
              <w:rPr>
                <w:sz w:val="15"/>
                <w:szCs w:val="15"/>
                <w:color w:val="auto"/>
              </w:rPr>
            </w:pPr>
          </w:p>
        </w:tc>
        <w:tc>
          <w:tcPr>
            <w:tcW w:w="30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19"/>
                <w:szCs w:val="19"/>
                <w:color w:val="auto"/>
              </w:rPr>
            </w:pPr>
          </w:p>
        </w:tc>
        <w:tc>
          <w:tcPr>
            <w:tcW w:w="3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 w:name="page2"/>
    <w:bookmarkEnd w:id="1"/>
    <w:p>
      <w:pPr>
        <w:spacing w:after="0" w:line="26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62" w:right="5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20, 2022, Peloton Interactive, Inc. (the “Company”) issued a press release announcing selected preliminary second quarter fiscal 2022 results. The full text of the press release is furnished as Exhibit 99.1 hereto and incorporated herein by reference.</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information contained in Item 2.02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580" w:type="dxa"/>
            <w:vAlign w:val="bottom"/>
          </w:tcPr>
          <w:p>
            <w:pPr>
              <w:spacing w:after="0"/>
              <w:rPr>
                <w:sz w:val="18"/>
                <w:szCs w:val="18"/>
                <w:color w:val="auto"/>
              </w:rPr>
            </w:pPr>
          </w:p>
        </w:tc>
      </w:tr>
      <w:tr>
        <w:trPr>
          <w:trHeight w:val="355"/>
        </w:trPr>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Exhibit</w:t>
            </w: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293"/>
        </w:trPr>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Number</w:t>
            </w:r>
          </w:p>
        </w:tc>
        <w:tc>
          <w:tcPr>
            <w:tcW w:w="1004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Title or Description</w:t>
            </w:r>
          </w:p>
        </w:tc>
      </w:tr>
      <w:tr>
        <w:trPr>
          <w:trHeight w:val="243"/>
        </w:trPr>
        <w:tc>
          <w:tcPr>
            <w:tcW w:w="1200" w:type="dxa"/>
            <w:vAlign w:val="bottom"/>
          </w:tcPr>
          <w:p>
            <w:pPr>
              <w:jc w:val="right"/>
              <w:ind w:right="43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1"/>
                <w:szCs w:val="21"/>
                <w:color w:val="auto"/>
              </w:rPr>
            </w:pPr>
          </w:p>
        </w:tc>
        <w:tc>
          <w:tcPr>
            <w:tcW w:w="3160" w:type="dxa"/>
            <w:vAlign w:val="bottom"/>
            <w:tcBorders>
              <w:bottom w:val="single" w:sz="8" w:color="0000FF"/>
            </w:tcBorders>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Press Release dated January 20, 2022.</w:t>
              </w:r>
            </w:hyperlink>
          </w:p>
        </w:tc>
        <w:tc>
          <w:tcPr>
            <w:tcW w:w="6580" w:type="dxa"/>
            <w:vAlign w:val="bottom"/>
          </w:tcPr>
          <w:p>
            <w:pPr>
              <w:spacing w:after="0"/>
              <w:rPr>
                <w:sz w:val="21"/>
                <w:szCs w:val="21"/>
                <w:color w:val="auto"/>
              </w:rPr>
            </w:pPr>
          </w:p>
        </w:tc>
      </w:tr>
      <w:tr>
        <w:trPr>
          <w:trHeight w:val="318"/>
        </w:trPr>
        <w:tc>
          <w:tcPr>
            <w:tcW w:w="120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9"/>
        </w:trPr>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PELOTON INTERACTIVE, INC.</w:t>
      </w:r>
    </w:p>
    <w:p>
      <w:pPr>
        <w:spacing w:after="0" w:line="337" w:lineRule="exact"/>
        <w:rPr>
          <w:sz w:val="20"/>
          <w:szCs w:val="20"/>
          <w:color w:val="auto"/>
        </w:rPr>
      </w:pPr>
    </w:p>
    <w:p>
      <w:pPr>
        <w:ind w:left="20"/>
        <w:spacing w:after="0"/>
        <w:tabs>
          <w:tab w:leader="none" w:pos="4320" w:val="left"/>
          <w:tab w:leader="none" w:pos="5120" w:val="left"/>
        </w:tabs>
        <w:rPr>
          <w:sz w:val="20"/>
          <w:szCs w:val="20"/>
          <w:color w:val="auto"/>
        </w:rPr>
      </w:pPr>
      <w:r>
        <w:rPr>
          <w:rFonts w:ascii="Arial" w:cs="Arial" w:eastAsia="Arial" w:hAnsi="Arial"/>
          <w:sz w:val="18"/>
          <w:szCs w:val="18"/>
          <w:color w:val="auto"/>
        </w:rPr>
        <w:t>Date: January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2811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Jill Woodworth</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320" w:top="783" w:right="559" w:bottom="1440" w:gutter="0" w:footer="0" w:header="0"/>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Peloton Interactive, Inc. Reports Preliminary Second Quarter Fiscal 2022 Results</w:t>
      </w:r>
    </w:p>
    <w:p>
      <w:pPr>
        <w:spacing w:after="0" w:line="235"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b w:val="1"/>
          <w:bCs w:val="1"/>
          <w:color w:val="auto"/>
        </w:rPr>
        <w:t xml:space="preserve">NEW YORK, January 20, 2022 — </w:t>
      </w:r>
      <w:r>
        <w:rPr>
          <w:rFonts w:ascii="Arial" w:cs="Arial" w:eastAsia="Arial" w:hAnsi="Arial"/>
          <w:sz w:val="16"/>
          <w:szCs w:val="16"/>
          <w:color w:val="auto"/>
        </w:rPr>
        <w:t>Peloton Interactive, Inc. (Nasdaq: PTON) provided a business update today and reported preliminary results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Fiscal 2022 ended December 31, 2021.</w:t>
      </w:r>
    </w:p>
    <w:p>
      <w:pPr>
        <w:spacing w:after="0" w:line="17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of approximately $1.14 billion, versus previously provided guidance of $1.1 billion to $1.2 billion</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Ending Connected Fitness Subscriptions of approximately 2.77 million, versus previously provided guidance of 2.8 million to 2.85 million</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Average Net Monthly Connected Fitness Churn of 0.79%</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in a range of $(270) million to $(260) million, versus previously provided guidance of $(350) million to $(325) million</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we discussed last quarter, we are taking significant corrective actions to improve our profitability outlook and optimize our costs across the company. This includes gross margin improvements, moving to a more variable cost structure, and identifying reductions in our operating expenses as we build a more focused Peloton moving forward. This work is still underway and we expect to have more details to share when we report earnings on February 8, 2022,” said John Foley, co-founder and CEO.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Fiscal 2022 Conference Call and Webcast</w:t>
      </w:r>
    </w:p>
    <w:p>
      <w:pPr>
        <w:spacing w:after="0" w:line="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expects to release its final second quarter Fiscal 2022 results after the U.S. stock market closes on Tuesday, February 8, 2022 and hold a conference call to discuss results at 5:00 p.m. (Eastern Time) that day.</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U.S. toll free dial-in for the conference call is 1-877-667-0469, and the international dial-in number is 1-346-406-0807. The Conference ID is 1271026. A live webcast of the conference call will also be available on the investor relations page of the company's website at https://investor.onepeloton.com.</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those unable to participate in the conference call, a replay will be available after the conclusion of the call on February 8, 2022 through February 15, 2022. The U.S. toll-free replay dial-in number is 1-855-859-2056, and the international replay dial-in number is 1-404-537-3406. The replay passcode is 1271026.</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Disclosure Advisory</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company has not yet completed its reporting process for its second quarter fiscal 2022 ended December 31, 2021. The preliminary results presented herein are based on its reasonable estimates and the information available to it at this time and, because of their preliminary nature, in certain cases, the company has provided ranges, rather than specific amounts. As such, the company’s actual results may materially vary from the preliminary results presented herein and will not be finalized until the company reports its final results for second quarter fiscal 2022 after the completion of its normal quarter end accounting procedures including asset recoverability accounting analysis and the execution of its internal controls over financial reporting. In addition, any statements regarding the company’s estimated financial performance for the second quarter of fiscal 2022 do not present all information necessary for an understanding of the company’s financial condition and results of operations as of and for the quarterly period ended December 31, 2021.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product recall costs; litigation and settlement expenses; transaction and integration costs; and other adjustment items that arise outside the ordinary course of our business. Adjusted EBITDA Margin is calculated by dividing Adjusted EBITDA by total revenue.</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9" w:lineRule="exact"/>
        <w:rPr>
          <w:sz w:val="20"/>
          <w:szCs w:val="20"/>
          <w:color w:val="auto"/>
        </w:rPr>
      </w:pPr>
    </w:p>
    <w:p>
      <w:pPr>
        <w:jc w:val="both"/>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ectPr>
          <w:pgSz w:w="11900" w:h="16838" w:orient="portrait"/>
          <w:cols w:equalWidth="0" w:num="1">
            <w:col w:w="11240"/>
          </w:cols>
          <w:pgMar w:left="320" w:top="1440" w:right="339" w:bottom="1440" w:gutter="0" w:footer="0" w:header="0"/>
        </w:sectPr>
      </w:pPr>
    </w:p>
    <w:bookmarkStart w:id="5" w:name="page6"/>
    <w:bookmarkEnd w:id="5"/>
    <w:p>
      <w:pPr>
        <w:spacing w:after="0" w:line="11" w:lineRule="exact"/>
        <w:rPr>
          <w:sz w:val="20"/>
          <w:szCs w:val="20"/>
          <w:color w:val="auto"/>
        </w:rPr>
      </w:pPr>
    </w:p>
    <w:p>
      <w:pPr>
        <w:jc w:val="both"/>
        <w:ind w:left="660" w:hanging="328"/>
        <w:spacing w:after="0" w:line="28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9" w:lineRule="exact"/>
        <w:rPr>
          <w:rFonts w:ascii="Arial" w:cs="Arial" w:eastAsia="Arial" w:hAnsi="Arial"/>
          <w:sz w:val="16"/>
          <w:szCs w:val="16"/>
          <w:color w:val="auto"/>
        </w:rPr>
      </w:pPr>
    </w:p>
    <w:p>
      <w:pPr>
        <w:jc w:val="both"/>
        <w:ind w:left="660" w:hanging="328"/>
        <w:spacing w:after="0" w:line="28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3" w:lineRule="exact"/>
        <w:rPr>
          <w:sz w:val="20"/>
          <w:szCs w:val="20"/>
          <w:color w:val="auto"/>
        </w:rPr>
      </w:pPr>
    </w:p>
    <w:p>
      <w:pPr>
        <w:jc w:val="both"/>
        <w:ind w:left="660" w:hanging="328"/>
        <w:spacing w:after="0" w:line="28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9" w:lineRule="exact"/>
        <w:rPr>
          <w:rFonts w:ascii="Arial" w:cs="Arial" w:eastAsia="Arial" w:hAnsi="Arial"/>
          <w:sz w:val="16"/>
          <w:szCs w:val="16"/>
          <w:color w:val="auto"/>
        </w:rPr>
      </w:pPr>
    </w:p>
    <w:p>
      <w:pPr>
        <w:ind w:left="660" w:hanging="328"/>
        <w:spacing w:after="0" w:line="29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3" w:lineRule="exact"/>
        <w:rPr>
          <w:rFonts w:ascii="Arial" w:cs="Arial" w:eastAsia="Arial" w:hAnsi="Arial"/>
          <w:sz w:val="16"/>
          <w:szCs w:val="16"/>
          <w:color w:val="auto"/>
        </w:rPr>
      </w:pPr>
    </w:p>
    <w:p>
      <w:pPr>
        <w:jc w:val="both"/>
        <w:ind w:left="660" w:hanging="328"/>
        <w:spacing w:after="0" w:line="28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9" w:lineRule="exact"/>
        <w:rPr>
          <w:rFonts w:ascii="Arial" w:cs="Arial" w:eastAsia="Arial" w:hAnsi="Arial"/>
          <w:sz w:val="16"/>
          <w:szCs w:val="16"/>
          <w:color w:val="auto"/>
        </w:rPr>
      </w:pPr>
    </w:p>
    <w:p>
      <w:pPr>
        <w:jc w:val="both"/>
        <w:ind w:left="660" w:hanging="328"/>
        <w:spacing w:after="0" w:line="28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(i) the frequency of similar cases that have been brought to date, or are expected to be brought within two years, (ii) the complexity of the case, (iii) the nature of the remedy(ies) sought, including the size of any monetary damages sought, (iv) offensive versus defensive posture of us, (v) the counterparty involved, and (vi) our overall litigation strategy;</w:t>
      </w:r>
    </w:p>
    <w:p>
      <w:pPr>
        <w:spacing w:after="0" w:line="4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pacing w:after="0" w:line="86" w:lineRule="exact"/>
        <w:rPr>
          <w:rFonts w:ascii="Arial" w:cs="Arial" w:eastAsia="Arial" w:hAnsi="Arial"/>
          <w:sz w:val="16"/>
          <w:szCs w:val="16"/>
          <w:color w:val="auto"/>
        </w:rPr>
      </w:pPr>
    </w:p>
    <w:p>
      <w:pPr>
        <w:ind w:left="660" w:hanging="328"/>
        <w:spacing w:after="0" w:line="29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and gains (losses) on disposals for fixed assets;</w:t>
      </w:r>
    </w:p>
    <w:p>
      <w:pPr>
        <w:spacing w:after="0" w:line="86" w:lineRule="exact"/>
        <w:rPr>
          <w:rFonts w:ascii="Arial" w:cs="Arial" w:eastAsia="Arial" w:hAnsi="Arial"/>
          <w:sz w:val="16"/>
          <w:szCs w:val="16"/>
          <w:color w:val="auto"/>
        </w:rPr>
      </w:pPr>
    </w:p>
    <w:p>
      <w:pPr>
        <w:ind w:left="660" w:hanging="328"/>
        <w:spacing w:after="0" w:line="29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purchase accounting adjustments to inventory related to the Precor acquisition;</w:t>
      </w:r>
    </w:p>
    <w:p>
      <w:pPr>
        <w:spacing w:after="0" w:line="33" w:lineRule="exact"/>
        <w:rPr>
          <w:rFonts w:ascii="Arial" w:cs="Arial" w:eastAsia="Arial" w:hAnsi="Arial"/>
          <w:sz w:val="16"/>
          <w:szCs w:val="16"/>
          <w:color w:val="auto"/>
        </w:rPr>
      </w:pPr>
    </w:p>
    <w:p>
      <w:pPr>
        <w:jc w:val="both"/>
        <w:ind w:left="660" w:hanging="328"/>
        <w:spacing w:after="0" w:line="28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 and</w:t>
      </w:r>
    </w:p>
    <w:p>
      <w:pPr>
        <w:spacing w:after="0" w:line="39" w:lineRule="exact"/>
        <w:rPr>
          <w:rFonts w:ascii="Arial" w:cs="Arial" w:eastAsia="Arial" w:hAnsi="Arial"/>
          <w:sz w:val="16"/>
          <w:szCs w:val="16"/>
          <w:color w:val="auto"/>
        </w:rPr>
      </w:pPr>
    </w:p>
    <w:p>
      <w:pPr>
        <w:jc w:val="both"/>
        <w:ind w:left="660" w:hanging="328"/>
        <w:spacing w:after="0" w:line="288"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ectPr>
          <w:pgSz w:w="11900" w:h="16838" w:orient="portrait"/>
          <w:cols w:equalWidth="0" w:num="1">
            <w:col w:w="11240"/>
          </w:cols>
          <w:pgMar w:left="320" w:top="1440" w:right="339" w:bottom="1440" w:gutter="0" w:footer="0" w:header="0"/>
        </w:sectPr>
      </w:pPr>
    </w:p>
    <w:bookmarkStart w:id="6" w:name="page7"/>
    <w:bookmarkEnd w:id="6"/>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60" w:type="dxa"/>
            <w:vAlign w:val="bottom"/>
            <w:gridSpan w:val="3"/>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18"/>
                <w:szCs w:val="18"/>
                <w:color w:val="auto"/>
              </w:rPr>
            </w:pPr>
          </w:p>
        </w:tc>
        <w:tc>
          <w:tcPr>
            <w:tcW w:w="48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December 31, 2021 (in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b w:val="1"/>
                <w:bCs w:val="1"/>
                <w:color w:val="auto"/>
              </w:rPr>
              <w:t>High Case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right"/>
              <w:ind w:right="119"/>
              <w:spacing w:after="0"/>
              <w:rPr>
                <w:sz w:val="20"/>
                <w:szCs w:val="20"/>
                <w:color w:val="auto"/>
              </w:rPr>
            </w:pPr>
            <w:r>
              <w:rPr>
                <w:rFonts w:ascii="Arial" w:cs="Arial" w:eastAsia="Arial" w:hAnsi="Arial"/>
                <w:sz w:val="16"/>
                <w:szCs w:val="16"/>
                <w:b w:val="1"/>
                <w:bCs w:val="1"/>
                <w:color w:val="auto"/>
              </w:rPr>
              <w:t>Low Case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900" w:type="dxa"/>
            <w:vAlign w:val="bottom"/>
            <w:tcBorders>
              <w:bottom w:val="single" w:sz="8" w:color="CCEEFF"/>
            </w:tcBorders>
            <w:shd w:val="clear" w:color="auto" w:fill="CCEEFF"/>
          </w:tcPr>
          <w:p>
            <w:pPr>
              <w:jc w:val="right"/>
              <w:ind w:right="16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7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9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9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9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19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51"/>
        </w:trPr>
        <w:tc>
          <w:tcPr>
            <w:tcW w:w="5560" w:type="dxa"/>
            <w:vAlign w:val="bottom"/>
          </w:tcPr>
          <w:p>
            <w:pPr>
              <w:ind w:left="20"/>
              <w:spacing w:after="0"/>
              <w:rPr>
                <w:sz w:val="20"/>
                <w:szCs w:val="20"/>
                <w:color w:val="auto"/>
              </w:rPr>
            </w:pPr>
            <w:r>
              <w:rPr>
                <w:rFonts w:ascii="Arial" w:cs="Arial" w:eastAsia="Arial" w:hAnsi="Arial"/>
                <w:sz w:val="16"/>
                <w:szCs w:val="16"/>
                <w:color w:val="auto"/>
              </w:rPr>
              <w:t xml:space="preserve">Litigation and settlement expenses </w:t>
            </w:r>
            <w:r>
              <w:rPr>
                <w:rFonts w:ascii="Arial" w:cs="Arial" w:eastAsia="Arial" w:hAnsi="Arial"/>
                <w:sz w:val="21"/>
                <w:szCs w:val="21"/>
                <w:color w:val="auto"/>
                <w:vertAlign w:val="superscript"/>
              </w:rPr>
              <w:t>(2)</w:t>
            </w:r>
          </w:p>
        </w:tc>
        <w:tc>
          <w:tcPr>
            <w:tcW w:w="1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51"/>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Transaction and integration costs </w:t>
            </w:r>
            <w:r>
              <w:rPr>
                <w:rFonts w:ascii="Arial" w:cs="Arial" w:eastAsia="Arial" w:hAnsi="Arial"/>
                <w:sz w:val="21"/>
                <w:szCs w:val="21"/>
                <w:color w:val="auto"/>
                <w:vertAlign w:val="superscript"/>
              </w:rPr>
              <w:t>(3)</w:t>
            </w:r>
          </w:p>
        </w:tc>
        <w:tc>
          <w:tcPr>
            <w:tcW w:w="19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1"/>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(4)</w:t>
            </w:r>
          </w:p>
        </w:tc>
        <w:tc>
          <w:tcPr>
            <w:tcW w:w="1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900" w:type="dxa"/>
            <w:vAlign w:val="bottom"/>
            <w:tcBorders>
              <w:bottom w:val="single" w:sz="8" w:color="CCEEFF"/>
            </w:tcBorders>
            <w:shd w:val="clear" w:color="auto" w:fill="CCEEFF"/>
          </w:tcPr>
          <w:p>
            <w:pPr>
              <w:jc w:val="right"/>
              <w:ind w:right="16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(260)</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7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483"/>
        </w:trPr>
        <w:tc>
          <w:tcPr>
            <w:tcW w:w="5560" w:type="dxa"/>
            <w:vAlign w:val="bottom"/>
          </w:tcPr>
          <w:p>
            <w:pPr>
              <w:ind w:left="20"/>
              <w:spacing w:after="0"/>
              <w:rPr>
                <w:sz w:val="20"/>
                <w:szCs w:val="20"/>
                <w:color w:val="auto"/>
              </w:rPr>
            </w:pPr>
            <w:r>
              <w:rPr>
                <w:rFonts w:ascii="Arial" w:cs="Arial" w:eastAsia="Arial" w:hAnsi="Arial"/>
                <w:sz w:val="16"/>
                <w:szCs w:val="16"/>
                <w:color w:val="auto"/>
              </w:rPr>
              <w:t>Revenue</w:t>
            </w:r>
          </w:p>
        </w:tc>
        <w:tc>
          <w:tcPr>
            <w:tcW w:w="1900" w:type="dxa"/>
            <w:vAlign w:val="bottom"/>
            <w:tcBorders>
              <w:bottom w:val="single" w:sz="8" w:color="auto"/>
            </w:tcBorders>
          </w:tcPr>
          <w:p>
            <w:pPr>
              <w:jc w:val="right"/>
              <w:ind w:right="16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1,138</w:t>
            </w:r>
          </w:p>
        </w:tc>
        <w:tc>
          <w:tcPr>
            <w:tcW w:w="80" w:type="dxa"/>
            <w:vAlign w:val="bottom"/>
          </w:tcPr>
          <w:p>
            <w:pPr>
              <w:spacing w:after="0"/>
              <w:rPr>
                <w:sz w:val="24"/>
                <w:szCs w:val="24"/>
                <w:color w:val="auto"/>
              </w:rPr>
            </w:pPr>
          </w:p>
        </w:tc>
        <w:tc>
          <w:tcPr>
            <w:tcW w:w="1980" w:type="dxa"/>
            <w:vAlign w:val="bottom"/>
            <w:tcBorders>
              <w:bottom w:val="single" w:sz="8" w:color="auto"/>
            </w:tcBorders>
          </w:tcPr>
          <w:p>
            <w:pPr>
              <w:jc w:val="right"/>
              <w:ind w:right="17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19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w:t>
            </w: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56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firstLine="8"/>
        <w:spacing w:after="0" w:line="262"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$3 million, recorded costs in connected fitness products cost of revenue associated with inventory write-downs and logistic costs of $5 million, and operating expenses of $2 million associated with recall-related hardware development costs, for the three months ended December 31, 2021.</w:t>
      </w:r>
    </w:p>
    <w:p>
      <w:pPr>
        <w:spacing w:after="0" w:line="50"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litigation related expenses for certain non-recurring patent infringement litigation, consumer arbitration, and product recalls for the three months ended December 31, 2021.</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transaction and integration costs primarily associated with the acquisition and integration of Precor Fitness for the three months ended December 31, 2021 .</w:t>
      </w:r>
    </w:p>
    <w:p>
      <w:pPr>
        <w:spacing w:after="0" w:line="66" w:lineRule="exact"/>
        <w:rPr>
          <w:rFonts w:ascii="Arial" w:cs="Arial" w:eastAsia="Arial" w:hAnsi="Arial"/>
          <w:sz w:val="13"/>
          <w:szCs w:val="13"/>
          <w:color w:val="auto"/>
        </w:rPr>
      </w:pPr>
    </w:p>
    <w:p>
      <w:pPr>
        <w:ind w:firstLine="8"/>
        <w:spacing w:after="0" w:line="264" w:lineRule="auto"/>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asset impairment charges of $2 million for the three months ended December 31, 2021. The Company is in process of completing its asset recoverability accounting assessments as of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Peloton</w:t>
      </w:r>
    </w:p>
    <w:p>
      <w:pPr>
        <w:spacing w:after="0" w:line="25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Peloton is the leading interactive fitness platform in the world with a loyal community of more than 6.2 million Members. The company pioneered connected, technology-enabled fitness, and the streaming of immersive, instructor-led boutique classes for its Members anytime, anywhere. Peloton makes fitness entertaining, approachable, effective, and convenient, while fostering social connections that encourage its Members to be the best versions of themselves. An innovator at the nexus of fitness, technology, and media, Peloton has reinvented the fitness industry by developing a first-of-its-kind subscription platform that seamlessly combines the best equipment, proprietary networked software, and world-class streaming digital fitness and wellness content, creating a product that its Members love. The brand’s immersive content is accessible through the Peloton Bike, Peloton Tread, Peloton Bike+, and Peloton App, which allows access to a full slate of fitness classes across disciplines, on any iOS or Android device, Apple TV, Fire TV, Roku TVs, and Chromecast and Android TV. Founded in 2012 and headquartered in New York City, Peloton has a growing number of retail showrooms across the US, UK, Canada, Germany and Australia. For more information, visit www.onepeloton.com.</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Peter Stabler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investor@onepeloton.com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2022-01-21T05:15:38Z</dcterms:created>
  <dcterms:modified xsi:type="dcterms:W3CDTF">2022-01-21T05:15:38Z</dcterms:modified>
</cp:coreProperties>
</file>